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32"/>
          <w:szCs w:val="32"/>
        </w:rPr>
      </w:pPr>
      <w:r>
        <w:rPr>
          <w:b/>
          <w:sz w:val="32"/>
          <w:szCs w:val="32"/>
        </w:rPr>
        <w:t>《建设项目环境影响报告表》编制说明</w:t>
      </w:r>
    </w:p>
    <w:p>
      <w:pPr>
        <w:spacing w:line="312" w:lineRule="auto"/>
      </w:pPr>
    </w:p>
    <w:p>
      <w:pPr>
        <w:pStyle w:val="21"/>
        <w:spacing w:after="0" w:line="360" w:lineRule="auto"/>
        <w:ind w:firstLine="480" w:firstLineChars="200"/>
        <w:rPr>
          <w:sz w:val="24"/>
        </w:rPr>
      </w:pPr>
      <w:r>
        <w:rPr>
          <w:sz w:val="24"/>
        </w:rPr>
        <w:t>《建设项目环境影响报告表》由具有从事环境影响评价工作资质的单位编制。</w:t>
      </w:r>
    </w:p>
    <w:p>
      <w:pPr>
        <w:numPr>
          <w:ilvl w:val="0"/>
          <w:numId w:val="2"/>
        </w:numPr>
        <w:tabs>
          <w:tab w:val="left" w:pos="0"/>
          <w:tab w:val="clear" w:pos="964"/>
        </w:tabs>
        <w:spacing w:line="360" w:lineRule="auto"/>
        <w:ind w:left="0" w:firstLine="567"/>
        <w:rPr>
          <w:sz w:val="24"/>
          <w:szCs w:val="24"/>
        </w:rPr>
      </w:pPr>
      <w:r>
        <w:rPr>
          <w:sz w:val="24"/>
          <w:szCs w:val="24"/>
        </w:rPr>
        <w:t>项目名称----指项目立项批复时的名称，应不超过30个字（两个英文字段作一个汉字）。</w:t>
      </w:r>
    </w:p>
    <w:p>
      <w:pPr>
        <w:numPr>
          <w:ilvl w:val="0"/>
          <w:numId w:val="2"/>
        </w:numPr>
        <w:spacing w:line="360" w:lineRule="auto"/>
        <w:rPr>
          <w:sz w:val="24"/>
          <w:szCs w:val="24"/>
        </w:rPr>
      </w:pPr>
      <w:r>
        <w:rPr>
          <w:sz w:val="24"/>
          <w:szCs w:val="24"/>
        </w:rPr>
        <w:t>建设地点----指项目所在地详细地址、公路、铁路应填写起止地点。</w:t>
      </w:r>
    </w:p>
    <w:p>
      <w:pPr>
        <w:numPr>
          <w:ilvl w:val="0"/>
          <w:numId w:val="2"/>
        </w:numPr>
        <w:spacing w:line="360" w:lineRule="auto"/>
        <w:rPr>
          <w:sz w:val="24"/>
          <w:szCs w:val="24"/>
        </w:rPr>
      </w:pPr>
      <w:r>
        <w:rPr>
          <w:sz w:val="24"/>
          <w:szCs w:val="24"/>
        </w:rPr>
        <w:t>行业类别----按国标填写。</w:t>
      </w:r>
    </w:p>
    <w:p>
      <w:pPr>
        <w:numPr>
          <w:ilvl w:val="0"/>
          <w:numId w:val="2"/>
        </w:numPr>
        <w:spacing w:line="360" w:lineRule="auto"/>
        <w:rPr>
          <w:sz w:val="24"/>
          <w:szCs w:val="24"/>
        </w:rPr>
      </w:pPr>
      <w:r>
        <w:rPr>
          <w:sz w:val="24"/>
          <w:szCs w:val="24"/>
        </w:rPr>
        <w:t>总投资----指项目投资总额。</w:t>
      </w:r>
    </w:p>
    <w:p>
      <w:pPr>
        <w:numPr>
          <w:ilvl w:val="0"/>
          <w:numId w:val="2"/>
        </w:numPr>
        <w:tabs>
          <w:tab w:val="left" w:pos="0"/>
          <w:tab w:val="clear" w:pos="964"/>
        </w:tabs>
        <w:spacing w:line="360" w:lineRule="auto"/>
        <w:ind w:left="0" w:firstLine="567"/>
        <w:rPr>
          <w:sz w:val="24"/>
          <w:szCs w:val="24"/>
        </w:rPr>
      </w:pPr>
      <w:r>
        <w:rPr>
          <w:sz w:val="24"/>
          <w:szCs w:val="24"/>
        </w:rPr>
        <w:t>主要环境保护目标----指项目区周围一定范围内集中居民住宅、学校、医院、保护文物、风景名胜区、水源地和生态敏感点等，应尽可能给出保护目标、性质、规模和距厂界距离等。</w:t>
      </w:r>
    </w:p>
    <w:p>
      <w:pPr>
        <w:numPr>
          <w:ilvl w:val="0"/>
          <w:numId w:val="2"/>
        </w:numPr>
        <w:tabs>
          <w:tab w:val="left" w:pos="0"/>
          <w:tab w:val="clear" w:pos="964"/>
        </w:tabs>
        <w:spacing w:line="360" w:lineRule="auto"/>
        <w:ind w:left="0" w:firstLine="567"/>
        <w:rPr>
          <w:sz w:val="24"/>
          <w:szCs w:val="24"/>
        </w:rPr>
      </w:pPr>
      <w:r>
        <w:rPr>
          <w:sz w:val="24"/>
          <w:szCs w:val="24"/>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2"/>
        </w:numPr>
        <w:tabs>
          <w:tab w:val="left" w:pos="0"/>
          <w:tab w:val="clear" w:pos="964"/>
        </w:tabs>
        <w:spacing w:line="360" w:lineRule="auto"/>
        <w:ind w:left="0" w:firstLine="567"/>
        <w:rPr>
          <w:sz w:val="24"/>
          <w:szCs w:val="24"/>
        </w:rPr>
      </w:pPr>
      <w:r>
        <w:rPr>
          <w:sz w:val="24"/>
          <w:szCs w:val="24"/>
        </w:rPr>
        <w:t>预审意见----由行业主管部门填写答复意见，无主管部门项目，可不填。</w:t>
      </w:r>
    </w:p>
    <w:p>
      <w:pPr>
        <w:numPr>
          <w:ilvl w:val="0"/>
          <w:numId w:val="2"/>
        </w:numPr>
        <w:spacing w:line="360" w:lineRule="auto"/>
        <w:rPr>
          <w:sz w:val="24"/>
          <w:szCs w:val="24"/>
        </w:rPr>
      </w:pPr>
      <w:r>
        <w:rPr>
          <w:sz w:val="24"/>
          <w:szCs w:val="24"/>
        </w:rPr>
        <w:t>审批意见----由负责审批本项目的环境保护行政主管部门批复。</w:t>
      </w:r>
    </w:p>
    <w:p>
      <w:pPr>
        <w:spacing w:line="360" w:lineRule="auto"/>
        <w:jc w:val="center"/>
        <w:rPr>
          <w:sz w:val="28"/>
          <w:szCs w:val="28"/>
        </w:rPr>
      </w:pPr>
    </w:p>
    <w:p>
      <w:pPr>
        <w:spacing w:line="360" w:lineRule="auto"/>
        <w:jc w:val="center"/>
        <w:rPr>
          <w:sz w:val="28"/>
          <w:szCs w:val="28"/>
        </w:rPr>
      </w:pPr>
    </w:p>
    <w:p>
      <w:pPr>
        <w:tabs>
          <w:tab w:val="left" w:pos="5760"/>
        </w:tabs>
        <w:adjustRightInd w:val="0"/>
        <w:snapToGrid w:val="0"/>
        <w:rPr>
          <w:b/>
          <w:sz w:val="32"/>
          <w:szCs w:val="32"/>
        </w:rPr>
        <w:sectPr>
          <w:footerReference r:id="rId3" w:type="default"/>
          <w:pgSz w:w="11906" w:h="16838"/>
          <w:pgMar w:top="1440" w:right="1134" w:bottom="1440" w:left="1418" w:header="851" w:footer="992" w:gutter="0"/>
          <w:pgNumType w:start="0"/>
          <w:cols w:space="425" w:num="1"/>
          <w:titlePg/>
          <w:docGrid w:type="lines" w:linePitch="312" w:charSpace="0"/>
        </w:sectPr>
      </w:pPr>
    </w:p>
    <w:p>
      <w:pPr>
        <w:tabs>
          <w:tab w:val="left" w:pos="5760"/>
        </w:tabs>
        <w:adjustRightInd w:val="0"/>
        <w:snapToGrid w:val="0"/>
        <w:rPr>
          <w:b/>
          <w:sz w:val="32"/>
          <w:szCs w:val="32"/>
        </w:rPr>
      </w:pPr>
      <w:r>
        <w:rPr>
          <w:rFonts w:hint="eastAsia"/>
          <w:b/>
          <w:sz w:val="32"/>
          <w:szCs w:val="32"/>
        </w:rPr>
        <w:t>建设项目基本情况</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992"/>
        <w:gridCol w:w="816"/>
        <w:gridCol w:w="923"/>
        <w:gridCol w:w="78"/>
        <w:gridCol w:w="417"/>
        <w:gridCol w:w="1026"/>
        <w:gridCol w:w="87"/>
        <w:gridCol w:w="836"/>
        <w:gridCol w:w="83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tabs>
                <w:tab w:val="left" w:pos="5760"/>
              </w:tabs>
              <w:snapToGrid w:val="0"/>
              <w:jc w:val="center"/>
              <w:rPr>
                <w:b/>
                <w:sz w:val="24"/>
                <w:szCs w:val="24"/>
              </w:rPr>
            </w:pPr>
            <w:r>
              <w:rPr>
                <w:rFonts w:hint="eastAsia"/>
                <w:sz w:val="24"/>
                <w:szCs w:val="24"/>
              </w:rPr>
              <w:t>项目名称</w:t>
            </w:r>
          </w:p>
        </w:tc>
        <w:tc>
          <w:tcPr>
            <w:tcW w:w="7477" w:type="dxa"/>
            <w:gridSpan w:val="10"/>
            <w:vAlign w:val="center"/>
          </w:tcPr>
          <w:p>
            <w:pPr>
              <w:jc w:val="center"/>
              <w:rPr>
                <w:sz w:val="24"/>
                <w:szCs w:val="24"/>
              </w:rPr>
            </w:pPr>
            <w:r>
              <w:rPr>
                <w:rFonts w:hint="eastAsia"/>
                <w:sz w:val="24"/>
                <w:szCs w:val="24"/>
              </w:rPr>
              <w:t>洛阳</w:t>
            </w:r>
            <w:r>
              <w:rPr>
                <w:rFonts w:hint="eastAsia"/>
                <w:sz w:val="24"/>
                <w:szCs w:val="24"/>
                <w:lang w:eastAsia="zh-CN"/>
              </w:rPr>
              <w:t>久辉不锈钢制品</w:t>
            </w:r>
            <w:r>
              <w:rPr>
                <w:rFonts w:hint="eastAsia"/>
                <w:sz w:val="24"/>
                <w:szCs w:val="24"/>
              </w:rPr>
              <w:t>有限公司年加工</w:t>
            </w:r>
            <w:r>
              <w:rPr>
                <w:rFonts w:hint="eastAsia"/>
                <w:sz w:val="24"/>
                <w:szCs w:val="24"/>
                <w:lang w:val="en-US" w:eastAsia="zh-CN"/>
              </w:rPr>
              <w:t>20</w:t>
            </w:r>
            <w:r>
              <w:rPr>
                <w:rFonts w:hint="eastAsia"/>
                <w:sz w:val="24"/>
                <w:szCs w:val="24"/>
              </w:rPr>
              <w:t>00台不锈钢</w:t>
            </w:r>
            <w:r>
              <w:rPr>
                <w:rFonts w:hint="eastAsia"/>
                <w:sz w:val="24"/>
                <w:szCs w:val="24"/>
                <w:lang w:eastAsia="zh-CN"/>
              </w:rPr>
              <w:t>办公</w:t>
            </w:r>
            <w:r>
              <w:rPr>
                <w:rFonts w:hint="eastAsia"/>
                <w:sz w:val="24"/>
                <w:szCs w:val="24"/>
              </w:rPr>
              <w:t>家具项目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tabs>
                <w:tab w:val="left" w:pos="5760"/>
              </w:tabs>
              <w:snapToGrid w:val="0"/>
              <w:jc w:val="center"/>
              <w:rPr>
                <w:sz w:val="24"/>
                <w:szCs w:val="24"/>
              </w:rPr>
            </w:pPr>
            <w:r>
              <w:rPr>
                <w:rFonts w:hint="eastAsia" w:ascii="宋体"/>
                <w:sz w:val="24"/>
                <w:szCs w:val="24"/>
              </w:rPr>
              <w:t>建设单位</w:t>
            </w:r>
          </w:p>
        </w:tc>
        <w:tc>
          <w:tcPr>
            <w:tcW w:w="7477" w:type="dxa"/>
            <w:gridSpan w:val="10"/>
            <w:vAlign w:val="center"/>
          </w:tcPr>
          <w:p>
            <w:pPr>
              <w:jc w:val="center"/>
              <w:rPr>
                <w:sz w:val="24"/>
                <w:szCs w:val="24"/>
              </w:rPr>
            </w:pPr>
            <w:r>
              <w:rPr>
                <w:rFonts w:hint="eastAsia"/>
                <w:sz w:val="24"/>
                <w:szCs w:val="24"/>
              </w:rPr>
              <w:t>洛阳</w:t>
            </w:r>
            <w:r>
              <w:rPr>
                <w:rFonts w:hint="eastAsia"/>
                <w:sz w:val="24"/>
                <w:szCs w:val="24"/>
                <w:lang w:eastAsia="zh-CN"/>
              </w:rPr>
              <w:t>久辉不锈钢制品</w:t>
            </w:r>
            <w:r>
              <w:rPr>
                <w:rFonts w:hint="eastAsia"/>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rFonts w:ascii="宋体"/>
                <w:sz w:val="24"/>
                <w:szCs w:val="24"/>
              </w:rPr>
            </w:pPr>
            <w:r>
              <w:rPr>
                <w:rFonts w:hint="eastAsia" w:ascii="宋体"/>
                <w:sz w:val="24"/>
                <w:szCs w:val="24"/>
              </w:rPr>
              <w:t>法人代表</w:t>
            </w:r>
          </w:p>
        </w:tc>
        <w:tc>
          <w:tcPr>
            <w:tcW w:w="2731" w:type="dxa"/>
            <w:gridSpan w:val="3"/>
            <w:vAlign w:val="center"/>
          </w:tcPr>
          <w:p>
            <w:pPr>
              <w:jc w:val="center"/>
              <w:rPr>
                <w:rFonts w:hint="eastAsia" w:eastAsia="宋体"/>
                <w:sz w:val="24"/>
                <w:szCs w:val="24"/>
                <w:lang w:eastAsia="zh-CN"/>
              </w:rPr>
            </w:pPr>
            <w:r>
              <w:rPr>
                <w:rFonts w:hint="eastAsia"/>
                <w:sz w:val="24"/>
                <w:szCs w:val="24"/>
                <w:lang w:eastAsia="zh-CN"/>
              </w:rPr>
              <w:t>李明辉</w:t>
            </w:r>
          </w:p>
        </w:tc>
        <w:tc>
          <w:tcPr>
            <w:tcW w:w="2444" w:type="dxa"/>
            <w:gridSpan w:val="5"/>
            <w:vAlign w:val="center"/>
          </w:tcPr>
          <w:p>
            <w:pPr>
              <w:jc w:val="center"/>
              <w:rPr>
                <w:sz w:val="24"/>
                <w:szCs w:val="24"/>
              </w:rPr>
            </w:pPr>
            <w:r>
              <w:rPr>
                <w:rFonts w:hint="eastAsia" w:ascii="宋体"/>
                <w:sz w:val="24"/>
                <w:szCs w:val="24"/>
              </w:rPr>
              <w:t>联系人</w:t>
            </w:r>
          </w:p>
        </w:tc>
        <w:tc>
          <w:tcPr>
            <w:tcW w:w="2302" w:type="dxa"/>
            <w:gridSpan w:val="2"/>
            <w:vAlign w:val="center"/>
          </w:tcPr>
          <w:p>
            <w:pPr>
              <w:jc w:val="center"/>
              <w:rPr>
                <w:rFonts w:hint="eastAsia" w:eastAsia="宋体"/>
                <w:sz w:val="24"/>
                <w:szCs w:val="24"/>
                <w:lang w:eastAsia="zh-CN"/>
              </w:rPr>
            </w:pPr>
            <w:r>
              <w:rPr>
                <w:rFonts w:hint="eastAsia"/>
                <w:sz w:val="24"/>
                <w:szCs w:val="24"/>
                <w:lang w:eastAsia="zh-CN"/>
              </w:rPr>
              <w:t>李明辉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rFonts w:ascii="宋体"/>
                <w:sz w:val="24"/>
                <w:szCs w:val="24"/>
              </w:rPr>
            </w:pPr>
            <w:r>
              <w:rPr>
                <w:rFonts w:hint="eastAsia" w:ascii="宋体"/>
                <w:sz w:val="24"/>
                <w:szCs w:val="24"/>
              </w:rPr>
              <w:t>通讯地址</w:t>
            </w:r>
          </w:p>
        </w:tc>
        <w:tc>
          <w:tcPr>
            <w:tcW w:w="7477" w:type="dxa"/>
            <w:gridSpan w:val="10"/>
            <w:vAlign w:val="center"/>
          </w:tcPr>
          <w:p>
            <w:pPr>
              <w:jc w:val="center"/>
              <w:rPr>
                <w:sz w:val="24"/>
                <w:szCs w:val="24"/>
              </w:rPr>
            </w:pPr>
            <w:r>
              <w:rPr>
                <w:rFonts w:hint="eastAsia"/>
                <w:sz w:val="24"/>
                <w:szCs w:val="24"/>
              </w:rPr>
              <w:t>偃师市高龙镇</w:t>
            </w:r>
            <w:r>
              <w:rPr>
                <w:rFonts w:hint="eastAsia"/>
                <w:sz w:val="24"/>
                <w:szCs w:val="24"/>
                <w:lang w:eastAsia="zh-CN"/>
              </w:rPr>
              <w:t>高龙村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ind w:firstLine="6"/>
              <w:jc w:val="center"/>
              <w:rPr>
                <w:sz w:val="24"/>
                <w:szCs w:val="24"/>
              </w:rPr>
            </w:pPr>
            <w:r>
              <w:rPr>
                <w:sz w:val="24"/>
                <w:szCs w:val="24"/>
              </w:rPr>
              <w:t>联系电话</w:t>
            </w:r>
          </w:p>
        </w:tc>
        <w:tc>
          <w:tcPr>
            <w:tcW w:w="1808" w:type="dxa"/>
            <w:gridSpan w:val="2"/>
            <w:vAlign w:val="center"/>
          </w:tcPr>
          <w:p>
            <w:pPr>
              <w:jc w:val="center"/>
              <w:rPr>
                <w:sz w:val="24"/>
                <w:szCs w:val="24"/>
              </w:rPr>
            </w:pPr>
            <w:r>
              <w:rPr>
                <w:rFonts w:hint="eastAsia"/>
                <w:sz w:val="24"/>
                <w:szCs w:val="24"/>
              </w:rPr>
              <w:t>13</w:t>
            </w:r>
            <w:r>
              <w:rPr>
                <w:rFonts w:hint="eastAsia"/>
                <w:sz w:val="24"/>
                <w:szCs w:val="24"/>
                <w:lang w:val="en-US" w:eastAsia="zh-CN"/>
              </w:rPr>
              <w:t>700796709</w:t>
            </w:r>
          </w:p>
        </w:tc>
        <w:tc>
          <w:tcPr>
            <w:tcW w:w="1418" w:type="dxa"/>
            <w:gridSpan w:val="3"/>
            <w:vAlign w:val="center"/>
          </w:tcPr>
          <w:p>
            <w:pPr>
              <w:jc w:val="center"/>
              <w:rPr>
                <w:sz w:val="24"/>
                <w:szCs w:val="24"/>
              </w:rPr>
            </w:pPr>
            <w:r>
              <w:rPr>
                <w:sz w:val="24"/>
                <w:szCs w:val="24"/>
              </w:rPr>
              <w:t>传真</w:t>
            </w:r>
          </w:p>
        </w:tc>
        <w:tc>
          <w:tcPr>
            <w:tcW w:w="1026" w:type="dxa"/>
            <w:vAlign w:val="center"/>
          </w:tcPr>
          <w:p>
            <w:pPr>
              <w:jc w:val="center"/>
              <w:rPr>
                <w:sz w:val="24"/>
                <w:szCs w:val="24"/>
              </w:rPr>
            </w:pPr>
          </w:p>
        </w:tc>
        <w:tc>
          <w:tcPr>
            <w:tcW w:w="1754" w:type="dxa"/>
            <w:gridSpan w:val="3"/>
            <w:vAlign w:val="center"/>
          </w:tcPr>
          <w:p>
            <w:pPr>
              <w:jc w:val="center"/>
              <w:rPr>
                <w:sz w:val="24"/>
                <w:szCs w:val="24"/>
              </w:rPr>
            </w:pPr>
            <w:r>
              <w:rPr>
                <w:sz w:val="24"/>
                <w:szCs w:val="24"/>
              </w:rPr>
              <w:t>邮政编码</w:t>
            </w:r>
          </w:p>
        </w:tc>
        <w:tc>
          <w:tcPr>
            <w:tcW w:w="1471" w:type="dxa"/>
            <w:vAlign w:val="center"/>
          </w:tcPr>
          <w:p>
            <w:pPr>
              <w:jc w:val="center"/>
              <w:rPr>
                <w:sz w:val="24"/>
                <w:szCs w:val="24"/>
              </w:rPr>
            </w:pPr>
            <w:r>
              <w:rPr>
                <w:rFonts w:hint="eastAsia"/>
                <w:sz w:val="24"/>
                <w:szCs w:val="24"/>
              </w:rPr>
              <w:t>471900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建设地点</w:t>
            </w:r>
          </w:p>
        </w:tc>
        <w:tc>
          <w:tcPr>
            <w:tcW w:w="7477" w:type="dxa"/>
            <w:gridSpan w:val="10"/>
            <w:vAlign w:val="center"/>
          </w:tcPr>
          <w:p>
            <w:pPr>
              <w:jc w:val="center"/>
              <w:rPr>
                <w:sz w:val="24"/>
                <w:szCs w:val="24"/>
              </w:rPr>
            </w:pPr>
            <w:r>
              <w:rPr>
                <w:rFonts w:hint="eastAsia"/>
                <w:sz w:val="24"/>
                <w:szCs w:val="24"/>
              </w:rPr>
              <w:t>偃师市高龙镇</w:t>
            </w:r>
            <w:r>
              <w:rPr>
                <w:rFonts w:hint="eastAsia"/>
                <w:sz w:val="24"/>
                <w:szCs w:val="24"/>
                <w:lang w:eastAsia="zh-CN"/>
              </w:rPr>
              <w:t>高龙村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adjustRightInd w:val="0"/>
              <w:snapToGrid w:val="0"/>
              <w:jc w:val="center"/>
              <w:rPr>
                <w:sz w:val="24"/>
                <w:szCs w:val="24"/>
              </w:rPr>
            </w:pPr>
            <w:r>
              <w:rPr>
                <w:sz w:val="24"/>
                <w:szCs w:val="24"/>
              </w:rPr>
              <w:t>立项审批部门</w:t>
            </w:r>
          </w:p>
        </w:tc>
        <w:tc>
          <w:tcPr>
            <w:tcW w:w="2809" w:type="dxa"/>
            <w:gridSpan w:val="4"/>
            <w:vAlign w:val="center"/>
          </w:tcPr>
          <w:p>
            <w:pPr>
              <w:jc w:val="center"/>
              <w:rPr>
                <w:sz w:val="24"/>
                <w:szCs w:val="24"/>
              </w:rPr>
            </w:pPr>
            <w:r>
              <w:rPr>
                <w:rFonts w:hint="eastAsia"/>
                <w:spacing w:val="-8"/>
                <w:sz w:val="24"/>
                <w:szCs w:val="24"/>
              </w:rPr>
              <w:t>偃师市发展和改革委员会</w:t>
            </w:r>
          </w:p>
        </w:tc>
        <w:tc>
          <w:tcPr>
            <w:tcW w:w="1530" w:type="dxa"/>
            <w:gridSpan w:val="3"/>
            <w:vAlign w:val="center"/>
          </w:tcPr>
          <w:p>
            <w:pPr>
              <w:snapToGrid w:val="0"/>
              <w:ind w:firstLine="6"/>
              <w:jc w:val="center"/>
              <w:rPr>
                <w:sz w:val="24"/>
                <w:szCs w:val="24"/>
              </w:rPr>
            </w:pPr>
            <w:r>
              <w:rPr>
                <w:rFonts w:hint="eastAsia"/>
                <w:sz w:val="24"/>
                <w:szCs w:val="24"/>
              </w:rPr>
              <w:t>项目编号</w:t>
            </w:r>
          </w:p>
        </w:tc>
        <w:tc>
          <w:tcPr>
            <w:tcW w:w="3138" w:type="dxa"/>
            <w:gridSpan w:val="3"/>
            <w:vAlign w:val="center"/>
          </w:tcPr>
          <w:p>
            <w:pPr>
              <w:jc w:val="center"/>
              <w:rPr>
                <w:sz w:val="24"/>
                <w:szCs w:val="24"/>
              </w:rPr>
            </w:pPr>
            <w:r>
              <w:rPr>
                <w:rFonts w:hint="eastAsia"/>
                <w:sz w:val="24"/>
                <w:szCs w:val="24"/>
              </w:rPr>
              <w:t>2020-410-381-21-03-06</w:t>
            </w:r>
            <w:r>
              <w:rPr>
                <w:rFonts w:hint="eastAsia"/>
                <w:sz w:val="24"/>
                <w:szCs w:val="24"/>
                <w:lang w:val="en-US" w:eastAsia="zh-CN"/>
              </w:rPr>
              <w:t>5762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pStyle w:val="15"/>
              <w:adjustRightInd w:val="0"/>
              <w:snapToGrid w:val="0"/>
              <w:spacing w:line="240" w:lineRule="auto"/>
              <w:ind w:firstLine="0"/>
              <w:jc w:val="center"/>
              <w:rPr>
                <w:rFonts w:ascii="Times New Roman"/>
                <w:color w:val="auto"/>
                <w:szCs w:val="24"/>
              </w:rPr>
            </w:pPr>
            <w:r>
              <w:rPr>
                <w:rFonts w:ascii="Times New Roman"/>
                <w:color w:val="auto"/>
                <w:szCs w:val="24"/>
              </w:rPr>
              <w:t>建设性质</w:t>
            </w:r>
          </w:p>
        </w:tc>
        <w:tc>
          <w:tcPr>
            <w:tcW w:w="2809" w:type="dxa"/>
            <w:gridSpan w:val="4"/>
            <w:vAlign w:val="center"/>
          </w:tcPr>
          <w:p>
            <w:pPr>
              <w:snapToGrid w:val="0"/>
              <w:jc w:val="center"/>
              <w:rPr>
                <w:sz w:val="24"/>
                <w:szCs w:val="24"/>
              </w:rPr>
            </w:pPr>
            <w:r>
              <w:rPr>
                <w:sz w:val="24"/>
                <w:szCs w:val="24"/>
              </w:rPr>
              <w:t>新建■改扩建□技改□</w:t>
            </w:r>
          </w:p>
        </w:tc>
        <w:tc>
          <w:tcPr>
            <w:tcW w:w="1530" w:type="dxa"/>
            <w:gridSpan w:val="3"/>
            <w:vAlign w:val="center"/>
          </w:tcPr>
          <w:p>
            <w:pPr>
              <w:snapToGrid w:val="0"/>
              <w:ind w:firstLine="6"/>
              <w:jc w:val="center"/>
              <w:rPr>
                <w:sz w:val="24"/>
                <w:szCs w:val="24"/>
              </w:rPr>
            </w:pPr>
            <w:r>
              <w:rPr>
                <w:sz w:val="24"/>
                <w:szCs w:val="24"/>
              </w:rPr>
              <w:t>行业类别</w:t>
            </w:r>
          </w:p>
          <w:p>
            <w:pPr>
              <w:snapToGrid w:val="0"/>
              <w:ind w:firstLine="6"/>
              <w:jc w:val="center"/>
              <w:rPr>
                <w:sz w:val="24"/>
                <w:szCs w:val="24"/>
              </w:rPr>
            </w:pPr>
            <w:r>
              <w:rPr>
                <w:sz w:val="24"/>
                <w:szCs w:val="24"/>
              </w:rPr>
              <w:t>及代码</w:t>
            </w:r>
          </w:p>
        </w:tc>
        <w:tc>
          <w:tcPr>
            <w:tcW w:w="3138" w:type="dxa"/>
            <w:gridSpan w:val="3"/>
            <w:vAlign w:val="center"/>
          </w:tcPr>
          <w:p>
            <w:pPr>
              <w:spacing w:line="200" w:lineRule="atLeast"/>
              <w:jc w:val="center"/>
              <w:rPr>
                <w:sz w:val="24"/>
                <w:szCs w:val="24"/>
              </w:rPr>
            </w:pPr>
            <w:r>
              <w:rPr>
                <w:sz w:val="24"/>
                <w:szCs w:val="24"/>
              </w:rPr>
              <w:t>C</w:t>
            </w:r>
            <w:r>
              <w:rPr>
                <w:rFonts w:hint="eastAsia"/>
                <w:sz w:val="24"/>
                <w:szCs w:val="24"/>
              </w:rPr>
              <w:t>2130金属家具制造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ind w:firstLine="6"/>
              <w:jc w:val="center"/>
              <w:rPr>
                <w:sz w:val="24"/>
                <w:szCs w:val="24"/>
              </w:rPr>
            </w:pPr>
            <w:r>
              <w:rPr>
                <w:sz w:val="24"/>
                <w:szCs w:val="24"/>
              </w:rPr>
              <w:t>占地面积</w:t>
            </w:r>
          </w:p>
          <w:p>
            <w:pPr>
              <w:snapToGrid w:val="0"/>
              <w:ind w:firstLine="6"/>
              <w:jc w:val="center"/>
              <w:rPr>
                <w:sz w:val="24"/>
                <w:szCs w:val="24"/>
              </w:rPr>
            </w:pPr>
            <w:r>
              <w:rPr>
                <w:sz w:val="24"/>
                <w:szCs w:val="24"/>
              </w:rPr>
              <w:t>（平方米）</w:t>
            </w:r>
          </w:p>
        </w:tc>
        <w:tc>
          <w:tcPr>
            <w:tcW w:w="2809" w:type="dxa"/>
            <w:gridSpan w:val="4"/>
            <w:vAlign w:val="center"/>
          </w:tcPr>
          <w:p>
            <w:pPr>
              <w:jc w:val="center"/>
              <w:rPr>
                <w:rFonts w:hint="eastAsia" w:eastAsia="宋体"/>
                <w:sz w:val="24"/>
                <w:szCs w:val="24"/>
                <w:lang w:eastAsia="zh-CN"/>
              </w:rPr>
            </w:pPr>
            <w:r>
              <w:rPr>
                <w:rFonts w:hint="eastAsia"/>
                <w:sz w:val="24"/>
                <w:szCs w:val="24"/>
                <w:lang w:val="en-US" w:eastAsia="zh-CN"/>
              </w:rPr>
              <w:t>1500</w:t>
            </w:r>
          </w:p>
        </w:tc>
        <w:tc>
          <w:tcPr>
            <w:tcW w:w="1530" w:type="dxa"/>
            <w:gridSpan w:val="3"/>
            <w:vAlign w:val="center"/>
          </w:tcPr>
          <w:p>
            <w:pPr>
              <w:snapToGrid w:val="0"/>
              <w:ind w:firstLine="6"/>
              <w:jc w:val="center"/>
              <w:rPr>
                <w:sz w:val="24"/>
                <w:szCs w:val="24"/>
              </w:rPr>
            </w:pPr>
            <w:r>
              <w:rPr>
                <w:sz w:val="24"/>
                <w:szCs w:val="24"/>
              </w:rPr>
              <w:t>绿化面积</w:t>
            </w:r>
          </w:p>
          <w:p>
            <w:pPr>
              <w:snapToGrid w:val="0"/>
              <w:ind w:firstLine="6"/>
              <w:jc w:val="center"/>
              <w:rPr>
                <w:sz w:val="24"/>
                <w:szCs w:val="24"/>
              </w:rPr>
            </w:pPr>
            <w:r>
              <w:rPr>
                <w:sz w:val="24"/>
                <w:szCs w:val="24"/>
              </w:rPr>
              <w:t>（平方米）</w:t>
            </w:r>
          </w:p>
        </w:tc>
        <w:tc>
          <w:tcPr>
            <w:tcW w:w="3138" w:type="dxa"/>
            <w:gridSpan w:val="3"/>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总投资</w:t>
            </w:r>
          </w:p>
          <w:p>
            <w:pPr>
              <w:snapToGrid w:val="0"/>
              <w:jc w:val="center"/>
              <w:rPr>
                <w:sz w:val="24"/>
                <w:szCs w:val="24"/>
              </w:rPr>
            </w:pPr>
            <w:r>
              <w:rPr>
                <w:sz w:val="24"/>
                <w:szCs w:val="24"/>
              </w:rPr>
              <w:t>（万元）</w:t>
            </w:r>
          </w:p>
        </w:tc>
        <w:tc>
          <w:tcPr>
            <w:tcW w:w="992" w:type="dxa"/>
            <w:vAlign w:val="center"/>
          </w:tcPr>
          <w:p>
            <w:pPr>
              <w:jc w:val="center"/>
              <w:rPr>
                <w:rFonts w:hint="eastAsia" w:eastAsia="宋体"/>
                <w:sz w:val="24"/>
                <w:szCs w:val="24"/>
                <w:lang w:eastAsia="zh-CN"/>
              </w:rPr>
            </w:pPr>
            <w:r>
              <w:rPr>
                <w:rFonts w:hint="eastAsia"/>
                <w:sz w:val="24"/>
                <w:szCs w:val="24"/>
                <w:lang w:val="en-US" w:eastAsia="zh-CN"/>
              </w:rPr>
              <w:t>21</w:t>
            </w:r>
          </w:p>
        </w:tc>
        <w:tc>
          <w:tcPr>
            <w:tcW w:w="1817" w:type="dxa"/>
            <w:gridSpan w:val="3"/>
            <w:vAlign w:val="center"/>
          </w:tcPr>
          <w:p>
            <w:pPr>
              <w:snapToGrid w:val="0"/>
              <w:ind w:firstLine="7"/>
              <w:jc w:val="center"/>
              <w:rPr>
                <w:sz w:val="24"/>
                <w:szCs w:val="24"/>
              </w:rPr>
            </w:pPr>
            <w:r>
              <w:rPr>
                <w:sz w:val="24"/>
                <w:szCs w:val="24"/>
              </w:rPr>
              <w:t>其中:环保投资（万元）</w:t>
            </w:r>
          </w:p>
        </w:tc>
        <w:tc>
          <w:tcPr>
            <w:tcW w:w="1530" w:type="dxa"/>
            <w:gridSpan w:val="3"/>
            <w:vAlign w:val="center"/>
          </w:tcPr>
          <w:p>
            <w:pPr>
              <w:snapToGrid w:val="0"/>
              <w:jc w:val="center"/>
              <w:rPr>
                <w:color w:val="000000" w:themeColor="text1"/>
                <w:sz w:val="24"/>
                <w:szCs w:val="24"/>
              </w:rPr>
            </w:pPr>
            <w:r>
              <w:rPr>
                <w:rFonts w:hint="eastAsia"/>
                <w:color w:val="000000" w:themeColor="text1"/>
                <w:sz w:val="24"/>
                <w:szCs w:val="24"/>
              </w:rPr>
              <w:t>4.5</w:t>
            </w:r>
          </w:p>
        </w:tc>
        <w:tc>
          <w:tcPr>
            <w:tcW w:w="1667" w:type="dxa"/>
            <w:gridSpan w:val="2"/>
            <w:vAlign w:val="center"/>
          </w:tcPr>
          <w:p>
            <w:pPr>
              <w:snapToGrid w:val="0"/>
              <w:ind w:firstLine="7"/>
              <w:jc w:val="center"/>
              <w:rPr>
                <w:color w:val="000000" w:themeColor="text1"/>
                <w:sz w:val="24"/>
                <w:szCs w:val="24"/>
              </w:rPr>
            </w:pPr>
            <w:r>
              <w:rPr>
                <w:color w:val="000000" w:themeColor="text1"/>
                <w:sz w:val="24"/>
                <w:szCs w:val="24"/>
              </w:rPr>
              <w:t>环保投资占总投资比例</w:t>
            </w:r>
          </w:p>
        </w:tc>
        <w:tc>
          <w:tcPr>
            <w:tcW w:w="1471" w:type="dxa"/>
            <w:vAlign w:val="center"/>
          </w:tcPr>
          <w:p>
            <w:pPr>
              <w:jc w:val="center"/>
              <w:rPr>
                <w:color w:val="000000" w:themeColor="text1"/>
                <w:sz w:val="24"/>
                <w:szCs w:val="24"/>
              </w:rPr>
            </w:pPr>
            <w:r>
              <w:rPr>
                <w:rFonts w:hint="eastAsia"/>
                <w:color w:val="000000" w:themeColor="text1"/>
                <w:sz w:val="24"/>
                <w:szCs w:val="24"/>
                <w:lang w:val="en-US" w:eastAsia="zh-CN"/>
              </w:rPr>
              <w:t>21.4</w:t>
            </w:r>
            <w:r>
              <w:rPr>
                <w:rFonts w:hint="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评价经费</w:t>
            </w:r>
          </w:p>
          <w:p>
            <w:pPr>
              <w:snapToGrid w:val="0"/>
              <w:jc w:val="center"/>
              <w:rPr>
                <w:sz w:val="24"/>
                <w:szCs w:val="24"/>
              </w:rPr>
            </w:pPr>
            <w:r>
              <w:rPr>
                <w:sz w:val="24"/>
                <w:szCs w:val="24"/>
              </w:rPr>
              <w:t>（万元）</w:t>
            </w:r>
          </w:p>
        </w:tc>
        <w:tc>
          <w:tcPr>
            <w:tcW w:w="2809" w:type="dxa"/>
            <w:gridSpan w:val="4"/>
            <w:vAlign w:val="center"/>
          </w:tcPr>
          <w:p>
            <w:pPr>
              <w:jc w:val="center"/>
              <w:rPr>
                <w:sz w:val="24"/>
                <w:szCs w:val="24"/>
              </w:rPr>
            </w:pPr>
            <w:r>
              <w:rPr>
                <w:rFonts w:hint="eastAsia"/>
                <w:sz w:val="24"/>
                <w:szCs w:val="24"/>
              </w:rPr>
              <w:t>/</w:t>
            </w:r>
          </w:p>
        </w:tc>
        <w:tc>
          <w:tcPr>
            <w:tcW w:w="1530" w:type="dxa"/>
            <w:gridSpan w:val="3"/>
            <w:vAlign w:val="center"/>
          </w:tcPr>
          <w:p>
            <w:pPr>
              <w:snapToGrid w:val="0"/>
              <w:ind w:firstLine="6"/>
              <w:jc w:val="center"/>
              <w:rPr>
                <w:sz w:val="24"/>
                <w:szCs w:val="24"/>
              </w:rPr>
            </w:pPr>
            <w:r>
              <w:rPr>
                <w:rFonts w:hint="eastAsia"/>
                <w:sz w:val="24"/>
                <w:szCs w:val="24"/>
              </w:rPr>
              <w:t>预期</w:t>
            </w:r>
            <w:r>
              <w:rPr>
                <w:sz w:val="24"/>
                <w:szCs w:val="24"/>
              </w:rPr>
              <w:t>投产</w:t>
            </w:r>
          </w:p>
          <w:p>
            <w:pPr>
              <w:snapToGrid w:val="0"/>
              <w:ind w:firstLine="6"/>
              <w:jc w:val="center"/>
              <w:rPr>
                <w:sz w:val="24"/>
                <w:szCs w:val="24"/>
              </w:rPr>
            </w:pPr>
            <w:r>
              <w:rPr>
                <w:sz w:val="24"/>
                <w:szCs w:val="24"/>
              </w:rPr>
              <w:t>日期</w:t>
            </w:r>
          </w:p>
        </w:tc>
        <w:tc>
          <w:tcPr>
            <w:tcW w:w="3138" w:type="dxa"/>
            <w:gridSpan w:val="3"/>
            <w:vAlign w:val="center"/>
          </w:tcPr>
          <w:p>
            <w:pPr>
              <w:jc w:val="center"/>
              <w:rPr>
                <w:sz w:val="24"/>
                <w:szCs w:val="24"/>
              </w:rPr>
            </w:pPr>
            <w:r>
              <w:rPr>
                <w:rFonts w:hint="eastAsia"/>
                <w:sz w:val="24"/>
                <w:szCs w:val="24"/>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570" w:type="dxa"/>
            <w:gridSpan w:val="11"/>
            <w:vAlign w:val="center"/>
          </w:tcPr>
          <w:p>
            <w:pPr>
              <w:adjustRightInd w:val="0"/>
              <w:snapToGrid w:val="0"/>
              <w:spacing w:line="360" w:lineRule="auto"/>
              <w:rPr>
                <w:rFonts w:ascii="宋体"/>
                <w:b/>
                <w:sz w:val="24"/>
                <w:szCs w:val="24"/>
              </w:rPr>
            </w:pPr>
            <w:r>
              <w:rPr>
                <w:rFonts w:hint="eastAsia" w:ascii="宋体"/>
                <w:b/>
                <w:sz w:val="24"/>
                <w:szCs w:val="24"/>
              </w:rPr>
              <w:t>工程内容及规模：</w:t>
            </w:r>
          </w:p>
          <w:p>
            <w:pPr>
              <w:spacing w:line="360" w:lineRule="auto"/>
              <w:rPr>
                <w:b/>
                <w:bCs/>
                <w:sz w:val="24"/>
                <w:szCs w:val="24"/>
              </w:rPr>
            </w:pPr>
            <w:r>
              <w:rPr>
                <w:rFonts w:hint="eastAsia"/>
                <w:b/>
                <w:bCs/>
                <w:sz w:val="24"/>
                <w:szCs w:val="24"/>
              </w:rPr>
              <w:t>1</w:t>
            </w:r>
            <w:r>
              <w:rPr>
                <w:b/>
                <w:bCs/>
                <w:sz w:val="24"/>
                <w:szCs w:val="24"/>
              </w:rPr>
              <w:t>项目由来</w:t>
            </w:r>
          </w:p>
          <w:p>
            <w:pPr>
              <w:spacing w:line="360" w:lineRule="auto"/>
              <w:ind w:firstLine="480" w:firstLineChars="200"/>
              <w:rPr>
                <w:sz w:val="24"/>
                <w:szCs w:val="24"/>
              </w:rPr>
            </w:pPr>
            <w:r>
              <w:rPr>
                <w:sz w:val="24"/>
                <w:szCs w:val="24"/>
              </w:rPr>
              <w:t>随着中国经济建设的快速发展带动了城市扩建及人口的增加，市场对钢制办公家具的需求量也在增加</w:t>
            </w:r>
            <w:r>
              <w:rPr>
                <w:rFonts w:eastAsiaTheme="majorEastAsia"/>
                <w:sz w:val="24"/>
                <w:szCs w:val="24"/>
              </w:rPr>
              <w:t>。为满足市场需求</w:t>
            </w:r>
            <w:r>
              <w:rPr>
                <w:rFonts w:hint="eastAsia"/>
                <w:sz w:val="24"/>
                <w:szCs w:val="24"/>
              </w:rPr>
              <w:t>洛阳</w:t>
            </w:r>
            <w:r>
              <w:rPr>
                <w:rFonts w:hint="eastAsia"/>
                <w:sz w:val="24"/>
                <w:szCs w:val="24"/>
                <w:lang w:eastAsia="zh-CN"/>
              </w:rPr>
              <w:t>久辉不锈钢制品</w:t>
            </w:r>
            <w:r>
              <w:rPr>
                <w:rFonts w:hint="eastAsia"/>
                <w:sz w:val="24"/>
                <w:szCs w:val="24"/>
              </w:rPr>
              <w:t>有限公司在市场调查的基础上，投资</w:t>
            </w:r>
            <w:r>
              <w:rPr>
                <w:rFonts w:hint="eastAsia"/>
                <w:sz w:val="24"/>
                <w:szCs w:val="24"/>
                <w:lang w:val="en-US" w:eastAsia="zh-CN"/>
              </w:rPr>
              <w:t>21</w:t>
            </w:r>
            <w:r>
              <w:rPr>
                <w:rFonts w:hint="eastAsia"/>
                <w:sz w:val="24"/>
                <w:szCs w:val="24"/>
              </w:rPr>
              <w:t>万元在偃师市高龙镇</w:t>
            </w:r>
            <w:r>
              <w:rPr>
                <w:rFonts w:hint="eastAsia"/>
                <w:sz w:val="24"/>
                <w:szCs w:val="24"/>
                <w:lang w:eastAsia="zh-CN"/>
              </w:rPr>
              <w:t>高龙村</w:t>
            </w:r>
            <w:r>
              <w:rPr>
                <w:rFonts w:hint="eastAsia"/>
                <w:sz w:val="24"/>
                <w:szCs w:val="24"/>
              </w:rPr>
              <w:t>建设年加工</w:t>
            </w:r>
            <w:r>
              <w:rPr>
                <w:rFonts w:hint="eastAsia"/>
                <w:sz w:val="24"/>
                <w:szCs w:val="24"/>
                <w:lang w:val="en-US" w:eastAsia="zh-CN"/>
              </w:rPr>
              <w:t>20</w:t>
            </w:r>
            <w:r>
              <w:rPr>
                <w:rFonts w:hint="eastAsia"/>
                <w:sz w:val="24"/>
                <w:szCs w:val="24"/>
              </w:rPr>
              <w:t>00台不锈钢</w:t>
            </w:r>
            <w:r>
              <w:rPr>
                <w:rFonts w:hint="eastAsia"/>
                <w:sz w:val="24"/>
                <w:szCs w:val="24"/>
                <w:lang w:eastAsia="zh-CN"/>
              </w:rPr>
              <w:t>办公</w:t>
            </w:r>
            <w:r>
              <w:rPr>
                <w:rFonts w:hint="eastAsia"/>
                <w:sz w:val="24"/>
                <w:szCs w:val="24"/>
              </w:rPr>
              <w:t>家具生产线。</w:t>
            </w:r>
          </w:p>
          <w:p>
            <w:pPr>
              <w:spacing w:line="360" w:lineRule="auto"/>
              <w:ind w:firstLine="480" w:firstLineChars="200"/>
              <w:rPr>
                <w:color w:val="000000" w:themeColor="text1"/>
                <w:sz w:val="24"/>
                <w:szCs w:val="24"/>
              </w:rPr>
            </w:pPr>
            <w:r>
              <w:rPr>
                <w:sz w:val="24"/>
                <w:szCs w:val="24"/>
              </w:rPr>
              <w:t>本项目不属于国家发展和改革委员会第29号令《产业结构调整指导目录》（2019年本）中限制类、淘汰类项目，属允许建设项目，符合国家产业</w:t>
            </w:r>
            <w:r>
              <w:rPr>
                <w:color w:val="000000" w:themeColor="text1"/>
                <w:sz w:val="24"/>
                <w:szCs w:val="24"/>
              </w:rPr>
              <w:t>政策；该项目已于2020年</w:t>
            </w:r>
            <w:r>
              <w:rPr>
                <w:rFonts w:hint="eastAsia"/>
                <w:color w:val="000000" w:themeColor="text1"/>
                <w:sz w:val="24"/>
                <w:szCs w:val="24"/>
                <w:lang w:val="en-US" w:eastAsia="zh-CN"/>
              </w:rPr>
              <w:t>8</w:t>
            </w:r>
            <w:r>
              <w:rPr>
                <w:color w:val="000000" w:themeColor="text1"/>
                <w:sz w:val="24"/>
                <w:szCs w:val="24"/>
              </w:rPr>
              <w:t>月</w:t>
            </w:r>
            <w:r>
              <w:rPr>
                <w:rFonts w:hint="eastAsia"/>
                <w:color w:val="000000" w:themeColor="text1"/>
                <w:sz w:val="24"/>
                <w:szCs w:val="24"/>
                <w:lang w:val="en-US" w:eastAsia="zh-CN"/>
              </w:rPr>
              <w:t>6</w:t>
            </w:r>
            <w:r>
              <w:rPr>
                <w:color w:val="000000" w:themeColor="text1"/>
                <w:sz w:val="24"/>
                <w:szCs w:val="24"/>
              </w:rPr>
              <w:t>日在偃师市发展和改革委员会备案，备案代码为：2020-410381-2</w:t>
            </w:r>
            <w:r>
              <w:rPr>
                <w:rFonts w:hint="eastAsia"/>
                <w:color w:val="000000" w:themeColor="text1"/>
                <w:sz w:val="24"/>
                <w:szCs w:val="24"/>
              </w:rPr>
              <w:t>1</w:t>
            </w:r>
            <w:r>
              <w:rPr>
                <w:color w:val="000000" w:themeColor="text1"/>
                <w:sz w:val="24"/>
                <w:szCs w:val="24"/>
              </w:rPr>
              <w:t>-03-0</w:t>
            </w:r>
            <w:r>
              <w:rPr>
                <w:rFonts w:hint="eastAsia"/>
                <w:color w:val="000000" w:themeColor="text1"/>
                <w:sz w:val="24"/>
                <w:szCs w:val="24"/>
              </w:rPr>
              <w:t>6</w:t>
            </w:r>
            <w:r>
              <w:rPr>
                <w:rFonts w:hint="eastAsia"/>
                <w:color w:val="000000" w:themeColor="text1"/>
                <w:sz w:val="24"/>
                <w:szCs w:val="24"/>
                <w:lang w:val="en-US" w:eastAsia="zh-CN"/>
              </w:rPr>
              <w:t>5762</w:t>
            </w:r>
            <w:r>
              <w:rPr>
                <w:color w:val="000000" w:themeColor="text1"/>
                <w:sz w:val="24"/>
                <w:szCs w:val="24"/>
              </w:rPr>
              <w:t>。</w:t>
            </w:r>
          </w:p>
          <w:p>
            <w:pPr>
              <w:spacing w:line="360" w:lineRule="auto"/>
              <w:ind w:firstLine="480" w:firstLineChars="200"/>
              <w:rPr>
                <w:sz w:val="24"/>
                <w:szCs w:val="24"/>
              </w:rPr>
            </w:pPr>
            <w:r>
              <w:rPr>
                <w:rFonts w:hAnsi="宋体"/>
                <w:bCs/>
                <w:color w:val="000000"/>
                <w:sz w:val="24"/>
                <w:szCs w:val="24"/>
              </w:rPr>
              <w:t>根据《中华人民共和国环境影响评价法》</w:t>
            </w:r>
            <w:r>
              <w:rPr>
                <w:rFonts w:hint="eastAsia" w:hAnsi="宋体"/>
                <w:bCs/>
                <w:color w:val="000000"/>
                <w:sz w:val="24"/>
                <w:szCs w:val="24"/>
              </w:rPr>
              <w:t>、</w:t>
            </w:r>
            <w:r>
              <w:rPr>
                <w:rFonts w:hAnsi="宋体"/>
                <w:bCs/>
                <w:color w:val="000000"/>
                <w:sz w:val="24"/>
                <w:szCs w:val="24"/>
              </w:rPr>
              <w:t>国务院令第</w:t>
            </w:r>
            <w:r>
              <w:rPr>
                <w:rFonts w:hint="eastAsia" w:hAnsi="宋体"/>
                <w:bCs/>
                <w:color w:val="000000"/>
                <w:sz w:val="24"/>
                <w:szCs w:val="24"/>
              </w:rPr>
              <w:t>682</w:t>
            </w:r>
            <w:r>
              <w:rPr>
                <w:rFonts w:hAnsi="宋体"/>
                <w:bCs/>
                <w:color w:val="000000"/>
                <w:sz w:val="24"/>
                <w:szCs w:val="24"/>
              </w:rPr>
              <w:t>号《建设项目环境保护管理条例》</w:t>
            </w:r>
            <w:r>
              <w:rPr>
                <w:rFonts w:hint="eastAsia" w:hAnsi="宋体"/>
                <w:bCs/>
                <w:color w:val="000000"/>
                <w:sz w:val="24"/>
                <w:szCs w:val="24"/>
              </w:rPr>
              <w:t>及</w:t>
            </w:r>
            <w:r>
              <w:rPr>
                <w:rFonts w:hint="eastAsia"/>
                <w:sz w:val="24"/>
                <w:szCs w:val="24"/>
              </w:rPr>
              <w:t>环境保护部[2017]第44号部令《建设项目环境影响评价分类管理名录》，本项目类别为“第十项</w:t>
            </w:r>
            <w:r>
              <w:rPr>
                <w:sz w:val="24"/>
                <w:szCs w:val="24"/>
              </w:rPr>
              <w:t>家具制造业</w:t>
            </w:r>
            <w:r>
              <w:rPr>
                <w:rFonts w:hint="eastAsia"/>
                <w:sz w:val="24"/>
                <w:szCs w:val="24"/>
              </w:rPr>
              <w:t>-</w:t>
            </w:r>
            <w:r>
              <w:rPr>
                <w:sz w:val="24"/>
                <w:szCs w:val="24"/>
              </w:rPr>
              <w:t>27 家具制造</w:t>
            </w:r>
            <w:r>
              <w:rPr>
                <w:rFonts w:hint="eastAsia"/>
                <w:sz w:val="24"/>
                <w:szCs w:val="24"/>
              </w:rPr>
              <w:t>-</w:t>
            </w:r>
            <w:r>
              <w:rPr>
                <w:sz w:val="24"/>
                <w:szCs w:val="24"/>
              </w:rPr>
              <w:t>有电镀或喷漆工艺且年用油性漆量（含稀释剂）10吨及以上的</w:t>
            </w:r>
            <w:r>
              <w:rPr>
                <w:rFonts w:hint="eastAsia"/>
                <w:sz w:val="24"/>
                <w:szCs w:val="24"/>
              </w:rPr>
              <w:t>属于编制报告书类别，其他编制报告表”。本项目生产工艺中不包含电镀及喷漆工艺，属于其他类别，其环境影响评价报告类型为报告表。</w:t>
            </w:r>
          </w:p>
          <w:p>
            <w:pPr>
              <w:spacing w:line="360" w:lineRule="auto"/>
              <w:ind w:firstLine="480" w:firstLineChars="200"/>
              <w:rPr>
                <w:sz w:val="24"/>
                <w:szCs w:val="24"/>
              </w:rPr>
            </w:pPr>
            <w:r>
              <w:rPr>
                <w:rFonts w:hint="eastAsia"/>
                <w:sz w:val="24"/>
                <w:szCs w:val="24"/>
              </w:rPr>
              <w:t>受建设单位委托，我单位承担本项目的环境影响评价工作</w:t>
            </w:r>
            <w:r>
              <w:rPr>
                <w:sz w:val="24"/>
                <w:szCs w:val="24"/>
              </w:rPr>
              <w:t>，编制了该项目的环境影响</w:t>
            </w:r>
            <w:r>
              <w:rPr>
                <w:rFonts w:hint="eastAsia"/>
                <w:sz w:val="24"/>
                <w:szCs w:val="24"/>
              </w:rPr>
              <w:t>评价</w:t>
            </w:r>
            <w:r>
              <w:rPr>
                <w:sz w:val="24"/>
                <w:szCs w:val="24"/>
              </w:rPr>
              <w:t>报告表。</w:t>
            </w:r>
          </w:p>
          <w:p>
            <w:pPr>
              <w:spacing w:line="360" w:lineRule="auto"/>
              <w:rPr>
                <w:b/>
                <w:bCs/>
                <w:sz w:val="24"/>
                <w:szCs w:val="24"/>
              </w:rPr>
            </w:pPr>
            <w:r>
              <w:rPr>
                <w:rFonts w:hint="eastAsia"/>
                <w:b/>
                <w:bCs/>
                <w:sz w:val="24"/>
                <w:szCs w:val="24"/>
              </w:rPr>
              <w:t>2 建设场地及工程内容</w:t>
            </w:r>
          </w:p>
          <w:p>
            <w:pPr>
              <w:spacing w:line="360" w:lineRule="auto"/>
              <w:rPr>
                <w:bCs/>
                <w:sz w:val="24"/>
                <w:szCs w:val="24"/>
              </w:rPr>
            </w:pPr>
            <w:r>
              <w:rPr>
                <w:rFonts w:hint="eastAsia"/>
                <w:bCs/>
                <w:sz w:val="24"/>
                <w:szCs w:val="24"/>
              </w:rPr>
              <w:t>2.1 建设场地</w:t>
            </w:r>
          </w:p>
          <w:p>
            <w:pPr>
              <w:spacing w:line="360" w:lineRule="auto"/>
              <w:ind w:firstLine="480" w:firstLineChars="200"/>
              <w:rPr>
                <w:rFonts w:hint="eastAsia"/>
                <w:color w:val="000000" w:themeColor="text1"/>
                <w:sz w:val="24"/>
                <w:szCs w:val="24"/>
                <w:u w:val="none"/>
              </w:rPr>
            </w:pPr>
            <w:r>
              <w:rPr>
                <w:rFonts w:hint="eastAsia"/>
                <w:color w:val="000000" w:themeColor="text1"/>
                <w:sz w:val="24"/>
                <w:szCs w:val="24"/>
                <w:u w:val="none"/>
              </w:rPr>
              <w:t>本项目位于偃师市高龙镇</w:t>
            </w:r>
            <w:r>
              <w:rPr>
                <w:rFonts w:hint="eastAsia"/>
                <w:color w:val="000000" w:themeColor="text1"/>
                <w:sz w:val="24"/>
                <w:szCs w:val="24"/>
                <w:u w:val="none"/>
                <w:lang w:eastAsia="zh-CN"/>
              </w:rPr>
              <w:t>高龙村</w:t>
            </w:r>
            <w:r>
              <w:rPr>
                <w:rFonts w:hint="eastAsia"/>
                <w:color w:val="000000" w:themeColor="text1"/>
                <w:sz w:val="24"/>
                <w:szCs w:val="24"/>
                <w:u w:val="none"/>
              </w:rPr>
              <w:t>，租用偃师市嘉升塑业有限公司车间</w:t>
            </w:r>
            <w:r>
              <w:rPr>
                <w:rFonts w:hint="eastAsia"/>
                <w:color w:val="000000" w:themeColor="text1"/>
                <w:sz w:val="24"/>
                <w:szCs w:val="24"/>
                <w:u w:val="none"/>
                <w:lang w:val="en-US" w:eastAsia="zh-CN"/>
              </w:rPr>
              <w:t>3内部分</w:t>
            </w:r>
            <w:r>
              <w:rPr>
                <w:rFonts w:hint="eastAsia"/>
                <w:color w:val="000000" w:themeColor="text1"/>
                <w:sz w:val="24"/>
                <w:szCs w:val="24"/>
                <w:u w:val="none"/>
              </w:rPr>
              <w:t>闲置</w:t>
            </w:r>
            <w:r>
              <w:rPr>
                <w:rFonts w:hint="eastAsia"/>
                <w:color w:val="000000" w:themeColor="text1"/>
                <w:sz w:val="24"/>
                <w:szCs w:val="24"/>
                <w:u w:val="none"/>
                <w:lang w:val="en-US" w:eastAsia="zh-CN"/>
              </w:rPr>
              <w:t>场地</w:t>
            </w:r>
            <w:r>
              <w:rPr>
                <w:rFonts w:hint="eastAsia"/>
                <w:color w:val="000000" w:themeColor="text1"/>
                <w:sz w:val="24"/>
                <w:szCs w:val="24"/>
                <w:u w:val="none"/>
              </w:rPr>
              <w:t>进行建设，</w:t>
            </w:r>
            <w:r>
              <w:rPr>
                <w:rFonts w:hint="eastAsia"/>
                <w:color w:val="000000" w:themeColor="text1"/>
                <w:sz w:val="24"/>
                <w:szCs w:val="24"/>
                <w:u w:val="none"/>
                <w:lang w:eastAsia="zh-CN"/>
              </w:rPr>
              <w:t>租用</w:t>
            </w:r>
            <w:r>
              <w:rPr>
                <w:rFonts w:hint="eastAsia"/>
                <w:color w:val="000000" w:themeColor="text1"/>
                <w:sz w:val="24"/>
                <w:szCs w:val="24"/>
                <w:u w:val="none"/>
              </w:rPr>
              <w:t>面积</w:t>
            </w:r>
            <w:r>
              <w:rPr>
                <w:rFonts w:hint="eastAsia"/>
                <w:color w:val="000000" w:themeColor="text1"/>
                <w:sz w:val="24"/>
                <w:szCs w:val="24"/>
                <w:u w:val="none"/>
                <w:lang w:val="en-US" w:eastAsia="zh-CN"/>
              </w:rPr>
              <w:t>1500</w:t>
            </w:r>
            <w:r>
              <w:rPr>
                <w:rFonts w:hint="eastAsia"/>
                <w:color w:val="000000" w:themeColor="text1"/>
                <w:sz w:val="24"/>
                <w:szCs w:val="24"/>
                <w:u w:val="none"/>
              </w:rPr>
              <w:t>m</w:t>
            </w:r>
            <w:r>
              <w:rPr>
                <w:rFonts w:hint="eastAsia"/>
                <w:color w:val="000000" w:themeColor="text1"/>
                <w:sz w:val="24"/>
                <w:szCs w:val="24"/>
                <w:u w:val="none"/>
                <w:vertAlign w:val="superscript"/>
              </w:rPr>
              <w:t>2</w:t>
            </w:r>
            <w:r>
              <w:rPr>
                <w:rFonts w:hint="eastAsia"/>
                <w:color w:val="000000" w:themeColor="text1"/>
                <w:sz w:val="24"/>
                <w:szCs w:val="24"/>
                <w:u w:val="none"/>
              </w:rPr>
              <w:t>，根据偃师市国土资源局出具的偃集用（2013）第2013033号文件，项目用地为工业用地，根据偃师市规划局出具的地字第偃规（2012）112号文件：项目用地符合城乡规划要求。</w:t>
            </w:r>
          </w:p>
          <w:p>
            <w:pPr>
              <w:spacing w:line="360" w:lineRule="auto"/>
              <w:ind w:firstLine="480" w:firstLineChars="200"/>
              <w:rPr>
                <w:sz w:val="24"/>
                <w:szCs w:val="24"/>
              </w:rPr>
            </w:pPr>
            <w:r>
              <w:rPr>
                <w:rFonts w:hint="eastAsia"/>
                <w:color w:val="000000" w:themeColor="text1"/>
                <w:sz w:val="24"/>
                <w:szCs w:val="24"/>
              </w:rPr>
              <w:t>本项目位于偃师市嘉升塑业有限公司厂区内，本项目所在厂区东为空地，南为鑫鑫环保石灰厂，西为火焦路，北为空地（停车场）。最近的</w:t>
            </w:r>
            <w:r>
              <w:rPr>
                <w:rFonts w:hint="eastAsia"/>
                <w:sz w:val="24"/>
                <w:szCs w:val="24"/>
              </w:rPr>
              <w:t>居民点为北45m的师家寨居民。本项目地理位置详见附图1。</w:t>
            </w:r>
          </w:p>
          <w:p>
            <w:pPr>
              <w:spacing w:line="360" w:lineRule="auto"/>
              <w:rPr>
                <w:sz w:val="24"/>
                <w:szCs w:val="24"/>
              </w:rPr>
            </w:pPr>
            <w:r>
              <w:rPr>
                <w:rFonts w:hint="eastAsia"/>
                <w:sz w:val="24"/>
                <w:szCs w:val="24"/>
              </w:rPr>
              <w:t>2.2 工程内容及规模</w:t>
            </w:r>
          </w:p>
          <w:p>
            <w:pPr>
              <w:spacing w:line="360" w:lineRule="auto"/>
              <w:ind w:firstLine="600" w:firstLineChars="250"/>
              <w:rPr>
                <w:sz w:val="24"/>
                <w:szCs w:val="24"/>
              </w:rPr>
            </w:pPr>
            <w:r>
              <w:rPr>
                <w:rFonts w:hint="eastAsia"/>
                <w:color w:val="000000" w:themeColor="text1"/>
                <w:sz w:val="24"/>
                <w:szCs w:val="24"/>
              </w:rPr>
              <w:t>本项目</w:t>
            </w:r>
            <w:r>
              <w:rPr>
                <w:rFonts w:hint="eastAsia"/>
                <w:sz w:val="24"/>
                <w:szCs w:val="24"/>
              </w:rPr>
              <w:t>厂区平面布置见附图2，主要工程内容见表1。</w:t>
            </w:r>
          </w:p>
          <w:p>
            <w:pPr>
              <w:adjustRightInd w:val="0"/>
              <w:snapToGrid w:val="0"/>
              <w:ind w:firstLine="1920" w:firstLineChars="800"/>
              <w:rPr>
                <w:rFonts w:ascii="黑体" w:eastAsia="黑体"/>
                <w:kern w:val="0"/>
                <w:sz w:val="24"/>
                <w:szCs w:val="24"/>
              </w:rPr>
            </w:pPr>
            <w:r>
              <w:rPr>
                <w:rFonts w:hint="eastAsia" w:ascii="黑体" w:eastAsia="黑体"/>
                <w:kern w:val="0"/>
                <w:sz w:val="24"/>
                <w:szCs w:val="24"/>
              </w:rPr>
              <w:t>表1              主要工程内容一览表</w:t>
            </w:r>
          </w:p>
          <w:tbl>
            <w:tblPr>
              <w:tblStyle w:val="2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99"/>
              <w:gridCol w:w="4072"/>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096" w:type="dxa"/>
                  <w:shd w:val="clear" w:color="auto" w:fill="auto"/>
                  <w:vAlign w:val="center"/>
                </w:tcPr>
                <w:p>
                  <w:pPr>
                    <w:jc w:val="center"/>
                    <w:rPr>
                      <w:szCs w:val="21"/>
                    </w:rPr>
                  </w:pPr>
                  <w:r>
                    <w:rPr>
                      <w:szCs w:val="21"/>
                    </w:rPr>
                    <w:t>工程类别</w:t>
                  </w:r>
                </w:p>
              </w:tc>
              <w:tc>
                <w:tcPr>
                  <w:tcW w:w="1599" w:type="dxa"/>
                  <w:shd w:val="clear" w:color="auto" w:fill="auto"/>
                  <w:vAlign w:val="center"/>
                </w:tcPr>
                <w:p>
                  <w:pPr>
                    <w:jc w:val="center"/>
                    <w:rPr>
                      <w:szCs w:val="21"/>
                    </w:rPr>
                  </w:pPr>
                  <w:r>
                    <w:rPr>
                      <w:szCs w:val="21"/>
                    </w:rPr>
                    <w:t>工程名称</w:t>
                  </w:r>
                </w:p>
              </w:tc>
              <w:tc>
                <w:tcPr>
                  <w:tcW w:w="4072" w:type="dxa"/>
                  <w:shd w:val="clear" w:color="auto" w:fill="auto"/>
                  <w:vAlign w:val="center"/>
                </w:tcPr>
                <w:p>
                  <w:pPr>
                    <w:jc w:val="center"/>
                    <w:rPr>
                      <w:szCs w:val="21"/>
                    </w:rPr>
                  </w:pPr>
                  <w:r>
                    <w:rPr>
                      <w:szCs w:val="21"/>
                    </w:rPr>
                    <w:t>工程内容</w:t>
                  </w:r>
                </w:p>
              </w:tc>
              <w:tc>
                <w:tcPr>
                  <w:tcW w:w="2173"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1096" w:type="dxa"/>
                  <w:shd w:val="clear" w:color="auto" w:fill="auto"/>
                  <w:vAlign w:val="center"/>
                </w:tcPr>
                <w:p>
                  <w:pPr>
                    <w:jc w:val="center"/>
                    <w:rPr>
                      <w:szCs w:val="21"/>
                    </w:rPr>
                  </w:pPr>
                  <w:r>
                    <w:rPr>
                      <w:rFonts w:hint="eastAsia"/>
                      <w:szCs w:val="21"/>
                    </w:rPr>
                    <w:t>主体工程</w:t>
                  </w:r>
                </w:p>
              </w:tc>
              <w:tc>
                <w:tcPr>
                  <w:tcW w:w="1599" w:type="dxa"/>
                  <w:shd w:val="clear" w:color="auto" w:fill="auto"/>
                  <w:vAlign w:val="center"/>
                </w:tcPr>
                <w:p>
                  <w:pPr>
                    <w:jc w:val="center"/>
                    <w:rPr>
                      <w:szCs w:val="21"/>
                    </w:rPr>
                  </w:pPr>
                  <w:r>
                    <w:rPr>
                      <w:rFonts w:hint="eastAsia"/>
                      <w:color w:val="000000"/>
                      <w:szCs w:val="21"/>
                    </w:rPr>
                    <w:t>生产车间</w:t>
                  </w:r>
                  <w:r>
                    <w:rPr>
                      <w:rFonts w:hint="eastAsia"/>
                      <w:color w:val="000000"/>
                      <w:szCs w:val="21"/>
                      <w:lang w:val="en-US" w:eastAsia="zh-CN"/>
                    </w:rPr>
                    <w:t>3</w:t>
                  </w:r>
                </w:p>
              </w:tc>
              <w:tc>
                <w:tcPr>
                  <w:tcW w:w="4072" w:type="dxa"/>
                  <w:shd w:val="clear" w:color="auto" w:fill="auto"/>
                  <w:vAlign w:val="center"/>
                </w:tcPr>
                <w:p>
                  <w:pPr>
                    <w:ind w:firstLine="105" w:firstLineChars="50"/>
                    <w:jc w:val="left"/>
                    <w:rPr>
                      <w:color w:val="000000"/>
                      <w:szCs w:val="21"/>
                    </w:rPr>
                  </w:pPr>
                  <w:r>
                    <w:rPr>
                      <w:rFonts w:hint="eastAsia"/>
                      <w:szCs w:val="21"/>
                    </w:rPr>
                    <w:t>1个，</w:t>
                  </w:r>
                  <w:r>
                    <w:rPr>
                      <w:rFonts w:hint="eastAsia"/>
                      <w:color w:val="000000"/>
                      <w:sz w:val="18"/>
                      <w:szCs w:val="18"/>
                    </w:rPr>
                    <w:t>125×60×8m</w:t>
                  </w:r>
                  <w:r>
                    <w:rPr>
                      <w:rFonts w:hint="eastAsia"/>
                      <w:color w:val="000000"/>
                      <w:sz w:val="18"/>
                      <w:szCs w:val="18"/>
                      <w:lang w:eastAsia="zh-CN"/>
                    </w:rPr>
                    <w:t>，</w:t>
                  </w:r>
                  <w:r>
                    <w:rPr>
                      <w:rFonts w:hint="eastAsia"/>
                      <w:color w:val="000000"/>
                      <w:szCs w:val="21"/>
                    </w:rPr>
                    <w:t>钢架结构</w:t>
                  </w:r>
                </w:p>
              </w:tc>
              <w:tc>
                <w:tcPr>
                  <w:tcW w:w="2173" w:type="dxa"/>
                  <w:shd w:val="clear" w:color="auto" w:fill="auto"/>
                  <w:vAlign w:val="center"/>
                </w:tcPr>
                <w:p>
                  <w:pPr>
                    <w:jc w:val="center"/>
                    <w:rPr>
                      <w:szCs w:val="21"/>
                    </w:rPr>
                  </w:pPr>
                  <w:r>
                    <w:rPr>
                      <w:rFonts w:hint="eastAsia"/>
                      <w:color w:val="000000"/>
                      <w:szCs w:val="21"/>
                    </w:rPr>
                    <w:t>本项目租用</w:t>
                  </w:r>
                  <w:r>
                    <w:rPr>
                      <w:rFonts w:hint="eastAsia"/>
                      <w:color w:val="000000"/>
                      <w:szCs w:val="21"/>
                      <w:lang w:val="en-US" w:eastAsia="zh-CN"/>
                    </w:rPr>
                    <w:t>15</w:t>
                  </w:r>
                  <w:r>
                    <w:rPr>
                      <w:rFonts w:hint="eastAsia"/>
                      <w:color w:val="000000"/>
                      <w:szCs w:val="21"/>
                    </w:rPr>
                    <w:t>00m</w:t>
                  </w:r>
                  <w:r>
                    <w:rPr>
                      <w:rFonts w:hint="eastAsia"/>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096" w:type="dxa"/>
                  <w:vMerge w:val="restart"/>
                  <w:shd w:val="clear" w:color="auto" w:fill="auto"/>
                  <w:vAlign w:val="center"/>
                </w:tcPr>
                <w:p>
                  <w:pPr>
                    <w:jc w:val="center"/>
                    <w:rPr>
                      <w:szCs w:val="21"/>
                    </w:rPr>
                  </w:pPr>
                  <w:r>
                    <w:rPr>
                      <w:rFonts w:hint="eastAsia"/>
                      <w:szCs w:val="21"/>
                    </w:rPr>
                    <w:t>辅助</w:t>
                  </w:r>
                </w:p>
                <w:p>
                  <w:pPr>
                    <w:jc w:val="center"/>
                    <w:rPr>
                      <w:szCs w:val="21"/>
                    </w:rPr>
                  </w:pPr>
                  <w:r>
                    <w:rPr>
                      <w:szCs w:val="21"/>
                    </w:rPr>
                    <w:t>工程</w:t>
                  </w:r>
                </w:p>
              </w:tc>
              <w:tc>
                <w:tcPr>
                  <w:tcW w:w="1599" w:type="dxa"/>
                  <w:shd w:val="clear" w:color="auto" w:fill="auto"/>
                  <w:vAlign w:val="center"/>
                </w:tcPr>
                <w:p>
                  <w:pPr>
                    <w:jc w:val="center"/>
                    <w:rPr>
                      <w:szCs w:val="21"/>
                    </w:rPr>
                  </w:pPr>
                  <w:r>
                    <w:rPr>
                      <w:rFonts w:hint="eastAsia"/>
                      <w:szCs w:val="21"/>
                    </w:rPr>
                    <w:t>厕所</w:t>
                  </w:r>
                </w:p>
              </w:tc>
              <w:tc>
                <w:tcPr>
                  <w:tcW w:w="4072" w:type="dxa"/>
                  <w:shd w:val="clear" w:color="auto" w:fill="auto"/>
                  <w:vAlign w:val="center"/>
                </w:tcPr>
                <w:p>
                  <w:pPr>
                    <w:jc w:val="left"/>
                    <w:rPr>
                      <w:szCs w:val="21"/>
                    </w:rPr>
                  </w:pPr>
                  <w:r>
                    <w:rPr>
                      <w:rFonts w:hint="eastAsia"/>
                      <w:szCs w:val="21"/>
                      <w:lang w:val="en-US" w:eastAsia="zh-CN"/>
                    </w:rPr>
                    <w:t>1</w:t>
                  </w:r>
                  <w:r>
                    <w:rPr>
                      <w:rFonts w:hint="eastAsia"/>
                      <w:szCs w:val="21"/>
                    </w:rPr>
                    <w:t>个15m</w:t>
                  </w:r>
                  <w:r>
                    <w:rPr>
                      <w:rFonts w:hint="eastAsia"/>
                      <w:szCs w:val="21"/>
                      <w:vertAlign w:val="superscript"/>
                    </w:rPr>
                    <w:t>3</w:t>
                  </w:r>
                  <w:r>
                    <w:rPr>
                      <w:rFonts w:hint="eastAsia"/>
                      <w:szCs w:val="21"/>
                    </w:rPr>
                    <w:t>化粪池</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096" w:type="dxa"/>
                  <w:vMerge w:val="continue"/>
                  <w:shd w:val="clear" w:color="auto" w:fill="auto"/>
                  <w:vAlign w:val="center"/>
                </w:tcPr>
                <w:p>
                  <w:pPr>
                    <w:jc w:val="center"/>
                    <w:rPr>
                      <w:szCs w:val="21"/>
                    </w:rPr>
                  </w:pPr>
                </w:p>
              </w:tc>
              <w:tc>
                <w:tcPr>
                  <w:tcW w:w="1599" w:type="dxa"/>
                  <w:shd w:val="clear" w:color="auto" w:fill="auto"/>
                  <w:vAlign w:val="center"/>
                </w:tcPr>
                <w:p>
                  <w:pPr>
                    <w:jc w:val="center"/>
                    <w:rPr>
                      <w:szCs w:val="21"/>
                    </w:rPr>
                  </w:pPr>
                  <w:r>
                    <w:rPr>
                      <w:rFonts w:hint="eastAsia"/>
                      <w:szCs w:val="21"/>
                    </w:rPr>
                    <w:t>门卫</w:t>
                  </w:r>
                </w:p>
              </w:tc>
              <w:tc>
                <w:tcPr>
                  <w:tcW w:w="4072" w:type="dxa"/>
                  <w:shd w:val="clear" w:color="auto" w:fill="auto"/>
                  <w:vAlign w:val="center"/>
                </w:tcPr>
                <w:p>
                  <w:pPr>
                    <w:jc w:val="left"/>
                    <w:rPr>
                      <w:szCs w:val="21"/>
                    </w:rPr>
                  </w:pPr>
                  <w:r>
                    <w:rPr>
                      <w:rFonts w:hint="eastAsia"/>
                      <w:szCs w:val="21"/>
                    </w:rPr>
                    <w:t>1个，砖混结构</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096" w:type="dxa"/>
                  <w:vMerge w:val="restart"/>
                  <w:shd w:val="clear" w:color="auto" w:fill="auto"/>
                  <w:vAlign w:val="center"/>
                </w:tcPr>
                <w:p>
                  <w:pPr>
                    <w:jc w:val="center"/>
                    <w:rPr>
                      <w:szCs w:val="21"/>
                    </w:rPr>
                  </w:pPr>
                  <w:r>
                    <w:rPr>
                      <w:szCs w:val="21"/>
                    </w:rPr>
                    <w:t>公用</w:t>
                  </w:r>
                </w:p>
                <w:p>
                  <w:pPr>
                    <w:jc w:val="center"/>
                    <w:rPr>
                      <w:szCs w:val="21"/>
                    </w:rPr>
                  </w:pPr>
                  <w:r>
                    <w:rPr>
                      <w:szCs w:val="21"/>
                    </w:rPr>
                    <w:t>工程</w:t>
                  </w:r>
                </w:p>
              </w:tc>
              <w:tc>
                <w:tcPr>
                  <w:tcW w:w="1599" w:type="dxa"/>
                  <w:shd w:val="clear" w:color="auto" w:fill="auto"/>
                  <w:vAlign w:val="center"/>
                </w:tcPr>
                <w:p>
                  <w:pPr>
                    <w:jc w:val="center"/>
                    <w:rPr>
                      <w:szCs w:val="21"/>
                    </w:rPr>
                  </w:pPr>
                  <w:r>
                    <w:rPr>
                      <w:szCs w:val="21"/>
                    </w:rPr>
                    <w:t>给水</w:t>
                  </w:r>
                </w:p>
              </w:tc>
              <w:tc>
                <w:tcPr>
                  <w:tcW w:w="4072" w:type="dxa"/>
                  <w:shd w:val="clear" w:color="auto" w:fill="auto"/>
                  <w:vAlign w:val="center"/>
                </w:tcPr>
                <w:p>
                  <w:pPr>
                    <w:jc w:val="left"/>
                    <w:rPr>
                      <w:rFonts w:hint="eastAsia" w:eastAsia="宋体"/>
                      <w:szCs w:val="21"/>
                      <w:lang w:eastAsia="zh-CN"/>
                    </w:rPr>
                  </w:pPr>
                  <w:r>
                    <w:rPr>
                      <w:rFonts w:hint="eastAsia"/>
                      <w:szCs w:val="21"/>
                      <w:lang w:eastAsia="zh-CN"/>
                    </w:rPr>
                    <w:t>镇自来水管网</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096" w:type="dxa"/>
                  <w:vMerge w:val="continue"/>
                  <w:shd w:val="clear" w:color="auto" w:fill="auto"/>
                  <w:vAlign w:val="center"/>
                </w:tcPr>
                <w:p>
                  <w:pPr>
                    <w:jc w:val="center"/>
                    <w:rPr>
                      <w:szCs w:val="21"/>
                    </w:rPr>
                  </w:pPr>
                </w:p>
              </w:tc>
              <w:tc>
                <w:tcPr>
                  <w:tcW w:w="1599" w:type="dxa"/>
                  <w:shd w:val="clear" w:color="auto" w:fill="auto"/>
                  <w:vAlign w:val="center"/>
                </w:tcPr>
                <w:p>
                  <w:pPr>
                    <w:jc w:val="center"/>
                    <w:rPr>
                      <w:szCs w:val="21"/>
                    </w:rPr>
                  </w:pPr>
                  <w:r>
                    <w:rPr>
                      <w:szCs w:val="21"/>
                    </w:rPr>
                    <w:t>供电</w:t>
                  </w:r>
                </w:p>
              </w:tc>
              <w:tc>
                <w:tcPr>
                  <w:tcW w:w="4072" w:type="dxa"/>
                  <w:shd w:val="clear" w:color="auto" w:fill="auto"/>
                  <w:vAlign w:val="center"/>
                </w:tcPr>
                <w:p>
                  <w:pPr>
                    <w:jc w:val="left"/>
                    <w:rPr>
                      <w:szCs w:val="21"/>
                    </w:rPr>
                  </w:pPr>
                  <w:r>
                    <w:rPr>
                      <w:rFonts w:hint="eastAsia"/>
                      <w:szCs w:val="21"/>
                    </w:rPr>
                    <w:t>镇配电所供给</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096" w:type="dxa"/>
                  <w:vMerge w:val="continue"/>
                  <w:shd w:val="clear" w:color="auto" w:fill="auto"/>
                  <w:vAlign w:val="center"/>
                </w:tcPr>
                <w:p>
                  <w:pPr>
                    <w:jc w:val="center"/>
                    <w:rPr>
                      <w:szCs w:val="21"/>
                    </w:rPr>
                  </w:pPr>
                </w:p>
              </w:tc>
              <w:tc>
                <w:tcPr>
                  <w:tcW w:w="1599" w:type="dxa"/>
                  <w:shd w:val="clear" w:color="auto" w:fill="auto"/>
                  <w:vAlign w:val="center"/>
                </w:tcPr>
                <w:p>
                  <w:pPr>
                    <w:jc w:val="center"/>
                    <w:rPr>
                      <w:szCs w:val="21"/>
                    </w:rPr>
                  </w:pPr>
                  <w:r>
                    <w:rPr>
                      <w:rFonts w:hint="eastAsia"/>
                      <w:szCs w:val="21"/>
                    </w:rPr>
                    <w:t>排污</w:t>
                  </w:r>
                </w:p>
              </w:tc>
              <w:tc>
                <w:tcPr>
                  <w:tcW w:w="4072" w:type="dxa"/>
                  <w:shd w:val="clear" w:color="auto" w:fill="auto"/>
                  <w:vAlign w:val="center"/>
                </w:tcPr>
                <w:p>
                  <w:pPr>
                    <w:jc w:val="left"/>
                    <w:rPr>
                      <w:szCs w:val="21"/>
                    </w:rPr>
                  </w:pPr>
                  <w:r>
                    <w:rPr>
                      <w:rFonts w:hint="eastAsia"/>
                      <w:szCs w:val="21"/>
                    </w:rPr>
                    <w:t>生活污水经化粪池收集后农户肥田</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096" w:type="dxa"/>
                  <w:vMerge w:val="restart"/>
                  <w:shd w:val="clear" w:color="auto" w:fill="auto"/>
                  <w:vAlign w:val="center"/>
                </w:tcPr>
                <w:p>
                  <w:pPr>
                    <w:jc w:val="center"/>
                    <w:rPr>
                      <w:szCs w:val="21"/>
                    </w:rPr>
                  </w:pPr>
                  <w:r>
                    <w:rPr>
                      <w:szCs w:val="21"/>
                    </w:rPr>
                    <w:t>环保</w:t>
                  </w:r>
                </w:p>
                <w:p>
                  <w:pPr>
                    <w:jc w:val="center"/>
                    <w:rPr>
                      <w:szCs w:val="21"/>
                    </w:rPr>
                  </w:pPr>
                  <w:r>
                    <w:rPr>
                      <w:szCs w:val="21"/>
                    </w:rPr>
                    <w:t>工程</w:t>
                  </w:r>
                </w:p>
              </w:tc>
              <w:tc>
                <w:tcPr>
                  <w:tcW w:w="1599" w:type="dxa"/>
                  <w:shd w:val="clear" w:color="auto" w:fill="auto"/>
                  <w:vAlign w:val="center"/>
                </w:tcPr>
                <w:p>
                  <w:pPr>
                    <w:jc w:val="center"/>
                    <w:rPr>
                      <w:szCs w:val="21"/>
                    </w:rPr>
                  </w:pPr>
                  <w:r>
                    <w:rPr>
                      <w:rFonts w:hint="eastAsia"/>
                      <w:szCs w:val="21"/>
                    </w:rPr>
                    <w:t>废气</w:t>
                  </w:r>
                </w:p>
              </w:tc>
              <w:tc>
                <w:tcPr>
                  <w:tcW w:w="4072" w:type="dxa"/>
                  <w:shd w:val="clear" w:color="auto" w:fill="auto"/>
                  <w:vAlign w:val="center"/>
                </w:tcPr>
                <w:p>
                  <w:pPr>
                    <w:jc w:val="left"/>
                    <w:rPr>
                      <w:color w:val="000000"/>
                      <w:szCs w:val="21"/>
                    </w:rPr>
                  </w:pPr>
                  <w:r>
                    <w:rPr>
                      <w:rFonts w:hint="eastAsia"/>
                      <w:color w:val="000000"/>
                      <w:szCs w:val="21"/>
                    </w:rPr>
                    <w:t>二保焊及激光切割：焊接区车间内二次密闭+袋式除尘器</w:t>
                  </w:r>
                  <w:r>
                    <w:rPr>
                      <w:rFonts w:hint="eastAsia"/>
                      <w:szCs w:val="21"/>
                    </w:rPr>
                    <w:t>+ 15m排气筒1套</w:t>
                  </w:r>
                </w:p>
              </w:tc>
              <w:tc>
                <w:tcPr>
                  <w:tcW w:w="2173"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1096" w:type="dxa"/>
                  <w:vMerge w:val="continue"/>
                  <w:shd w:val="clear" w:color="auto" w:fill="auto"/>
                  <w:vAlign w:val="center"/>
                </w:tcPr>
                <w:p>
                  <w:pPr>
                    <w:jc w:val="center"/>
                    <w:rPr>
                      <w:szCs w:val="21"/>
                    </w:rPr>
                  </w:pPr>
                </w:p>
              </w:tc>
              <w:tc>
                <w:tcPr>
                  <w:tcW w:w="1599" w:type="dxa"/>
                  <w:shd w:val="clear" w:color="auto" w:fill="auto"/>
                  <w:vAlign w:val="center"/>
                </w:tcPr>
                <w:p>
                  <w:pPr>
                    <w:jc w:val="center"/>
                    <w:rPr>
                      <w:szCs w:val="21"/>
                    </w:rPr>
                  </w:pPr>
                  <w:r>
                    <w:rPr>
                      <w:rFonts w:hint="eastAsia"/>
                      <w:szCs w:val="21"/>
                    </w:rPr>
                    <w:t>废水</w:t>
                  </w:r>
                </w:p>
              </w:tc>
              <w:tc>
                <w:tcPr>
                  <w:tcW w:w="4072" w:type="dxa"/>
                  <w:shd w:val="clear" w:color="auto" w:fill="auto"/>
                  <w:vAlign w:val="center"/>
                </w:tcPr>
                <w:p>
                  <w:pPr>
                    <w:jc w:val="left"/>
                    <w:rPr>
                      <w:color w:val="000000" w:themeColor="text1"/>
                      <w:szCs w:val="21"/>
                    </w:rPr>
                  </w:pPr>
                  <w:r>
                    <w:rPr>
                      <w:rFonts w:hint="eastAsia"/>
                      <w:color w:val="000000" w:themeColor="text1"/>
                      <w:szCs w:val="21"/>
                    </w:rPr>
                    <w:t>生活污水：15m</w:t>
                  </w:r>
                  <w:r>
                    <w:rPr>
                      <w:rFonts w:hint="eastAsia"/>
                      <w:color w:val="000000" w:themeColor="text1"/>
                      <w:szCs w:val="21"/>
                      <w:vertAlign w:val="superscript"/>
                    </w:rPr>
                    <w:t>3</w:t>
                  </w:r>
                  <w:r>
                    <w:rPr>
                      <w:rFonts w:hint="eastAsia"/>
                      <w:color w:val="000000" w:themeColor="text1"/>
                      <w:szCs w:val="21"/>
                    </w:rPr>
                    <w:t>化粪池2个</w:t>
                  </w:r>
                </w:p>
              </w:tc>
              <w:tc>
                <w:tcPr>
                  <w:tcW w:w="2173" w:type="dxa"/>
                  <w:shd w:val="clear" w:color="auto" w:fill="auto"/>
                  <w:vAlign w:val="center"/>
                </w:tcPr>
                <w:p>
                  <w:pPr>
                    <w:jc w:val="center"/>
                    <w:rPr>
                      <w:szCs w:val="21"/>
                    </w:rPr>
                  </w:pPr>
                  <w:r>
                    <w:rPr>
                      <w:rFonts w:hint="eastAsia"/>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096" w:type="dxa"/>
                  <w:vMerge w:val="continue"/>
                  <w:shd w:val="clear" w:color="auto" w:fill="auto"/>
                  <w:vAlign w:val="center"/>
                </w:tcPr>
                <w:p>
                  <w:pPr>
                    <w:jc w:val="center"/>
                    <w:rPr>
                      <w:szCs w:val="21"/>
                    </w:rPr>
                  </w:pPr>
                </w:p>
              </w:tc>
              <w:tc>
                <w:tcPr>
                  <w:tcW w:w="1599" w:type="dxa"/>
                  <w:shd w:val="clear" w:color="auto" w:fill="auto"/>
                  <w:vAlign w:val="center"/>
                </w:tcPr>
                <w:p>
                  <w:pPr>
                    <w:jc w:val="center"/>
                    <w:rPr>
                      <w:szCs w:val="21"/>
                    </w:rPr>
                  </w:pPr>
                  <w:r>
                    <w:rPr>
                      <w:rFonts w:hint="eastAsia"/>
                      <w:szCs w:val="21"/>
                    </w:rPr>
                    <w:t>噪声</w:t>
                  </w:r>
                </w:p>
              </w:tc>
              <w:tc>
                <w:tcPr>
                  <w:tcW w:w="4072" w:type="dxa"/>
                  <w:shd w:val="clear" w:color="auto" w:fill="auto"/>
                  <w:vAlign w:val="center"/>
                </w:tcPr>
                <w:p>
                  <w:pPr>
                    <w:jc w:val="left"/>
                    <w:rPr>
                      <w:color w:val="000000" w:themeColor="text1"/>
                      <w:szCs w:val="21"/>
                    </w:rPr>
                  </w:pPr>
                  <w:r>
                    <w:rPr>
                      <w:rFonts w:hint="eastAsia"/>
                      <w:color w:val="000000" w:themeColor="text1"/>
                      <w:szCs w:val="21"/>
                    </w:rPr>
                    <w:t>高噪设备：安装减震、降噪设施</w:t>
                  </w:r>
                </w:p>
              </w:tc>
              <w:tc>
                <w:tcPr>
                  <w:tcW w:w="2173"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096" w:type="dxa"/>
                  <w:vMerge w:val="continue"/>
                  <w:shd w:val="clear" w:color="auto" w:fill="auto"/>
                  <w:vAlign w:val="center"/>
                </w:tcPr>
                <w:p>
                  <w:pPr>
                    <w:jc w:val="center"/>
                    <w:rPr>
                      <w:szCs w:val="21"/>
                    </w:rPr>
                  </w:pPr>
                </w:p>
              </w:tc>
              <w:tc>
                <w:tcPr>
                  <w:tcW w:w="1599" w:type="dxa"/>
                  <w:vMerge w:val="restart"/>
                  <w:shd w:val="clear" w:color="auto" w:fill="auto"/>
                  <w:vAlign w:val="center"/>
                </w:tcPr>
                <w:p>
                  <w:pPr>
                    <w:jc w:val="center"/>
                    <w:rPr>
                      <w:szCs w:val="21"/>
                    </w:rPr>
                  </w:pPr>
                  <w:r>
                    <w:rPr>
                      <w:rFonts w:hint="eastAsia"/>
                      <w:szCs w:val="21"/>
                    </w:rPr>
                    <w:t>固废</w:t>
                  </w:r>
                </w:p>
              </w:tc>
              <w:tc>
                <w:tcPr>
                  <w:tcW w:w="4072" w:type="dxa"/>
                  <w:shd w:val="clear" w:color="auto" w:fill="auto"/>
                  <w:vAlign w:val="center"/>
                </w:tcPr>
                <w:p>
                  <w:pPr>
                    <w:rPr>
                      <w:color w:val="000000" w:themeColor="text1"/>
                      <w:spacing w:val="-12"/>
                      <w:szCs w:val="21"/>
                    </w:rPr>
                  </w:pPr>
                  <w:r>
                    <w:rPr>
                      <w:rFonts w:hint="eastAsia"/>
                      <w:color w:val="000000" w:themeColor="text1"/>
                      <w:spacing w:val="-12"/>
                      <w:szCs w:val="21"/>
                    </w:rPr>
                    <w:t>废包装袋、废边角料：10m</w:t>
                  </w:r>
                  <w:r>
                    <w:rPr>
                      <w:rFonts w:hint="eastAsia"/>
                      <w:color w:val="000000" w:themeColor="text1"/>
                      <w:spacing w:val="-12"/>
                      <w:szCs w:val="21"/>
                      <w:vertAlign w:val="superscript"/>
                    </w:rPr>
                    <w:t>2</w:t>
                  </w:r>
                  <w:r>
                    <w:rPr>
                      <w:rFonts w:hint="eastAsia"/>
                      <w:color w:val="000000" w:themeColor="text1"/>
                      <w:spacing w:val="-12"/>
                      <w:szCs w:val="21"/>
                    </w:rPr>
                    <w:t>固废堆场1个</w:t>
                  </w:r>
                </w:p>
              </w:tc>
              <w:tc>
                <w:tcPr>
                  <w:tcW w:w="2173"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1096" w:type="dxa"/>
                  <w:vMerge w:val="continue"/>
                  <w:shd w:val="clear" w:color="auto" w:fill="auto"/>
                  <w:vAlign w:val="center"/>
                </w:tcPr>
                <w:p>
                  <w:pPr>
                    <w:jc w:val="center"/>
                    <w:rPr>
                      <w:szCs w:val="21"/>
                    </w:rPr>
                  </w:pPr>
                </w:p>
              </w:tc>
              <w:tc>
                <w:tcPr>
                  <w:tcW w:w="1599" w:type="dxa"/>
                  <w:vMerge w:val="continue"/>
                  <w:shd w:val="clear" w:color="auto" w:fill="auto"/>
                  <w:vAlign w:val="center"/>
                </w:tcPr>
                <w:p>
                  <w:pPr>
                    <w:jc w:val="center"/>
                    <w:rPr>
                      <w:szCs w:val="21"/>
                    </w:rPr>
                  </w:pPr>
                </w:p>
              </w:tc>
              <w:tc>
                <w:tcPr>
                  <w:tcW w:w="4072" w:type="dxa"/>
                  <w:shd w:val="clear" w:color="auto" w:fill="auto"/>
                  <w:vAlign w:val="center"/>
                </w:tcPr>
                <w:p>
                  <w:pPr>
                    <w:rPr>
                      <w:color w:val="000000" w:themeColor="text1"/>
                      <w:spacing w:val="-12"/>
                      <w:szCs w:val="21"/>
                    </w:rPr>
                  </w:pPr>
                  <w:r>
                    <w:rPr>
                      <w:rFonts w:hint="eastAsia"/>
                      <w:color w:val="000000" w:themeColor="text1"/>
                      <w:spacing w:val="-12"/>
                      <w:szCs w:val="21"/>
                    </w:rPr>
                    <w:t>废机油：5m</w:t>
                  </w:r>
                  <w:r>
                    <w:rPr>
                      <w:rFonts w:hint="eastAsia"/>
                      <w:color w:val="000000" w:themeColor="text1"/>
                      <w:spacing w:val="-12"/>
                      <w:szCs w:val="21"/>
                      <w:vertAlign w:val="superscript"/>
                    </w:rPr>
                    <w:t>2</w:t>
                  </w:r>
                  <w:r>
                    <w:rPr>
                      <w:rFonts w:hint="eastAsia"/>
                      <w:color w:val="000000" w:themeColor="text1"/>
                      <w:spacing w:val="-12"/>
                      <w:szCs w:val="21"/>
                    </w:rPr>
                    <w:t>危废间1个</w:t>
                  </w:r>
                </w:p>
              </w:tc>
              <w:tc>
                <w:tcPr>
                  <w:tcW w:w="2173"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096" w:type="dxa"/>
                  <w:vMerge w:val="continue"/>
                  <w:shd w:val="clear" w:color="auto" w:fill="auto"/>
                  <w:vAlign w:val="center"/>
                </w:tcPr>
                <w:p>
                  <w:pPr>
                    <w:jc w:val="center"/>
                    <w:rPr>
                      <w:szCs w:val="21"/>
                    </w:rPr>
                  </w:pPr>
                </w:p>
              </w:tc>
              <w:tc>
                <w:tcPr>
                  <w:tcW w:w="1599" w:type="dxa"/>
                  <w:vMerge w:val="continue"/>
                  <w:shd w:val="clear" w:color="auto" w:fill="auto"/>
                  <w:vAlign w:val="center"/>
                </w:tcPr>
                <w:p>
                  <w:pPr>
                    <w:jc w:val="center"/>
                    <w:rPr>
                      <w:szCs w:val="21"/>
                    </w:rPr>
                  </w:pPr>
                </w:p>
              </w:tc>
              <w:tc>
                <w:tcPr>
                  <w:tcW w:w="4072" w:type="dxa"/>
                  <w:shd w:val="clear" w:color="auto" w:fill="auto"/>
                  <w:vAlign w:val="center"/>
                </w:tcPr>
                <w:p>
                  <w:pPr>
                    <w:jc w:val="left"/>
                    <w:rPr>
                      <w:szCs w:val="21"/>
                    </w:rPr>
                  </w:pPr>
                  <w:r>
                    <w:rPr>
                      <w:rFonts w:hint="eastAsia"/>
                      <w:szCs w:val="21"/>
                    </w:rPr>
                    <w:t>生活垃圾：生活垃圾收集桶若干</w:t>
                  </w:r>
                </w:p>
              </w:tc>
              <w:tc>
                <w:tcPr>
                  <w:tcW w:w="2173" w:type="dxa"/>
                  <w:shd w:val="clear" w:color="auto" w:fill="auto"/>
                  <w:vAlign w:val="center"/>
                </w:tcPr>
                <w:p>
                  <w:pPr>
                    <w:jc w:val="center"/>
                    <w:rPr>
                      <w:szCs w:val="21"/>
                    </w:rPr>
                  </w:pPr>
                  <w:r>
                    <w:rPr>
                      <w:rFonts w:hint="eastAsia"/>
                      <w:szCs w:val="21"/>
                    </w:rPr>
                    <w:t>/</w:t>
                  </w:r>
                </w:p>
              </w:tc>
            </w:tr>
          </w:tbl>
          <w:p>
            <w:pPr>
              <w:spacing w:line="360" w:lineRule="auto"/>
              <w:jc w:val="left"/>
              <w:rPr>
                <w:b/>
                <w:sz w:val="24"/>
                <w:szCs w:val="24"/>
              </w:rPr>
            </w:pPr>
            <w:r>
              <w:rPr>
                <w:rFonts w:hint="eastAsia"/>
                <w:b/>
                <w:sz w:val="24"/>
                <w:szCs w:val="24"/>
              </w:rPr>
              <w:t>3 主要生产设备</w:t>
            </w:r>
          </w:p>
          <w:p>
            <w:pPr>
              <w:spacing w:line="360" w:lineRule="auto"/>
              <w:ind w:firstLine="480" w:firstLineChars="200"/>
              <w:rPr>
                <w:color w:val="000000" w:themeColor="text1"/>
                <w:sz w:val="24"/>
                <w:szCs w:val="24"/>
                <w:u w:val="single"/>
              </w:rPr>
            </w:pPr>
            <w:r>
              <w:rPr>
                <w:rFonts w:hint="eastAsia"/>
                <w:color w:val="000000" w:themeColor="text1"/>
                <w:sz w:val="24"/>
                <w:szCs w:val="24"/>
                <w:u w:val="single"/>
              </w:rPr>
              <w:t>本项目</w:t>
            </w:r>
            <w:r>
              <w:rPr>
                <w:color w:val="000000" w:themeColor="text1"/>
                <w:sz w:val="24"/>
                <w:szCs w:val="24"/>
                <w:u w:val="single"/>
              </w:rPr>
              <w:t>主要生产设备见表</w:t>
            </w:r>
            <w:r>
              <w:rPr>
                <w:rFonts w:hint="eastAsia"/>
                <w:color w:val="000000" w:themeColor="text1"/>
                <w:sz w:val="24"/>
                <w:szCs w:val="24"/>
                <w:u w:val="single"/>
              </w:rPr>
              <w:t>2</w:t>
            </w:r>
            <w:r>
              <w:rPr>
                <w:color w:val="000000" w:themeColor="text1"/>
                <w:sz w:val="24"/>
                <w:szCs w:val="24"/>
                <w:u w:val="single"/>
              </w:rPr>
              <w:t>。</w:t>
            </w:r>
          </w:p>
          <w:p>
            <w:pPr>
              <w:adjustRightInd w:val="0"/>
              <w:snapToGrid w:val="0"/>
              <w:ind w:firstLine="1320" w:firstLineChars="550"/>
              <w:rPr>
                <w:rFonts w:ascii="黑体" w:eastAsia="黑体"/>
                <w:color w:val="000000" w:themeColor="text1"/>
                <w:kern w:val="0"/>
                <w:sz w:val="24"/>
                <w:szCs w:val="24"/>
                <w:u w:val="single"/>
              </w:rPr>
            </w:pPr>
            <w:r>
              <w:rPr>
                <w:rFonts w:hint="eastAsia" w:ascii="黑体" w:eastAsia="黑体"/>
                <w:color w:val="000000" w:themeColor="text1"/>
                <w:kern w:val="0"/>
                <w:sz w:val="24"/>
                <w:szCs w:val="24"/>
                <w:u w:val="single"/>
              </w:rPr>
              <w:t>表2                   主要生产设备一览表</w:t>
            </w:r>
          </w:p>
          <w:tbl>
            <w:tblPr>
              <w:tblStyle w:val="27"/>
              <w:tblW w:w="86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2577"/>
              <w:gridCol w:w="2292"/>
              <w:gridCol w:w="1290"/>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项目</w:t>
                  </w:r>
                </w:p>
              </w:tc>
              <w:tc>
                <w:tcPr>
                  <w:tcW w:w="2577" w:type="dxa"/>
                  <w:vAlign w:val="center"/>
                </w:tcPr>
                <w:p>
                  <w:pPr>
                    <w:jc w:val="center"/>
                    <w:rPr>
                      <w:szCs w:val="21"/>
                    </w:rPr>
                  </w:pPr>
                  <w:r>
                    <w:rPr>
                      <w:rFonts w:hint="eastAsia"/>
                      <w:szCs w:val="21"/>
                    </w:rPr>
                    <w:t>设备名称</w:t>
                  </w:r>
                </w:p>
              </w:tc>
              <w:tc>
                <w:tcPr>
                  <w:tcW w:w="2292" w:type="dxa"/>
                  <w:vAlign w:val="center"/>
                </w:tcPr>
                <w:p>
                  <w:pPr>
                    <w:jc w:val="center"/>
                    <w:rPr>
                      <w:szCs w:val="21"/>
                    </w:rPr>
                  </w:pPr>
                  <w:r>
                    <w:rPr>
                      <w:rFonts w:hint="eastAsia"/>
                      <w:szCs w:val="21"/>
                    </w:rPr>
                    <w:t>型号（规格）</w:t>
                  </w:r>
                </w:p>
              </w:tc>
              <w:tc>
                <w:tcPr>
                  <w:tcW w:w="1290" w:type="dxa"/>
                  <w:vAlign w:val="center"/>
                </w:tcPr>
                <w:p>
                  <w:pPr>
                    <w:jc w:val="center"/>
                    <w:rPr>
                      <w:szCs w:val="21"/>
                    </w:rPr>
                  </w:pPr>
                  <w:r>
                    <w:rPr>
                      <w:rFonts w:hint="eastAsia"/>
                      <w:szCs w:val="21"/>
                    </w:rPr>
                    <w:t>数量台</w:t>
                  </w:r>
                </w:p>
              </w:tc>
              <w:tc>
                <w:tcPr>
                  <w:tcW w:w="1461" w:type="dxa"/>
                  <w:vAlign w:val="center"/>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1</w:t>
                  </w:r>
                </w:p>
              </w:tc>
              <w:tc>
                <w:tcPr>
                  <w:tcW w:w="2577" w:type="dxa"/>
                  <w:vAlign w:val="center"/>
                </w:tcPr>
                <w:p>
                  <w:pPr>
                    <w:jc w:val="center"/>
                    <w:rPr>
                      <w:szCs w:val="21"/>
                    </w:rPr>
                  </w:pPr>
                  <w:r>
                    <w:rPr>
                      <w:rFonts w:hint="eastAsia"/>
                      <w:szCs w:val="21"/>
                    </w:rPr>
                    <w:t>激光切割机</w:t>
                  </w:r>
                </w:p>
              </w:tc>
              <w:tc>
                <w:tcPr>
                  <w:tcW w:w="2292" w:type="dxa"/>
                  <w:vAlign w:val="center"/>
                </w:tcPr>
                <w:p>
                  <w:pPr>
                    <w:jc w:val="center"/>
                    <w:rPr>
                      <w:szCs w:val="21"/>
                    </w:rPr>
                  </w:pPr>
                  <w:r>
                    <w:rPr>
                      <w:rFonts w:hint="eastAsia"/>
                      <w:szCs w:val="21"/>
                    </w:rPr>
                    <w:t>IP-4020</w:t>
                  </w:r>
                </w:p>
              </w:tc>
              <w:tc>
                <w:tcPr>
                  <w:tcW w:w="1290" w:type="dxa"/>
                  <w:vAlign w:val="center"/>
                </w:tcPr>
                <w:p>
                  <w:pPr>
                    <w:jc w:val="center"/>
                    <w:rPr>
                      <w:rFonts w:hint="eastAsia" w:eastAsia="宋体"/>
                      <w:szCs w:val="21"/>
                      <w:lang w:eastAsia="zh-CN"/>
                    </w:rPr>
                  </w:pPr>
                  <w:r>
                    <w:rPr>
                      <w:rFonts w:hint="eastAsia"/>
                      <w:szCs w:val="21"/>
                      <w:lang w:val="en-US" w:eastAsia="zh-CN"/>
                    </w:rPr>
                    <w:t>2</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2</w:t>
                  </w:r>
                </w:p>
              </w:tc>
              <w:tc>
                <w:tcPr>
                  <w:tcW w:w="2577" w:type="dxa"/>
                  <w:vAlign w:val="center"/>
                </w:tcPr>
                <w:p>
                  <w:pPr>
                    <w:jc w:val="center"/>
                    <w:rPr>
                      <w:szCs w:val="21"/>
                    </w:rPr>
                  </w:pPr>
                  <w:r>
                    <w:rPr>
                      <w:rFonts w:hint="eastAsia"/>
                      <w:szCs w:val="21"/>
                    </w:rPr>
                    <w:t>折弯机</w:t>
                  </w:r>
                </w:p>
              </w:tc>
              <w:tc>
                <w:tcPr>
                  <w:tcW w:w="2292" w:type="dxa"/>
                  <w:vAlign w:val="center"/>
                </w:tcPr>
                <w:p>
                  <w:pPr>
                    <w:jc w:val="center"/>
                    <w:rPr>
                      <w:szCs w:val="21"/>
                    </w:rPr>
                  </w:pPr>
                  <w:r>
                    <w:rPr>
                      <w:rFonts w:hint="eastAsia"/>
                      <w:szCs w:val="21"/>
                    </w:rPr>
                    <w:t>2.5</w:t>
                  </w:r>
                </w:p>
              </w:tc>
              <w:tc>
                <w:tcPr>
                  <w:tcW w:w="1290" w:type="dxa"/>
                  <w:vAlign w:val="center"/>
                </w:tcPr>
                <w:p>
                  <w:pPr>
                    <w:jc w:val="center"/>
                    <w:rPr>
                      <w:szCs w:val="21"/>
                    </w:rPr>
                  </w:pPr>
                  <w:r>
                    <w:rPr>
                      <w:rFonts w:hint="eastAsia"/>
                      <w:szCs w:val="21"/>
                    </w:rPr>
                    <w:t>2</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jc w:val="center"/>
              </w:trPr>
              <w:tc>
                <w:tcPr>
                  <w:tcW w:w="1035" w:type="dxa"/>
                  <w:vAlign w:val="center"/>
                </w:tcPr>
                <w:p>
                  <w:pPr>
                    <w:jc w:val="center"/>
                    <w:rPr>
                      <w:szCs w:val="21"/>
                    </w:rPr>
                  </w:pPr>
                  <w:r>
                    <w:rPr>
                      <w:rFonts w:hint="eastAsia"/>
                      <w:szCs w:val="21"/>
                    </w:rPr>
                    <w:t>3</w:t>
                  </w:r>
                </w:p>
              </w:tc>
              <w:tc>
                <w:tcPr>
                  <w:tcW w:w="2577" w:type="dxa"/>
                  <w:vAlign w:val="center"/>
                </w:tcPr>
                <w:p>
                  <w:pPr>
                    <w:jc w:val="center"/>
                    <w:rPr>
                      <w:szCs w:val="21"/>
                    </w:rPr>
                  </w:pPr>
                  <w:r>
                    <w:rPr>
                      <w:rFonts w:hint="eastAsia"/>
                      <w:color w:val="000000"/>
                      <w:szCs w:val="21"/>
                    </w:rPr>
                    <w:t>冲床</w:t>
                  </w:r>
                </w:p>
              </w:tc>
              <w:tc>
                <w:tcPr>
                  <w:tcW w:w="2292" w:type="dxa"/>
                  <w:vAlign w:val="center"/>
                </w:tcPr>
                <w:p>
                  <w:pPr>
                    <w:jc w:val="center"/>
                    <w:rPr>
                      <w:szCs w:val="21"/>
                    </w:rPr>
                  </w:pPr>
                  <w:r>
                    <w:rPr>
                      <w:rFonts w:hint="eastAsia"/>
                      <w:szCs w:val="21"/>
                    </w:rPr>
                    <w:t>25T</w:t>
                  </w:r>
                </w:p>
              </w:tc>
              <w:tc>
                <w:tcPr>
                  <w:tcW w:w="1290" w:type="dxa"/>
                  <w:vAlign w:val="center"/>
                </w:tcPr>
                <w:p>
                  <w:pPr>
                    <w:jc w:val="center"/>
                    <w:rPr>
                      <w:szCs w:val="21"/>
                    </w:rPr>
                  </w:pPr>
                  <w:r>
                    <w:rPr>
                      <w:rFonts w:hint="eastAsia"/>
                      <w:szCs w:val="21"/>
                    </w:rPr>
                    <w:t>2</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jc w:val="center"/>
              </w:trPr>
              <w:tc>
                <w:tcPr>
                  <w:tcW w:w="1035" w:type="dxa"/>
                  <w:vAlign w:val="center"/>
                </w:tcPr>
                <w:p>
                  <w:pPr>
                    <w:jc w:val="center"/>
                    <w:rPr>
                      <w:szCs w:val="21"/>
                    </w:rPr>
                  </w:pPr>
                  <w:r>
                    <w:rPr>
                      <w:rFonts w:hint="eastAsia"/>
                      <w:szCs w:val="21"/>
                    </w:rPr>
                    <w:t>4</w:t>
                  </w:r>
                </w:p>
              </w:tc>
              <w:tc>
                <w:tcPr>
                  <w:tcW w:w="2577" w:type="dxa"/>
                  <w:vAlign w:val="center"/>
                </w:tcPr>
                <w:p>
                  <w:pPr>
                    <w:jc w:val="center"/>
                    <w:rPr>
                      <w:color w:val="000000"/>
                      <w:szCs w:val="21"/>
                    </w:rPr>
                  </w:pPr>
                  <w:r>
                    <w:rPr>
                      <w:rFonts w:hint="eastAsia"/>
                      <w:szCs w:val="21"/>
                    </w:rPr>
                    <w:t>二保焊</w:t>
                  </w:r>
                </w:p>
              </w:tc>
              <w:tc>
                <w:tcPr>
                  <w:tcW w:w="2292" w:type="dxa"/>
                  <w:vAlign w:val="center"/>
                </w:tcPr>
                <w:p>
                  <w:pPr>
                    <w:jc w:val="center"/>
                    <w:rPr>
                      <w:szCs w:val="21"/>
                    </w:rPr>
                  </w:pPr>
                  <w:r>
                    <w:rPr>
                      <w:rFonts w:hint="eastAsia"/>
                      <w:szCs w:val="21"/>
                    </w:rPr>
                    <w:t>NBC350</w:t>
                  </w:r>
                </w:p>
              </w:tc>
              <w:tc>
                <w:tcPr>
                  <w:tcW w:w="1290" w:type="dxa"/>
                  <w:vAlign w:val="center"/>
                </w:tcPr>
                <w:p>
                  <w:pPr>
                    <w:jc w:val="center"/>
                    <w:rPr>
                      <w:rFonts w:hint="eastAsia" w:eastAsia="宋体"/>
                      <w:szCs w:val="21"/>
                      <w:lang w:eastAsia="zh-CN"/>
                    </w:rPr>
                  </w:pPr>
                  <w:r>
                    <w:rPr>
                      <w:rFonts w:hint="eastAsia"/>
                      <w:szCs w:val="21"/>
                      <w:lang w:val="en-US" w:eastAsia="zh-CN"/>
                    </w:rPr>
                    <w:t>4</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1035" w:type="dxa"/>
                  <w:vAlign w:val="center"/>
                </w:tcPr>
                <w:p>
                  <w:pPr>
                    <w:jc w:val="center"/>
                    <w:rPr>
                      <w:szCs w:val="21"/>
                    </w:rPr>
                  </w:pPr>
                  <w:r>
                    <w:rPr>
                      <w:rFonts w:hint="eastAsia"/>
                      <w:szCs w:val="21"/>
                    </w:rPr>
                    <w:t>5</w:t>
                  </w:r>
                </w:p>
              </w:tc>
              <w:tc>
                <w:tcPr>
                  <w:tcW w:w="2577" w:type="dxa"/>
                  <w:vAlign w:val="center"/>
                </w:tcPr>
                <w:p>
                  <w:pPr>
                    <w:jc w:val="center"/>
                    <w:rPr>
                      <w:color w:val="000000"/>
                      <w:szCs w:val="21"/>
                    </w:rPr>
                  </w:pPr>
                  <w:r>
                    <w:rPr>
                      <w:rFonts w:hint="eastAsia"/>
                      <w:szCs w:val="21"/>
                    </w:rPr>
                    <w:t>点焊机</w:t>
                  </w:r>
                </w:p>
              </w:tc>
              <w:tc>
                <w:tcPr>
                  <w:tcW w:w="2292" w:type="dxa"/>
                  <w:vAlign w:val="center"/>
                </w:tcPr>
                <w:p>
                  <w:pPr>
                    <w:jc w:val="center"/>
                    <w:rPr>
                      <w:szCs w:val="21"/>
                    </w:rPr>
                  </w:pPr>
                  <w:r>
                    <w:rPr>
                      <w:rFonts w:hint="eastAsia"/>
                      <w:szCs w:val="21"/>
                    </w:rPr>
                    <w:t>/</w:t>
                  </w:r>
                </w:p>
              </w:tc>
              <w:tc>
                <w:tcPr>
                  <w:tcW w:w="1290" w:type="dxa"/>
                  <w:vAlign w:val="center"/>
                </w:tcPr>
                <w:p>
                  <w:pPr>
                    <w:jc w:val="center"/>
                    <w:rPr>
                      <w:rFonts w:hint="eastAsia" w:eastAsia="宋体"/>
                      <w:szCs w:val="21"/>
                      <w:lang w:eastAsia="zh-CN"/>
                    </w:rPr>
                  </w:pPr>
                  <w:r>
                    <w:rPr>
                      <w:rFonts w:hint="eastAsia"/>
                      <w:szCs w:val="21"/>
                      <w:lang w:val="en-US" w:eastAsia="zh-CN"/>
                    </w:rPr>
                    <w:t>4</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jc w:val="center"/>
              </w:trPr>
              <w:tc>
                <w:tcPr>
                  <w:tcW w:w="1035" w:type="dxa"/>
                  <w:vAlign w:val="center"/>
                </w:tcPr>
                <w:p>
                  <w:pPr>
                    <w:jc w:val="center"/>
                    <w:rPr>
                      <w:szCs w:val="21"/>
                    </w:rPr>
                  </w:pPr>
                  <w:r>
                    <w:rPr>
                      <w:rFonts w:hint="eastAsia"/>
                      <w:szCs w:val="21"/>
                    </w:rPr>
                    <w:t>6</w:t>
                  </w:r>
                </w:p>
              </w:tc>
              <w:tc>
                <w:tcPr>
                  <w:tcW w:w="2577" w:type="dxa"/>
                  <w:vAlign w:val="center"/>
                </w:tcPr>
                <w:p>
                  <w:pPr>
                    <w:jc w:val="center"/>
                    <w:rPr>
                      <w:szCs w:val="21"/>
                    </w:rPr>
                  </w:pPr>
                  <w:r>
                    <w:rPr>
                      <w:szCs w:val="21"/>
                    </w:rPr>
                    <w:t>空压机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1035" w:type="dxa"/>
                  <w:vAlign w:val="center"/>
                </w:tcPr>
                <w:p>
                  <w:pPr>
                    <w:jc w:val="center"/>
                    <w:rPr>
                      <w:szCs w:val="21"/>
                    </w:rPr>
                  </w:pPr>
                  <w:r>
                    <w:rPr>
                      <w:rFonts w:hint="eastAsia"/>
                      <w:szCs w:val="21"/>
                    </w:rPr>
                    <w:t>7</w:t>
                  </w:r>
                </w:p>
              </w:tc>
              <w:tc>
                <w:tcPr>
                  <w:tcW w:w="2577" w:type="dxa"/>
                  <w:vAlign w:val="center"/>
                </w:tcPr>
                <w:p>
                  <w:pPr>
                    <w:jc w:val="center"/>
                    <w:rPr>
                      <w:szCs w:val="21"/>
                    </w:rPr>
                  </w:pPr>
                  <w:r>
                    <w:rPr>
                      <w:rFonts w:hint="eastAsia"/>
                      <w:szCs w:val="21"/>
                    </w:rPr>
                    <w:t>切割机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8</w:t>
                  </w:r>
                </w:p>
              </w:tc>
              <w:tc>
                <w:tcPr>
                  <w:tcW w:w="2577" w:type="dxa"/>
                  <w:vAlign w:val="center"/>
                </w:tcPr>
                <w:p>
                  <w:pPr>
                    <w:jc w:val="center"/>
                    <w:rPr>
                      <w:szCs w:val="21"/>
                    </w:rPr>
                  </w:pPr>
                  <w:r>
                    <w:rPr>
                      <w:rFonts w:hint="eastAsia"/>
                      <w:szCs w:val="21"/>
                    </w:rPr>
                    <w:t>铜板焊</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9</w:t>
                  </w:r>
                </w:p>
              </w:tc>
              <w:tc>
                <w:tcPr>
                  <w:tcW w:w="2577" w:type="dxa"/>
                  <w:vAlign w:val="center"/>
                </w:tcPr>
                <w:p>
                  <w:pPr>
                    <w:jc w:val="center"/>
                    <w:rPr>
                      <w:szCs w:val="21"/>
                    </w:rPr>
                  </w:pPr>
                  <w:r>
                    <w:rPr>
                      <w:rFonts w:hint="eastAsia"/>
                      <w:szCs w:val="21"/>
                    </w:rPr>
                    <w:t>剪板机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10</w:t>
                  </w:r>
                </w:p>
              </w:tc>
              <w:tc>
                <w:tcPr>
                  <w:tcW w:w="2577" w:type="dxa"/>
                  <w:vAlign w:val="center"/>
                </w:tcPr>
                <w:p>
                  <w:pPr>
                    <w:jc w:val="center"/>
                    <w:rPr>
                      <w:szCs w:val="21"/>
                    </w:rPr>
                  </w:pPr>
                  <w:r>
                    <w:rPr>
                      <w:rFonts w:hint="eastAsia"/>
                      <w:szCs w:val="21"/>
                    </w:rPr>
                    <w:t>冷压式压力机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rFonts w:hint="eastAsia"/>
                      <w:szCs w:val="21"/>
                    </w:rPr>
                  </w:pPr>
                  <w:r>
                    <w:rPr>
                      <w:rFonts w:hint="eastAsia"/>
                      <w:szCs w:val="21"/>
                    </w:rPr>
                    <w:t>11</w:t>
                  </w:r>
                </w:p>
              </w:tc>
              <w:tc>
                <w:tcPr>
                  <w:tcW w:w="2577" w:type="dxa"/>
                  <w:vAlign w:val="center"/>
                </w:tcPr>
                <w:p>
                  <w:pPr>
                    <w:jc w:val="center"/>
                    <w:rPr>
                      <w:rFonts w:hint="eastAsia"/>
                      <w:szCs w:val="21"/>
                    </w:rPr>
                  </w:pPr>
                  <w:r>
                    <w:rPr>
                      <w:rFonts w:hint="eastAsia"/>
                      <w:szCs w:val="21"/>
                    </w:rPr>
                    <w:t>砂轮打磨机</w:t>
                  </w:r>
                </w:p>
              </w:tc>
              <w:tc>
                <w:tcPr>
                  <w:tcW w:w="2292" w:type="dxa"/>
                  <w:vAlign w:val="center"/>
                </w:tcPr>
                <w:p>
                  <w:pPr>
                    <w:jc w:val="center"/>
                    <w:rPr>
                      <w:rFonts w:hint="eastAsia"/>
                      <w:szCs w:val="21"/>
                    </w:rPr>
                  </w:pPr>
                  <w:r>
                    <w:rPr>
                      <w:rFonts w:hint="eastAsia"/>
                      <w:szCs w:val="21"/>
                    </w:rPr>
                    <w:t>/</w:t>
                  </w:r>
                </w:p>
              </w:tc>
              <w:tc>
                <w:tcPr>
                  <w:tcW w:w="1290" w:type="dxa"/>
                  <w:vAlign w:val="center"/>
                </w:tcPr>
                <w:p>
                  <w:pPr>
                    <w:jc w:val="center"/>
                    <w:rPr>
                      <w:rFonts w:hint="eastAsia"/>
                      <w:szCs w:val="21"/>
                    </w:rPr>
                  </w:pPr>
                  <w:r>
                    <w:rPr>
                      <w:rFonts w:hint="eastAsia"/>
                      <w:szCs w:val="21"/>
                    </w:rPr>
                    <w:t>2</w:t>
                  </w:r>
                </w:p>
              </w:tc>
              <w:tc>
                <w:tcPr>
                  <w:tcW w:w="1461" w:type="dxa"/>
                  <w:vAlign w:val="center"/>
                </w:tcPr>
                <w:p>
                  <w:pPr>
                    <w:jc w:val="center"/>
                    <w:rPr>
                      <w:rFonts w:hint="eastAsia"/>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rFonts w:hint="eastAsia" w:eastAsia="宋体"/>
                      <w:szCs w:val="21"/>
                      <w:lang w:val="en-US" w:eastAsia="zh-CN"/>
                    </w:rPr>
                  </w:pPr>
                  <w:r>
                    <w:rPr>
                      <w:rFonts w:hint="eastAsia"/>
                      <w:szCs w:val="21"/>
                      <w:lang w:val="en-US" w:eastAsia="zh-CN"/>
                    </w:rPr>
                    <w:t>12</w:t>
                  </w:r>
                </w:p>
              </w:tc>
              <w:tc>
                <w:tcPr>
                  <w:tcW w:w="2577" w:type="dxa"/>
                  <w:vAlign w:val="center"/>
                </w:tcPr>
                <w:p>
                  <w:pPr>
                    <w:jc w:val="center"/>
                    <w:rPr>
                      <w:rFonts w:hint="eastAsia" w:eastAsia="宋体"/>
                      <w:szCs w:val="21"/>
                      <w:lang w:eastAsia="zh-CN"/>
                    </w:rPr>
                  </w:pPr>
                  <w:r>
                    <w:rPr>
                      <w:rFonts w:hint="eastAsia"/>
                      <w:szCs w:val="21"/>
                      <w:lang w:eastAsia="zh-CN"/>
                    </w:rPr>
                    <w:t>数控折弯机</w:t>
                  </w:r>
                </w:p>
              </w:tc>
              <w:tc>
                <w:tcPr>
                  <w:tcW w:w="2292" w:type="dxa"/>
                  <w:vAlign w:val="center"/>
                </w:tcPr>
                <w:p>
                  <w:pPr>
                    <w:jc w:val="center"/>
                    <w:rPr>
                      <w:rFonts w:hint="eastAsia" w:eastAsia="宋体"/>
                      <w:szCs w:val="21"/>
                      <w:lang w:val="en-US" w:eastAsia="zh-CN"/>
                    </w:rPr>
                  </w:pPr>
                  <w:r>
                    <w:rPr>
                      <w:rFonts w:hint="eastAsia"/>
                      <w:szCs w:val="21"/>
                      <w:lang w:val="en-US" w:eastAsia="zh-CN"/>
                    </w:rPr>
                    <w:t>/</w:t>
                  </w:r>
                </w:p>
              </w:tc>
              <w:tc>
                <w:tcPr>
                  <w:tcW w:w="1290" w:type="dxa"/>
                  <w:vAlign w:val="center"/>
                </w:tcPr>
                <w:p>
                  <w:pPr>
                    <w:jc w:val="center"/>
                    <w:rPr>
                      <w:rFonts w:hint="eastAsia" w:eastAsia="宋体"/>
                      <w:szCs w:val="21"/>
                      <w:lang w:val="en-US" w:eastAsia="zh-CN"/>
                    </w:rPr>
                  </w:pPr>
                  <w:r>
                    <w:rPr>
                      <w:rFonts w:hint="eastAsia"/>
                      <w:szCs w:val="21"/>
                      <w:lang w:val="en-US" w:eastAsia="zh-CN"/>
                    </w:rPr>
                    <w:t>1</w:t>
                  </w:r>
                </w:p>
              </w:tc>
              <w:tc>
                <w:tcPr>
                  <w:tcW w:w="1461" w:type="dxa"/>
                  <w:vAlign w:val="center"/>
                </w:tcPr>
                <w:p>
                  <w:pPr>
                    <w:jc w:val="center"/>
                    <w:rPr>
                      <w:rFonts w:hint="eastAsia" w:eastAsia="宋体"/>
                      <w:szCs w:val="21"/>
                      <w:lang w:val="en-US" w:eastAsia="zh-CN"/>
                    </w:rPr>
                  </w:pPr>
                  <w:r>
                    <w:rPr>
                      <w:rFonts w:hint="eastAsia"/>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rFonts w:hint="eastAsia"/>
                      <w:szCs w:val="21"/>
                      <w:lang w:val="en-US" w:eastAsia="zh-CN"/>
                    </w:rPr>
                  </w:pPr>
                  <w:r>
                    <w:rPr>
                      <w:rFonts w:hint="eastAsia"/>
                      <w:szCs w:val="21"/>
                      <w:lang w:val="en-US" w:eastAsia="zh-CN"/>
                    </w:rPr>
                    <w:t>13</w:t>
                  </w:r>
                </w:p>
              </w:tc>
              <w:tc>
                <w:tcPr>
                  <w:tcW w:w="2577" w:type="dxa"/>
                  <w:vAlign w:val="center"/>
                </w:tcPr>
                <w:p>
                  <w:pPr>
                    <w:jc w:val="center"/>
                    <w:rPr>
                      <w:rFonts w:hint="eastAsia"/>
                      <w:szCs w:val="21"/>
                      <w:lang w:eastAsia="zh-CN"/>
                    </w:rPr>
                  </w:pPr>
                  <w:r>
                    <w:rPr>
                      <w:rFonts w:hint="eastAsia"/>
                      <w:szCs w:val="21"/>
                      <w:lang w:eastAsia="zh-CN"/>
                    </w:rPr>
                    <w:t>拦头机</w:t>
                  </w:r>
                </w:p>
              </w:tc>
              <w:tc>
                <w:tcPr>
                  <w:tcW w:w="2292" w:type="dxa"/>
                  <w:vAlign w:val="center"/>
                </w:tcPr>
                <w:p>
                  <w:pPr>
                    <w:jc w:val="center"/>
                    <w:rPr>
                      <w:rFonts w:hint="eastAsia"/>
                      <w:szCs w:val="21"/>
                      <w:lang w:val="en-US" w:eastAsia="zh-CN"/>
                    </w:rPr>
                  </w:pPr>
                  <w:r>
                    <w:rPr>
                      <w:rFonts w:hint="eastAsia"/>
                      <w:szCs w:val="21"/>
                      <w:lang w:val="en-US" w:eastAsia="zh-CN"/>
                    </w:rPr>
                    <w:t>/</w:t>
                  </w:r>
                </w:p>
              </w:tc>
              <w:tc>
                <w:tcPr>
                  <w:tcW w:w="1290" w:type="dxa"/>
                  <w:vAlign w:val="center"/>
                </w:tcPr>
                <w:p>
                  <w:pPr>
                    <w:jc w:val="center"/>
                    <w:rPr>
                      <w:rFonts w:hint="eastAsia"/>
                      <w:szCs w:val="21"/>
                      <w:lang w:val="en-US" w:eastAsia="zh-CN"/>
                    </w:rPr>
                  </w:pPr>
                  <w:r>
                    <w:rPr>
                      <w:rFonts w:hint="eastAsia"/>
                      <w:szCs w:val="21"/>
                      <w:lang w:val="en-US" w:eastAsia="zh-CN"/>
                    </w:rPr>
                    <w:t>1</w:t>
                  </w:r>
                </w:p>
              </w:tc>
              <w:tc>
                <w:tcPr>
                  <w:tcW w:w="1461" w:type="dxa"/>
                  <w:vAlign w:val="center"/>
                </w:tcPr>
                <w:p>
                  <w:pPr>
                    <w:jc w:val="center"/>
                    <w:rPr>
                      <w:rFonts w:hint="eastAsia"/>
                      <w:szCs w:val="21"/>
                      <w:lang w:val="en-US" w:eastAsia="zh-CN"/>
                    </w:rPr>
                  </w:pPr>
                  <w:r>
                    <w:rPr>
                      <w:rFonts w:hint="eastAsia"/>
                      <w:szCs w:val="21"/>
                      <w:lang w:val="en-US" w:eastAsia="zh-CN"/>
                    </w:rPr>
                    <w:t>/</w:t>
                  </w:r>
                </w:p>
              </w:tc>
            </w:tr>
          </w:tbl>
          <w:p>
            <w:pPr>
              <w:spacing w:line="360" w:lineRule="auto"/>
              <w:rPr>
                <w:b/>
                <w:kern w:val="0"/>
                <w:sz w:val="24"/>
                <w:szCs w:val="24"/>
              </w:rPr>
            </w:pPr>
            <w:r>
              <w:rPr>
                <w:rFonts w:hint="eastAsia"/>
                <w:b/>
                <w:kern w:val="0"/>
                <w:sz w:val="24"/>
                <w:szCs w:val="24"/>
              </w:rPr>
              <w:t>4</w:t>
            </w:r>
            <w:r>
              <w:rPr>
                <w:rFonts w:hAnsi="宋体"/>
                <w:b/>
                <w:kern w:val="0"/>
                <w:sz w:val="24"/>
                <w:szCs w:val="24"/>
              </w:rPr>
              <w:t>主要原辅材料及</w:t>
            </w:r>
            <w:r>
              <w:rPr>
                <w:rFonts w:hint="eastAsia" w:hAnsi="宋体"/>
                <w:b/>
                <w:kern w:val="0"/>
                <w:sz w:val="24"/>
                <w:szCs w:val="24"/>
              </w:rPr>
              <w:t>能源</w:t>
            </w:r>
          </w:p>
          <w:p>
            <w:pPr>
              <w:spacing w:line="360" w:lineRule="auto"/>
              <w:ind w:firstLine="480" w:firstLineChars="200"/>
              <w:rPr>
                <w:kern w:val="0"/>
                <w:sz w:val="24"/>
                <w:szCs w:val="24"/>
                <w:u w:val="none"/>
              </w:rPr>
            </w:pPr>
            <w:r>
              <w:rPr>
                <w:kern w:val="0"/>
                <w:sz w:val="24"/>
                <w:szCs w:val="24"/>
                <w:u w:val="none"/>
              </w:rPr>
              <w:t>本项目</w:t>
            </w:r>
            <w:r>
              <w:rPr>
                <w:rFonts w:hint="eastAsia"/>
                <w:kern w:val="0"/>
                <w:sz w:val="24"/>
                <w:szCs w:val="24"/>
                <w:u w:val="none"/>
              </w:rPr>
              <w:t>的</w:t>
            </w:r>
            <w:r>
              <w:rPr>
                <w:kern w:val="0"/>
                <w:sz w:val="24"/>
                <w:szCs w:val="24"/>
                <w:u w:val="none"/>
              </w:rPr>
              <w:t>主要原辅材料</w:t>
            </w:r>
            <w:r>
              <w:rPr>
                <w:rFonts w:hint="eastAsia"/>
                <w:kern w:val="0"/>
                <w:sz w:val="24"/>
                <w:szCs w:val="24"/>
                <w:u w:val="none"/>
              </w:rPr>
              <w:t>用量</w:t>
            </w:r>
            <w:r>
              <w:rPr>
                <w:kern w:val="0"/>
                <w:sz w:val="24"/>
                <w:szCs w:val="24"/>
                <w:u w:val="none"/>
              </w:rPr>
              <w:t>及</w:t>
            </w:r>
            <w:r>
              <w:rPr>
                <w:rFonts w:hint="eastAsia"/>
                <w:kern w:val="0"/>
                <w:sz w:val="24"/>
                <w:szCs w:val="24"/>
                <w:u w:val="none"/>
              </w:rPr>
              <w:t>能源的消耗情况</w:t>
            </w:r>
            <w:r>
              <w:rPr>
                <w:kern w:val="0"/>
                <w:sz w:val="24"/>
                <w:szCs w:val="24"/>
                <w:u w:val="none"/>
              </w:rPr>
              <w:t>见表</w:t>
            </w:r>
            <w:r>
              <w:rPr>
                <w:rFonts w:hint="eastAsia"/>
                <w:kern w:val="0"/>
                <w:sz w:val="24"/>
                <w:szCs w:val="24"/>
                <w:u w:val="none"/>
              </w:rPr>
              <w:t>3</w:t>
            </w:r>
            <w:r>
              <w:rPr>
                <w:kern w:val="0"/>
                <w:sz w:val="24"/>
                <w:szCs w:val="24"/>
                <w:u w:val="none"/>
              </w:rPr>
              <w:t>。</w:t>
            </w:r>
          </w:p>
          <w:p>
            <w:pPr>
              <w:ind w:firstLine="1080" w:firstLineChars="450"/>
              <w:rPr>
                <w:rFonts w:ascii="黑体" w:eastAsia="黑体"/>
                <w:kern w:val="0"/>
                <w:sz w:val="24"/>
                <w:szCs w:val="24"/>
                <w:u w:val="none"/>
              </w:rPr>
            </w:pPr>
            <w:r>
              <w:rPr>
                <w:rFonts w:hint="eastAsia" w:ascii="黑体" w:eastAsia="黑体"/>
                <w:kern w:val="0"/>
                <w:sz w:val="24"/>
                <w:szCs w:val="24"/>
                <w:u w:val="none"/>
              </w:rPr>
              <w:t>表3                原辅材料及能源用量情况一览表</w:t>
            </w:r>
          </w:p>
          <w:tbl>
            <w:tblPr>
              <w:tblStyle w:val="27"/>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492"/>
              <w:gridCol w:w="2194"/>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名称</w:t>
                  </w:r>
                </w:p>
              </w:tc>
              <w:tc>
                <w:tcPr>
                  <w:tcW w:w="1492" w:type="dxa"/>
                  <w:vAlign w:val="center"/>
                </w:tcPr>
                <w:p>
                  <w:pPr>
                    <w:jc w:val="center"/>
                    <w:rPr>
                      <w:szCs w:val="21"/>
                    </w:rPr>
                  </w:pPr>
                  <w:r>
                    <w:rPr>
                      <w:rFonts w:hint="eastAsia" w:hAnsi="宋体"/>
                      <w:szCs w:val="21"/>
                    </w:rPr>
                    <w:t>单位</w:t>
                  </w:r>
                </w:p>
              </w:tc>
              <w:tc>
                <w:tcPr>
                  <w:tcW w:w="2194" w:type="dxa"/>
                  <w:vAlign w:val="center"/>
                </w:tcPr>
                <w:p>
                  <w:pPr>
                    <w:jc w:val="center"/>
                    <w:rPr>
                      <w:szCs w:val="21"/>
                    </w:rPr>
                  </w:pPr>
                  <w:r>
                    <w:rPr>
                      <w:rFonts w:hint="eastAsia" w:hAnsi="宋体"/>
                      <w:szCs w:val="21"/>
                    </w:rPr>
                    <w:t>消耗量</w:t>
                  </w:r>
                </w:p>
              </w:tc>
              <w:tc>
                <w:tcPr>
                  <w:tcW w:w="2916" w:type="dxa"/>
                  <w:vAlign w:val="center"/>
                </w:tcPr>
                <w:p>
                  <w:pPr>
                    <w:jc w:val="center"/>
                    <w:rPr>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不锈钢板</w:t>
                  </w:r>
                </w:p>
                <w:p>
                  <w:pPr>
                    <w:jc w:val="center"/>
                    <w:rPr>
                      <w:rFonts w:hAnsi="宋体"/>
                      <w:szCs w:val="21"/>
                    </w:rPr>
                  </w:pP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rFonts w:hAnsi="宋体"/>
                      <w:szCs w:val="21"/>
                    </w:rPr>
                  </w:pPr>
                  <w:r>
                    <w:rPr>
                      <w:rFonts w:hint="eastAsia" w:hAnsi="宋体"/>
                      <w:szCs w:val="21"/>
                      <w:lang w:val="en-US" w:eastAsia="zh-CN"/>
                    </w:rPr>
                    <w:t>400</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不锈钢管</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rFonts w:hAnsi="宋体"/>
                      <w:szCs w:val="21"/>
                    </w:rPr>
                  </w:pPr>
                  <w:r>
                    <w:rPr>
                      <w:rFonts w:hint="eastAsia" w:hAnsi="宋体"/>
                      <w:szCs w:val="21"/>
                    </w:rPr>
                    <w:t>50</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szCs w:val="21"/>
                    </w:rPr>
                    <w:t>焊丝</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rFonts w:hint="eastAsia" w:eastAsia="宋体"/>
                      <w:szCs w:val="21"/>
                      <w:lang w:eastAsia="zh-CN"/>
                    </w:rPr>
                  </w:pPr>
                  <w:r>
                    <w:rPr>
                      <w:rFonts w:hint="eastAsia"/>
                      <w:szCs w:val="21"/>
                      <w:lang w:val="en-US" w:eastAsia="zh-CN"/>
                    </w:rPr>
                    <w:t>1</w:t>
                  </w:r>
                </w:p>
              </w:tc>
              <w:tc>
                <w:tcPr>
                  <w:tcW w:w="2916" w:type="dxa"/>
                  <w:vAlign w:val="center"/>
                </w:tcPr>
                <w:p>
                  <w:pPr>
                    <w:jc w:val="center"/>
                    <w:rPr>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水</w:t>
                  </w:r>
                </w:p>
              </w:tc>
              <w:tc>
                <w:tcPr>
                  <w:tcW w:w="1492" w:type="dxa"/>
                  <w:vAlign w:val="center"/>
                </w:tcPr>
                <w:p>
                  <w:pPr>
                    <w:jc w:val="center"/>
                    <w:rPr>
                      <w:szCs w:val="21"/>
                    </w:rPr>
                  </w:pPr>
                  <w:r>
                    <w:rPr>
                      <w:rFonts w:hint="eastAsia" w:hAnsi="宋体"/>
                      <w:szCs w:val="21"/>
                    </w:rPr>
                    <w:t>t/a</w:t>
                  </w:r>
                </w:p>
              </w:tc>
              <w:tc>
                <w:tcPr>
                  <w:tcW w:w="2194" w:type="dxa"/>
                  <w:vAlign w:val="center"/>
                </w:tcPr>
                <w:p>
                  <w:pPr>
                    <w:jc w:val="center"/>
                    <w:rPr>
                      <w:szCs w:val="21"/>
                    </w:rPr>
                  </w:pPr>
                  <w:r>
                    <w:rPr>
                      <w:rFonts w:hint="eastAsia"/>
                      <w:szCs w:val="21"/>
                    </w:rPr>
                    <w:t>120</w:t>
                  </w:r>
                </w:p>
              </w:tc>
              <w:tc>
                <w:tcPr>
                  <w:tcW w:w="2916" w:type="dxa"/>
                  <w:vAlign w:val="center"/>
                </w:tcPr>
                <w:p>
                  <w:pPr>
                    <w:jc w:val="center"/>
                    <w:rPr>
                      <w:rFonts w:hint="eastAsia" w:eastAsia="宋体"/>
                      <w:szCs w:val="21"/>
                      <w:lang w:eastAsia="zh-CN"/>
                    </w:rPr>
                  </w:pPr>
                  <w:r>
                    <w:rPr>
                      <w:rFonts w:hint="eastAsia" w:hAnsi="宋体"/>
                      <w:szCs w:val="21"/>
                      <w:lang w:eastAsia="zh-CN"/>
                    </w:rPr>
                    <w:t>镇自来水管网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电</w:t>
                  </w:r>
                </w:p>
              </w:tc>
              <w:tc>
                <w:tcPr>
                  <w:tcW w:w="1492" w:type="dxa"/>
                  <w:vAlign w:val="center"/>
                </w:tcPr>
                <w:p>
                  <w:pPr>
                    <w:jc w:val="center"/>
                    <w:rPr>
                      <w:szCs w:val="21"/>
                    </w:rPr>
                  </w:pPr>
                  <w:r>
                    <w:rPr>
                      <w:rFonts w:hint="eastAsia" w:hAnsi="宋体"/>
                      <w:szCs w:val="21"/>
                    </w:rPr>
                    <w:t>万度</w:t>
                  </w:r>
                  <w:r>
                    <w:rPr>
                      <w:rFonts w:hint="eastAsia"/>
                      <w:szCs w:val="21"/>
                    </w:rPr>
                    <w:t>/</w:t>
                  </w:r>
                  <w:r>
                    <w:rPr>
                      <w:rFonts w:hint="eastAsia" w:hAnsi="宋体"/>
                      <w:szCs w:val="21"/>
                    </w:rPr>
                    <w:t>年</w:t>
                  </w:r>
                </w:p>
              </w:tc>
              <w:tc>
                <w:tcPr>
                  <w:tcW w:w="2194" w:type="dxa"/>
                  <w:vAlign w:val="center"/>
                </w:tcPr>
                <w:p>
                  <w:pPr>
                    <w:jc w:val="center"/>
                    <w:rPr>
                      <w:rFonts w:hint="eastAsia" w:eastAsia="宋体"/>
                      <w:szCs w:val="21"/>
                      <w:lang w:eastAsia="zh-CN"/>
                    </w:rPr>
                  </w:pPr>
                  <w:r>
                    <w:rPr>
                      <w:rFonts w:hint="eastAsia"/>
                      <w:szCs w:val="21"/>
                      <w:lang w:val="en-US" w:eastAsia="zh-CN"/>
                    </w:rPr>
                    <w:t>10</w:t>
                  </w:r>
                </w:p>
              </w:tc>
              <w:tc>
                <w:tcPr>
                  <w:tcW w:w="2916" w:type="dxa"/>
                  <w:vAlign w:val="center"/>
                </w:tcPr>
                <w:p>
                  <w:pPr>
                    <w:jc w:val="center"/>
                    <w:rPr>
                      <w:szCs w:val="21"/>
                    </w:rPr>
                  </w:pPr>
                  <w:r>
                    <w:rPr>
                      <w:rFonts w:hint="eastAsia" w:hAnsi="宋体"/>
                      <w:szCs w:val="21"/>
                    </w:rPr>
                    <w:t>镇电网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机油</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szCs w:val="21"/>
                    </w:rPr>
                  </w:pPr>
                  <w:r>
                    <w:rPr>
                      <w:rFonts w:hint="eastAsia"/>
                      <w:szCs w:val="21"/>
                    </w:rPr>
                    <w:t>0.01</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int="eastAsia" w:hAnsi="宋体" w:eastAsia="宋体"/>
                      <w:szCs w:val="21"/>
                      <w:u w:val="none"/>
                      <w:lang w:eastAsia="zh-CN"/>
                    </w:rPr>
                  </w:pPr>
                  <w:r>
                    <w:rPr>
                      <w:rFonts w:hint="eastAsia" w:hAnsi="宋体"/>
                      <w:szCs w:val="21"/>
                      <w:u w:val="none"/>
                      <w:lang w:eastAsia="zh-CN"/>
                    </w:rPr>
                    <w:t>液压油</w:t>
                  </w:r>
                </w:p>
              </w:tc>
              <w:tc>
                <w:tcPr>
                  <w:tcW w:w="1492" w:type="dxa"/>
                  <w:vAlign w:val="center"/>
                </w:tcPr>
                <w:p>
                  <w:pPr>
                    <w:jc w:val="center"/>
                    <w:rPr>
                      <w:rFonts w:hint="eastAsia" w:hAnsi="宋体"/>
                      <w:szCs w:val="21"/>
                      <w:u w:val="none"/>
                    </w:rPr>
                  </w:pPr>
                  <w:r>
                    <w:rPr>
                      <w:rFonts w:hint="eastAsia" w:hAnsi="宋体"/>
                      <w:szCs w:val="21"/>
                      <w:u w:val="none"/>
                    </w:rPr>
                    <w:t>t/a</w:t>
                  </w:r>
                </w:p>
              </w:tc>
              <w:tc>
                <w:tcPr>
                  <w:tcW w:w="2194" w:type="dxa"/>
                  <w:vAlign w:val="center"/>
                </w:tcPr>
                <w:p>
                  <w:pPr>
                    <w:jc w:val="center"/>
                    <w:rPr>
                      <w:rFonts w:hint="eastAsia" w:eastAsia="宋体"/>
                      <w:szCs w:val="21"/>
                      <w:u w:val="none"/>
                      <w:lang w:val="en-US" w:eastAsia="zh-CN"/>
                    </w:rPr>
                  </w:pPr>
                  <w:r>
                    <w:rPr>
                      <w:rFonts w:hint="eastAsia"/>
                      <w:szCs w:val="21"/>
                      <w:u w:val="none"/>
                      <w:lang w:val="en-US" w:eastAsia="zh-CN"/>
                    </w:rPr>
                    <w:t>0.01</w:t>
                  </w:r>
                </w:p>
              </w:tc>
              <w:tc>
                <w:tcPr>
                  <w:tcW w:w="2916" w:type="dxa"/>
                  <w:vAlign w:val="center"/>
                </w:tcPr>
                <w:p>
                  <w:pPr>
                    <w:jc w:val="center"/>
                    <w:rPr>
                      <w:rFonts w:hint="eastAsia" w:hAnsi="宋体" w:eastAsia="宋体"/>
                      <w:szCs w:val="21"/>
                      <w:lang w:val="en-US" w:eastAsia="zh-CN"/>
                    </w:rPr>
                  </w:pPr>
                  <w:r>
                    <w:rPr>
                      <w:rFonts w:hint="eastAsia" w:hAnsi="宋体"/>
                      <w:szCs w:val="21"/>
                      <w:lang w:val="en-US" w:eastAsia="zh-CN"/>
                    </w:rPr>
                    <w:t>/</w:t>
                  </w:r>
                </w:p>
              </w:tc>
            </w:tr>
          </w:tbl>
          <w:p>
            <w:pPr>
              <w:spacing w:line="360" w:lineRule="auto"/>
              <w:rPr>
                <w:b/>
                <w:sz w:val="24"/>
                <w:szCs w:val="24"/>
              </w:rPr>
            </w:pPr>
            <w:r>
              <w:rPr>
                <w:rFonts w:hint="eastAsia"/>
                <w:b/>
                <w:sz w:val="24"/>
                <w:szCs w:val="24"/>
              </w:rPr>
              <w:t>5 产品及生产规模</w:t>
            </w:r>
          </w:p>
          <w:p>
            <w:pPr>
              <w:spacing w:line="360" w:lineRule="auto"/>
              <w:ind w:firstLine="480" w:firstLineChars="200"/>
              <w:rPr>
                <w:sz w:val="24"/>
                <w:szCs w:val="24"/>
              </w:rPr>
            </w:pPr>
            <w:r>
              <w:rPr>
                <w:rFonts w:hint="eastAsia"/>
                <w:sz w:val="24"/>
                <w:szCs w:val="24"/>
              </w:rPr>
              <w:t>本项目生产规模为年产</w:t>
            </w:r>
            <w:r>
              <w:rPr>
                <w:rFonts w:hint="eastAsia"/>
                <w:sz w:val="24"/>
                <w:szCs w:val="24"/>
                <w:lang w:val="en-US" w:eastAsia="zh-CN"/>
              </w:rPr>
              <w:t>2</w:t>
            </w:r>
            <w:r>
              <w:rPr>
                <w:rFonts w:hint="eastAsia"/>
                <w:sz w:val="24"/>
                <w:szCs w:val="24"/>
              </w:rPr>
              <w:t>000套不锈钢家具。具体产品方案见下表。</w:t>
            </w:r>
          </w:p>
          <w:p>
            <w:pPr>
              <w:spacing w:line="440" w:lineRule="exact"/>
              <w:ind w:firstLine="1080" w:firstLineChars="450"/>
              <w:rPr>
                <w:rFonts w:eastAsia="黑体"/>
                <w:sz w:val="24"/>
              </w:rPr>
            </w:pPr>
            <w:r>
              <w:rPr>
                <w:rFonts w:eastAsia="黑体"/>
                <w:sz w:val="24"/>
              </w:rPr>
              <w:t>表</w:t>
            </w:r>
            <w:r>
              <w:rPr>
                <w:rFonts w:hint="eastAsia" w:eastAsia="黑体"/>
                <w:sz w:val="24"/>
              </w:rPr>
              <w:t xml:space="preserve">4                </w:t>
            </w:r>
            <w:r>
              <w:rPr>
                <w:rFonts w:eastAsia="黑体"/>
                <w:sz w:val="24"/>
              </w:rPr>
              <w:t xml:space="preserve"> 本项目</w:t>
            </w:r>
            <w:r>
              <w:rPr>
                <w:rFonts w:hint="eastAsia" w:eastAsia="黑体"/>
                <w:sz w:val="24"/>
              </w:rPr>
              <w:t>产品方案一览表</w:t>
            </w:r>
          </w:p>
          <w:tbl>
            <w:tblPr>
              <w:tblStyle w:val="27"/>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495"/>
              <w:gridCol w:w="2177"/>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产品类型</w:t>
                  </w: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产品</w:t>
                  </w:r>
                  <w:r>
                    <w:rPr>
                      <w:rFonts w:hint="eastAsia"/>
                      <w:szCs w:val="21"/>
                    </w:rPr>
                    <w:t>名称</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生产规模</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型号及规格（单位：mm）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589" w:type="dxa"/>
                  <w:vMerge w:val="restart"/>
                  <w:tcBorders>
                    <w:top w:val="single" w:color="auto" w:sz="4" w:space="0"/>
                    <w:left w:val="single" w:color="auto" w:sz="4" w:space="0"/>
                    <w:right w:val="single" w:color="auto" w:sz="4" w:space="0"/>
                  </w:tcBorders>
                  <w:vAlign w:val="center"/>
                </w:tcPr>
                <w:p>
                  <w:pPr>
                    <w:jc w:val="center"/>
                    <w:rPr>
                      <w:szCs w:val="21"/>
                    </w:rPr>
                  </w:pPr>
                  <w:r>
                    <w:rPr>
                      <w:szCs w:val="21"/>
                    </w:rPr>
                    <w:t>不锈钢家具</w:t>
                  </w:r>
                  <w:r>
                    <w:rPr>
                      <w:rFonts w:hint="eastAsia"/>
                      <w:szCs w:val="21"/>
                      <w:lang w:val="en-US" w:eastAsia="zh-CN"/>
                    </w:rPr>
                    <w:t>2</w:t>
                  </w:r>
                  <w:r>
                    <w:rPr>
                      <w:szCs w:val="21"/>
                    </w:rPr>
                    <w:t>000</w:t>
                  </w:r>
                  <w:r>
                    <w:rPr>
                      <w:rFonts w:hint="eastAsia"/>
                      <w:szCs w:val="21"/>
                    </w:rPr>
                    <w:t>套</w:t>
                  </w:r>
                  <w:r>
                    <w:rPr>
                      <w:szCs w:val="21"/>
                    </w:rPr>
                    <w:t>/a</w:t>
                  </w: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不锈钢</w:t>
                  </w:r>
                  <w:r>
                    <w:rPr>
                      <w:szCs w:val="21"/>
                    </w:rPr>
                    <w:t>柜</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1</w:t>
                  </w:r>
                  <w:r>
                    <w:rPr>
                      <w:szCs w:val="21"/>
                    </w:rPr>
                    <w:t>000</w:t>
                  </w:r>
                  <w:r>
                    <w:rPr>
                      <w:rFonts w:hint="eastAsia"/>
                      <w:szCs w:val="21"/>
                    </w:rPr>
                    <w:t>套</w:t>
                  </w:r>
                  <w:r>
                    <w:rPr>
                      <w:szCs w:val="21"/>
                    </w:rPr>
                    <w:t>/a</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1800×900×420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589" w:type="dxa"/>
                  <w:vMerge w:val="continue"/>
                  <w:tcBorders>
                    <w:left w:val="single" w:color="auto" w:sz="4" w:space="0"/>
                    <w:right w:val="single" w:color="auto" w:sz="4" w:space="0"/>
                  </w:tcBorders>
                  <w:vAlign w:val="center"/>
                </w:tcPr>
                <w:p>
                  <w:pPr>
                    <w:jc w:val="center"/>
                    <w:rPr>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不锈钢桌</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val="en-US" w:eastAsia="zh-CN"/>
                    </w:rPr>
                    <w:t>1</w:t>
                  </w:r>
                  <w:r>
                    <w:rPr>
                      <w:szCs w:val="21"/>
                    </w:rPr>
                    <w:t>000</w:t>
                  </w:r>
                  <w:r>
                    <w:rPr>
                      <w:rFonts w:hint="eastAsia"/>
                      <w:szCs w:val="21"/>
                    </w:rPr>
                    <w:t>套</w:t>
                  </w:r>
                  <w:r>
                    <w:rPr>
                      <w:szCs w:val="21"/>
                    </w:rPr>
                    <w:t>/a</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80" w:type="dxa"/>
                  <w:gridSpan w:val="4"/>
                  <w:tcBorders>
                    <w:left w:val="single" w:color="auto" w:sz="4" w:space="0"/>
                    <w:right w:val="single" w:color="auto" w:sz="4" w:space="0"/>
                  </w:tcBorders>
                  <w:vAlign w:val="center"/>
                </w:tcPr>
                <w:p>
                  <w:pPr>
                    <w:jc w:val="center"/>
                    <w:rPr>
                      <w:szCs w:val="21"/>
                    </w:rPr>
                  </w:pPr>
                  <w:r>
                    <w:rPr>
                      <w:rFonts w:hint="eastAsia"/>
                      <w:szCs w:val="21"/>
                    </w:rPr>
                    <w:t>备注：产品方案可根据业务订单进行调整</w:t>
                  </w:r>
                </w:p>
              </w:tc>
            </w:tr>
          </w:tbl>
          <w:p>
            <w:pPr>
              <w:spacing w:line="360" w:lineRule="auto"/>
              <w:rPr>
                <w:b/>
                <w:sz w:val="24"/>
                <w:szCs w:val="24"/>
              </w:rPr>
            </w:pPr>
            <w:r>
              <w:rPr>
                <w:rFonts w:hint="eastAsia"/>
                <w:b/>
                <w:bCs/>
                <w:kern w:val="0"/>
                <w:sz w:val="24"/>
                <w:szCs w:val="24"/>
              </w:rPr>
              <w:t>6</w:t>
            </w:r>
            <w:r>
              <w:rPr>
                <w:b/>
                <w:bCs/>
                <w:kern w:val="0"/>
                <w:sz w:val="24"/>
                <w:szCs w:val="24"/>
              </w:rPr>
              <w:t>．</w:t>
            </w:r>
            <w:r>
              <w:rPr>
                <w:b/>
                <w:sz w:val="24"/>
                <w:szCs w:val="24"/>
              </w:rPr>
              <w:t>供电及给水</w:t>
            </w:r>
          </w:p>
          <w:p>
            <w:pPr>
              <w:spacing w:line="360" w:lineRule="auto"/>
              <w:ind w:firstLine="360" w:firstLineChars="150"/>
              <w:rPr>
                <w:bCs/>
                <w:kern w:val="28"/>
                <w:sz w:val="24"/>
                <w:szCs w:val="24"/>
              </w:rPr>
            </w:pPr>
            <w:r>
              <w:rPr>
                <w:rFonts w:hint="eastAsia"/>
                <w:bCs/>
                <w:kern w:val="28"/>
                <w:sz w:val="24"/>
                <w:szCs w:val="24"/>
              </w:rPr>
              <w:t>本项目用电由高龙镇电网供应，</w:t>
            </w:r>
            <w:r>
              <w:rPr>
                <w:rFonts w:hint="eastAsia"/>
                <w:bCs/>
                <w:kern w:val="28"/>
                <w:sz w:val="24"/>
              </w:rPr>
              <w:t>年用电量约</w:t>
            </w:r>
            <w:r>
              <w:rPr>
                <w:rFonts w:hint="eastAsia"/>
                <w:bCs/>
                <w:kern w:val="28"/>
                <w:sz w:val="24"/>
                <w:lang w:val="en-US" w:eastAsia="zh-CN"/>
              </w:rPr>
              <w:t>10</w:t>
            </w:r>
            <w:r>
              <w:rPr>
                <w:rFonts w:hint="eastAsia"/>
                <w:bCs/>
                <w:kern w:val="28"/>
                <w:sz w:val="24"/>
              </w:rPr>
              <w:t>万</w:t>
            </w:r>
            <w:r>
              <w:rPr>
                <w:rFonts w:hint="eastAsia"/>
                <w:sz w:val="24"/>
                <w:szCs w:val="24"/>
              </w:rPr>
              <w:t>度/a</w:t>
            </w:r>
            <w:r>
              <w:rPr>
                <w:rFonts w:hint="eastAsia"/>
                <w:bCs/>
                <w:kern w:val="28"/>
                <w:sz w:val="24"/>
                <w:szCs w:val="24"/>
              </w:rPr>
              <w:t>。</w:t>
            </w:r>
          </w:p>
          <w:p>
            <w:pPr>
              <w:spacing w:line="360" w:lineRule="auto"/>
              <w:ind w:firstLine="360" w:firstLineChars="150"/>
              <w:rPr>
                <w:sz w:val="24"/>
                <w:szCs w:val="24"/>
              </w:rPr>
            </w:pPr>
            <w:r>
              <w:rPr>
                <w:rFonts w:hint="eastAsia"/>
                <w:bCs/>
                <w:kern w:val="28"/>
                <w:sz w:val="24"/>
                <w:szCs w:val="24"/>
              </w:rPr>
              <w:t>本项目供水</w:t>
            </w:r>
            <w:r>
              <w:rPr>
                <w:rFonts w:hint="eastAsia"/>
                <w:bCs/>
                <w:kern w:val="28"/>
                <w:sz w:val="24"/>
                <w:szCs w:val="24"/>
                <w:lang w:eastAsia="zh-CN"/>
              </w:rPr>
              <w:t>为镇自来水管网供给</w:t>
            </w:r>
            <w:r>
              <w:rPr>
                <w:rFonts w:hint="eastAsia"/>
                <w:bCs/>
                <w:kern w:val="28"/>
                <w:sz w:val="24"/>
                <w:szCs w:val="24"/>
              </w:rPr>
              <w:t>，</w:t>
            </w:r>
            <w:r>
              <w:rPr>
                <w:rFonts w:hint="eastAsia"/>
                <w:sz w:val="24"/>
                <w:szCs w:val="24"/>
              </w:rPr>
              <w:t>新鲜用水量120m</w:t>
            </w:r>
            <w:r>
              <w:rPr>
                <w:rFonts w:hint="eastAsia"/>
                <w:sz w:val="24"/>
                <w:szCs w:val="24"/>
                <w:vertAlign w:val="superscript"/>
              </w:rPr>
              <w:t>3</w:t>
            </w:r>
            <w:r>
              <w:rPr>
                <w:sz w:val="24"/>
                <w:szCs w:val="24"/>
              </w:rPr>
              <w:t>/a</w:t>
            </w:r>
            <w:r>
              <w:rPr>
                <w:rFonts w:hint="eastAsia"/>
                <w:sz w:val="24"/>
                <w:szCs w:val="24"/>
              </w:rPr>
              <w:t>（0.4m</w:t>
            </w:r>
            <w:r>
              <w:rPr>
                <w:rFonts w:hint="eastAsia"/>
                <w:sz w:val="24"/>
                <w:szCs w:val="24"/>
                <w:vertAlign w:val="superscript"/>
              </w:rPr>
              <w:t>3</w:t>
            </w:r>
            <w:r>
              <w:rPr>
                <w:sz w:val="24"/>
                <w:szCs w:val="24"/>
              </w:rPr>
              <w:t>/d</w:t>
            </w:r>
            <w:r>
              <w:rPr>
                <w:rFonts w:hint="eastAsia"/>
                <w:sz w:val="24"/>
                <w:szCs w:val="24"/>
              </w:rPr>
              <w:t>）</w:t>
            </w:r>
            <w:r>
              <w:rPr>
                <w:rFonts w:hint="eastAsia"/>
                <w:bCs/>
                <w:kern w:val="0"/>
                <w:sz w:val="24"/>
                <w:szCs w:val="24"/>
              </w:rPr>
              <w:t>，主要为</w:t>
            </w:r>
            <w:r>
              <w:rPr>
                <w:rFonts w:hint="eastAsia"/>
                <w:sz w:val="24"/>
                <w:szCs w:val="24"/>
              </w:rPr>
              <w:t>职工生活洗手洗脸水。本项目生活污水经化粪池收集后农户拉走肥田，无生产废水产生及排放。</w:t>
            </w:r>
          </w:p>
          <w:p>
            <w:pPr>
              <w:spacing w:line="360" w:lineRule="auto"/>
              <w:rPr>
                <w:sz w:val="24"/>
                <w:szCs w:val="24"/>
              </w:rPr>
            </w:pPr>
            <w:r>
              <w:rPr>
                <w:rFonts w:hint="eastAsia"/>
                <w:b/>
                <w:kern w:val="0"/>
                <w:sz w:val="24"/>
                <w:szCs w:val="24"/>
              </w:rPr>
              <w:t>7</w:t>
            </w:r>
            <w:r>
              <w:rPr>
                <w:rFonts w:hAnsi="宋体"/>
                <w:b/>
                <w:sz w:val="24"/>
                <w:szCs w:val="24"/>
              </w:rPr>
              <w:t>职工定员及劳动制度</w:t>
            </w:r>
          </w:p>
          <w:p>
            <w:pPr>
              <w:spacing w:line="360" w:lineRule="auto"/>
              <w:ind w:firstLine="480" w:firstLineChars="200"/>
              <w:rPr>
                <w:rFonts w:hAnsi="宋体"/>
                <w:sz w:val="24"/>
                <w:szCs w:val="24"/>
              </w:rPr>
            </w:pPr>
            <w:r>
              <w:rPr>
                <w:rFonts w:hint="eastAsia" w:hAnsi="宋体"/>
                <w:sz w:val="24"/>
                <w:szCs w:val="24"/>
              </w:rPr>
              <w:t>本项目职工人数10人，8小时工作制（仅白天，</w:t>
            </w:r>
            <w:r>
              <w:rPr>
                <w:rFonts w:hint="eastAsia"/>
                <w:color w:val="000000"/>
                <w:sz w:val="24"/>
                <w:szCs w:val="24"/>
              </w:rPr>
              <w:t>8:00~12:00；13:30~17:30</w:t>
            </w:r>
            <w:r>
              <w:rPr>
                <w:rFonts w:hint="eastAsia" w:hAnsi="宋体"/>
                <w:sz w:val="24"/>
                <w:szCs w:val="24"/>
              </w:rPr>
              <w:t>），年工作时间为300天。</w:t>
            </w:r>
          </w:p>
          <w:p>
            <w:pPr>
              <w:spacing w:line="360" w:lineRule="auto"/>
              <w:rPr>
                <w:sz w:val="24"/>
                <w:szCs w:val="24"/>
              </w:rPr>
            </w:pPr>
            <w:r>
              <w:rPr>
                <w:rFonts w:hint="eastAsia" w:hAnsi="宋体"/>
                <w:b/>
                <w:sz w:val="24"/>
                <w:szCs w:val="24"/>
              </w:rPr>
              <w:t>8</w:t>
            </w:r>
            <w:r>
              <w:rPr>
                <w:rFonts w:hAnsi="宋体"/>
                <w:b/>
                <w:sz w:val="24"/>
                <w:szCs w:val="24"/>
              </w:rPr>
              <w:t>总投资</w:t>
            </w:r>
          </w:p>
          <w:p>
            <w:pPr>
              <w:spacing w:line="360" w:lineRule="auto"/>
              <w:ind w:firstLine="480" w:firstLineChars="200"/>
              <w:rPr>
                <w:rFonts w:hAnsi="宋体"/>
                <w:sz w:val="24"/>
                <w:szCs w:val="24"/>
              </w:rPr>
            </w:pPr>
            <w:r>
              <w:rPr>
                <w:rFonts w:hAnsi="宋体"/>
                <w:sz w:val="24"/>
                <w:szCs w:val="24"/>
              </w:rPr>
              <w:t>本项目</w:t>
            </w:r>
            <w:r>
              <w:rPr>
                <w:rFonts w:hint="eastAsia" w:hAnsi="宋体"/>
                <w:sz w:val="24"/>
                <w:szCs w:val="24"/>
              </w:rPr>
              <w:t>总</w:t>
            </w:r>
            <w:r>
              <w:rPr>
                <w:rFonts w:hAnsi="宋体"/>
                <w:sz w:val="24"/>
                <w:szCs w:val="24"/>
              </w:rPr>
              <w:t>投资</w:t>
            </w:r>
            <w:r>
              <w:rPr>
                <w:rFonts w:hint="eastAsia" w:hAnsi="宋体"/>
                <w:sz w:val="24"/>
                <w:szCs w:val="24"/>
                <w:lang w:val="en-US" w:eastAsia="zh-CN"/>
              </w:rPr>
              <w:t>21</w:t>
            </w:r>
            <w:r>
              <w:rPr>
                <w:rFonts w:hAnsi="宋体"/>
                <w:sz w:val="24"/>
                <w:szCs w:val="24"/>
              </w:rPr>
              <w:t>万元，</w:t>
            </w:r>
            <w:r>
              <w:rPr>
                <w:rFonts w:hint="eastAsia" w:hAnsi="宋体"/>
                <w:sz w:val="24"/>
                <w:szCs w:val="24"/>
              </w:rPr>
              <w:t>全部为企业自筹</w:t>
            </w:r>
            <w:r>
              <w:rPr>
                <w:rFonts w:hAnsi="宋体"/>
                <w:sz w:val="24"/>
                <w:szCs w:val="24"/>
              </w:rPr>
              <w:t>。</w:t>
            </w:r>
          </w:p>
          <w:p>
            <w:pPr>
              <w:spacing w:line="360" w:lineRule="auto"/>
              <w:ind w:firstLine="480" w:firstLineChars="20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570" w:type="dxa"/>
            <w:gridSpan w:val="11"/>
            <w:vAlign w:val="center"/>
          </w:tcPr>
          <w:p>
            <w:pPr>
              <w:spacing w:line="360" w:lineRule="auto"/>
              <w:rPr>
                <w:rFonts w:hAnsi="宋体"/>
                <w:b/>
                <w:sz w:val="24"/>
                <w:szCs w:val="24"/>
              </w:rPr>
            </w:pPr>
            <w:r>
              <w:rPr>
                <w:rFonts w:hint="eastAsia" w:hAnsi="宋体"/>
                <w:b/>
                <w:sz w:val="24"/>
                <w:szCs w:val="24"/>
              </w:rPr>
              <w:t>与本项目有关的原有污染情况及主要环境问题</w:t>
            </w:r>
            <w:r>
              <w:rPr>
                <w:rFonts w:hAnsi="宋体"/>
                <w:b/>
                <w:sz w:val="24"/>
                <w:szCs w:val="24"/>
              </w:rPr>
              <w:t>:</w:t>
            </w:r>
          </w:p>
          <w:p>
            <w:pPr>
              <w:spacing w:line="360" w:lineRule="auto"/>
              <w:ind w:firstLine="480" w:firstLineChars="200"/>
              <w:rPr>
                <w:bCs/>
                <w:sz w:val="24"/>
                <w:szCs w:val="24"/>
                <w:u w:val="single"/>
              </w:rPr>
            </w:pPr>
            <w:r>
              <w:rPr>
                <w:rFonts w:hint="eastAsia" w:hAnsi="宋体"/>
                <w:sz w:val="24"/>
                <w:szCs w:val="24"/>
                <w:u w:val="single"/>
              </w:rPr>
              <w:t>本项目为租用洛阳嘉升塑业有限公司空置车间厂房进行建设，洛阳嘉升塑业有限公司始建于2013年，主要加工生产塑料制品，于2015年由于债务纠纷问题停产废弃</w:t>
            </w:r>
            <w:r>
              <w:rPr>
                <w:rFonts w:hint="eastAsia" w:hAnsi="宋体"/>
                <w:sz w:val="24"/>
                <w:szCs w:val="24"/>
                <w:u w:val="single"/>
                <w:lang w:eastAsia="zh-CN"/>
              </w:rPr>
              <w:t>。</w:t>
            </w:r>
            <w:r>
              <w:rPr>
                <w:sz w:val="24"/>
                <w:szCs w:val="24"/>
                <w:u w:val="single"/>
              </w:rPr>
              <w:t>厂区</w:t>
            </w:r>
            <w:r>
              <w:rPr>
                <w:rFonts w:hint="eastAsia"/>
                <w:sz w:val="24"/>
                <w:szCs w:val="24"/>
                <w:u w:val="single"/>
              </w:rPr>
              <w:t>内</w:t>
            </w:r>
            <w:r>
              <w:rPr>
                <w:sz w:val="24"/>
                <w:szCs w:val="24"/>
                <w:u w:val="single"/>
              </w:rPr>
              <w:t>目前有</w:t>
            </w:r>
            <w:r>
              <w:rPr>
                <w:rFonts w:hint="eastAsia"/>
                <w:sz w:val="24"/>
                <w:szCs w:val="24"/>
                <w:u w:val="single"/>
                <w:lang w:val="en-US" w:eastAsia="zh-CN"/>
              </w:rPr>
              <w:t>2</w:t>
            </w:r>
            <w:r>
              <w:rPr>
                <w:rFonts w:hint="eastAsia"/>
                <w:sz w:val="24"/>
                <w:szCs w:val="24"/>
                <w:u w:val="single"/>
              </w:rPr>
              <w:t>个</w:t>
            </w:r>
            <w:r>
              <w:rPr>
                <w:sz w:val="24"/>
                <w:szCs w:val="24"/>
                <w:u w:val="single"/>
              </w:rPr>
              <w:t>项目，</w:t>
            </w:r>
            <w:r>
              <w:rPr>
                <w:rFonts w:hint="eastAsia" w:asciiTheme="majorEastAsia" w:hAnsiTheme="majorEastAsia" w:eastAsiaTheme="majorEastAsia"/>
                <w:sz w:val="24"/>
                <w:szCs w:val="24"/>
                <w:u w:val="single"/>
              </w:rPr>
              <w:t>洛阳客思来实业有限公司</w:t>
            </w:r>
            <w:r>
              <w:rPr>
                <w:rFonts w:hint="eastAsia" w:eastAsiaTheme="majorEastAsia"/>
                <w:color w:val="000000" w:themeColor="text1"/>
                <w:sz w:val="24"/>
                <w:szCs w:val="24"/>
                <w:u w:val="single"/>
              </w:rPr>
              <w:t>年产1000套钢制门、30000台办公家具项目</w:t>
            </w:r>
            <w:r>
              <w:rPr>
                <w:rFonts w:hint="eastAsia"/>
                <w:color w:val="000000" w:themeColor="text1"/>
                <w:sz w:val="24"/>
                <w:szCs w:val="24"/>
                <w:u w:val="single"/>
                <w:lang w:eastAsia="zh-CN"/>
              </w:rPr>
              <w:t>，</w:t>
            </w:r>
            <w:r>
              <w:rPr>
                <w:rFonts w:hint="eastAsia" w:hAnsi="宋体"/>
                <w:sz w:val="24"/>
                <w:szCs w:val="24"/>
                <w:u w:val="single"/>
                <w:lang w:eastAsia="zh-CN"/>
              </w:rPr>
              <w:t>洛阳金都办公家具有限公司</w:t>
            </w:r>
            <w:r>
              <w:rPr>
                <w:rFonts w:eastAsiaTheme="majorEastAsia"/>
                <w:color w:val="000000" w:themeColor="text1"/>
                <w:sz w:val="24"/>
                <w:szCs w:val="24"/>
                <w:u w:val="single"/>
              </w:rPr>
              <w:t>年产</w:t>
            </w:r>
            <w:r>
              <w:rPr>
                <w:rFonts w:hint="eastAsia" w:eastAsiaTheme="majorEastAsia"/>
                <w:color w:val="000000" w:themeColor="text1"/>
                <w:sz w:val="24"/>
                <w:szCs w:val="24"/>
                <w:u w:val="single"/>
              </w:rPr>
              <w:t>15000台套高档办公家具项目</w:t>
            </w:r>
            <w:r>
              <w:rPr>
                <w:bCs/>
                <w:sz w:val="24"/>
                <w:szCs w:val="24"/>
                <w:u w:val="single"/>
              </w:rPr>
              <w:t>。</w:t>
            </w:r>
            <w:r>
              <w:rPr>
                <w:rFonts w:hint="eastAsia"/>
                <w:bCs/>
                <w:sz w:val="24"/>
                <w:szCs w:val="24"/>
                <w:u w:val="single"/>
                <w:lang w:eastAsia="zh-CN"/>
              </w:rPr>
              <w:t>厂区内现有项目环保审批情况见下表。</w:t>
            </w:r>
          </w:p>
          <w:p>
            <w:pPr>
              <w:adjustRightInd w:val="0"/>
              <w:snapToGrid w:val="0"/>
              <w:ind w:firstLine="960" w:firstLineChars="400"/>
              <w:rPr>
                <w:rFonts w:eastAsia="黑体"/>
                <w:kern w:val="0"/>
                <w:sz w:val="24"/>
                <w:szCs w:val="24"/>
                <w:u w:val="none"/>
              </w:rPr>
            </w:pPr>
            <w:r>
              <w:rPr>
                <w:rFonts w:eastAsia="黑体"/>
                <w:kern w:val="0"/>
                <w:sz w:val="24"/>
                <w:szCs w:val="24"/>
                <w:u w:val="none"/>
              </w:rPr>
              <w:t>表</w:t>
            </w:r>
            <w:r>
              <w:rPr>
                <w:rFonts w:hint="eastAsia" w:eastAsia="黑体"/>
                <w:kern w:val="0"/>
                <w:sz w:val="24"/>
                <w:szCs w:val="24"/>
                <w:u w:val="none"/>
                <w:lang w:val="en-US" w:eastAsia="zh-CN"/>
              </w:rPr>
              <w:t>5</w:t>
            </w:r>
            <w:r>
              <w:rPr>
                <w:rFonts w:eastAsia="黑体"/>
                <w:kern w:val="0"/>
                <w:sz w:val="24"/>
                <w:szCs w:val="24"/>
                <w:u w:val="none"/>
              </w:rPr>
              <w:t xml:space="preserve">            </w:t>
            </w:r>
            <w:r>
              <w:rPr>
                <w:rFonts w:hint="eastAsia" w:eastAsia="黑体"/>
                <w:kern w:val="0"/>
                <w:sz w:val="24"/>
                <w:szCs w:val="24"/>
                <w:u w:val="none"/>
                <w:lang w:val="en-US" w:eastAsia="zh-CN"/>
              </w:rPr>
              <w:t xml:space="preserve">  </w:t>
            </w:r>
            <w:r>
              <w:rPr>
                <w:rFonts w:eastAsia="黑体"/>
                <w:kern w:val="0"/>
                <w:sz w:val="24"/>
                <w:szCs w:val="24"/>
                <w:u w:val="none"/>
              </w:rPr>
              <w:t xml:space="preserve"> 厂区内现有</w:t>
            </w:r>
            <w:r>
              <w:rPr>
                <w:rFonts w:hint="eastAsia" w:eastAsia="黑体"/>
                <w:kern w:val="0"/>
                <w:sz w:val="24"/>
                <w:szCs w:val="24"/>
                <w:u w:val="none"/>
              </w:rPr>
              <w:t>项目审批</w:t>
            </w:r>
            <w:r>
              <w:rPr>
                <w:rFonts w:eastAsia="黑体"/>
                <w:kern w:val="0"/>
                <w:sz w:val="24"/>
                <w:szCs w:val="24"/>
                <w:u w:val="none"/>
              </w:rPr>
              <w:t>情况表</w:t>
            </w:r>
          </w:p>
          <w:tbl>
            <w:tblPr>
              <w:tblStyle w:val="27"/>
              <w:tblW w:w="9000"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086"/>
              <w:gridCol w:w="903"/>
              <w:gridCol w:w="365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422" w:type="dxa"/>
                  <w:vAlign w:val="center"/>
                </w:tcPr>
                <w:p>
                  <w:pPr>
                    <w:adjustRightInd w:val="0"/>
                    <w:snapToGrid w:val="0"/>
                    <w:spacing w:line="240" w:lineRule="exact"/>
                    <w:ind w:left="-122" w:leftChars="-58" w:right="-94" w:rightChars="-45"/>
                    <w:jc w:val="center"/>
                    <w:textAlignment w:val="center"/>
                    <w:rPr>
                      <w:kern w:val="0"/>
                      <w:sz w:val="18"/>
                      <w:szCs w:val="18"/>
                    </w:rPr>
                  </w:pPr>
                  <w:r>
                    <w:rPr>
                      <w:rFonts w:hint="eastAsia"/>
                      <w:kern w:val="0"/>
                      <w:sz w:val="18"/>
                      <w:szCs w:val="18"/>
                    </w:rPr>
                    <w:t>企业名称</w:t>
                  </w:r>
                </w:p>
              </w:tc>
              <w:tc>
                <w:tcPr>
                  <w:tcW w:w="2086" w:type="dxa"/>
                  <w:vAlign w:val="center"/>
                </w:tcPr>
                <w:p>
                  <w:pPr>
                    <w:adjustRightInd w:val="0"/>
                    <w:snapToGrid w:val="0"/>
                    <w:spacing w:line="400" w:lineRule="exact"/>
                    <w:ind w:left="-84" w:leftChars="-40" w:right="-105" w:rightChars="-50"/>
                    <w:jc w:val="center"/>
                    <w:textAlignment w:val="center"/>
                    <w:rPr>
                      <w:kern w:val="0"/>
                      <w:sz w:val="18"/>
                      <w:szCs w:val="18"/>
                    </w:rPr>
                  </w:pPr>
                  <w:r>
                    <w:rPr>
                      <w:kern w:val="0"/>
                      <w:sz w:val="18"/>
                      <w:szCs w:val="18"/>
                    </w:rPr>
                    <w:t>项目</w:t>
                  </w:r>
                  <w:r>
                    <w:rPr>
                      <w:rFonts w:hint="eastAsia"/>
                      <w:kern w:val="0"/>
                      <w:sz w:val="18"/>
                      <w:szCs w:val="18"/>
                    </w:rPr>
                    <w:t>名称</w:t>
                  </w:r>
                </w:p>
              </w:tc>
              <w:tc>
                <w:tcPr>
                  <w:tcW w:w="903" w:type="dxa"/>
                  <w:vAlign w:val="center"/>
                </w:tcPr>
                <w:p>
                  <w:pPr>
                    <w:adjustRightInd w:val="0"/>
                    <w:snapToGrid w:val="0"/>
                    <w:spacing w:line="240" w:lineRule="exact"/>
                    <w:ind w:left="-107" w:leftChars="-51"/>
                    <w:jc w:val="center"/>
                    <w:textAlignment w:val="center"/>
                    <w:rPr>
                      <w:rFonts w:hint="eastAsia"/>
                      <w:kern w:val="0"/>
                      <w:sz w:val="18"/>
                      <w:szCs w:val="18"/>
                    </w:rPr>
                  </w:pPr>
                  <w:r>
                    <w:rPr>
                      <w:rFonts w:hint="eastAsia"/>
                      <w:kern w:val="0"/>
                      <w:sz w:val="18"/>
                      <w:szCs w:val="18"/>
                    </w:rPr>
                    <w:t>隶属关系</w:t>
                  </w:r>
                </w:p>
              </w:tc>
              <w:tc>
                <w:tcPr>
                  <w:tcW w:w="3652" w:type="dxa"/>
                  <w:vAlign w:val="center"/>
                </w:tcPr>
                <w:p>
                  <w:pPr>
                    <w:adjustRightInd w:val="0"/>
                    <w:snapToGrid w:val="0"/>
                    <w:spacing w:line="240" w:lineRule="exact"/>
                    <w:ind w:left="-107" w:leftChars="-51"/>
                    <w:jc w:val="center"/>
                    <w:textAlignment w:val="center"/>
                    <w:rPr>
                      <w:rFonts w:hint="eastAsia"/>
                      <w:kern w:val="0"/>
                      <w:sz w:val="18"/>
                      <w:szCs w:val="18"/>
                    </w:rPr>
                  </w:pPr>
                  <w:r>
                    <w:rPr>
                      <w:rFonts w:hint="eastAsia"/>
                      <w:kern w:val="0"/>
                      <w:sz w:val="18"/>
                      <w:szCs w:val="18"/>
                    </w:rPr>
                    <w:t>环评情况</w:t>
                  </w:r>
                  <w:r>
                    <w:rPr>
                      <w:rFonts w:hint="eastAsia"/>
                      <w:kern w:val="0"/>
                      <w:sz w:val="18"/>
                      <w:szCs w:val="18"/>
                      <w:lang w:eastAsia="zh-CN"/>
                    </w:rPr>
                    <w:t>及</w:t>
                  </w:r>
                  <w:r>
                    <w:rPr>
                      <w:rFonts w:hint="eastAsia"/>
                      <w:kern w:val="0"/>
                      <w:sz w:val="18"/>
                      <w:szCs w:val="18"/>
                    </w:rPr>
                    <w:t>验收</w:t>
                  </w:r>
                  <w:r>
                    <w:rPr>
                      <w:kern w:val="0"/>
                      <w:sz w:val="18"/>
                      <w:szCs w:val="18"/>
                    </w:rPr>
                    <w:t>情况</w:t>
                  </w:r>
                </w:p>
              </w:tc>
              <w:tc>
                <w:tcPr>
                  <w:tcW w:w="937" w:type="dxa"/>
                  <w:vAlign w:val="center"/>
                </w:tcPr>
                <w:p>
                  <w:pPr>
                    <w:adjustRightInd w:val="0"/>
                    <w:snapToGrid w:val="0"/>
                    <w:spacing w:line="240" w:lineRule="exact"/>
                    <w:ind w:left="-107" w:leftChars="-51"/>
                    <w:jc w:val="right"/>
                    <w:textAlignment w:val="center"/>
                    <w:rPr>
                      <w:rFonts w:hint="eastAsia"/>
                      <w:kern w:val="0"/>
                      <w:sz w:val="18"/>
                      <w:szCs w:val="18"/>
                    </w:rPr>
                  </w:pPr>
                  <w:r>
                    <w:rPr>
                      <w:rFonts w:hint="eastAsia"/>
                      <w:kern w:val="0"/>
                      <w:sz w:val="18"/>
                      <w:szCs w:val="18"/>
                    </w:rPr>
                    <w:t>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422"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洛阳客思来实业有限公司</w:t>
                  </w:r>
                </w:p>
              </w:tc>
              <w:tc>
                <w:tcPr>
                  <w:tcW w:w="2086"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年产1000套钢制门、30000台办公家具项目</w:t>
                  </w:r>
                </w:p>
              </w:tc>
              <w:tc>
                <w:tcPr>
                  <w:tcW w:w="903"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租赁</w:t>
                  </w:r>
                </w:p>
              </w:tc>
              <w:tc>
                <w:tcPr>
                  <w:tcW w:w="3652" w:type="dxa"/>
                  <w:vAlign w:val="center"/>
                </w:tcPr>
                <w:p>
                  <w:pPr>
                    <w:spacing w:line="240" w:lineRule="exact"/>
                    <w:jc w:val="center"/>
                    <w:rPr>
                      <w:color w:val="auto"/>
                      <w:kern w:val="0"/>
                      <w:sz w:val="18"/>
                      <w:szCs w:val="18"/>
                    </w:rPr>
                  </w:pPr>
                  <w:r>
                    <w:rPr>
                      <w:rFonts w:hint="eastAsia"/>
                      <w:color w:val="auto"/>
                      <w:sz w:val="18"/>
                      <w:szCs w:val="18"/>
                    </w:rPr>
                    <w:t>偃师市环境保护局已于20</w:t>
                  </w:r>
                  <w:r>
                    <w:rPr>
                      <w:rFonts w:hint="eastAsia"/>
                      <w:color w:val="auto"/>
                      <w:sz w:val="18"/>
                      <w:szCs w:val="18"/>
                      <w:lang w:val="en-US" w:eastAsia="zh-CN"/>
                    </w:rPr>
                    <w:t>20</w:t>
                  </w:r>
                  <w:r>
                    <w:rPr>
                      <w:rFonts w:hint="eastAsia"/>
                      <w:color w:val="auto"/>
                      <w:sz w:val="18"/>
                      <w:szCs w:val="18"/>
                    </w:rPr>
                    <w:t>年</w:t>
                  </w:r>
                  <w:r>
                    <w:rPr>
                      <w:rFonts w:hint="eastAsia"/>
                      <w:color w:val="auto"/>
                      <w:sz w:val="18"/>
                      <w:szCs w:val="18"/>
                      <w:lang w:val="en-US" w:eastAsia="zh-CN"/>
                    </w:rPr>
                    <w:t>3</w:t>
                  </w:r>
                  <w:r>
                    <w:rPr>
                      <w:rFonts w:hint="eastAsia"/>
                      <w:color w:val="auto"/>
                      <w:sz w:val="18"/>
                      <w:szCs w:val="18"/>
                    </w:rPr>
                    <w:t>月</w:t>
                  </w:r>
                  <w:r>
                    <w:rPr>
                      <w:rFonts w:hint="eastAsia"/>
                      <w:color w:val="auto"/>
                      <w:sz w:val="18"/>
                      <w:szCs w:val="18"/>
                      <w:lang w:val="en-US" w:eastAsia="zh-CN"/>
                    </w:rPr>
                    <w:t>12</w:t>
                  </w:r>
                  <w:r>
                    <w:rPr>
                      <w:rFonts w:hint="eastAsia"/>
                      <w:color w:val="auto"/>
                      <w:sz w:val="18"/>
                      <w:szCs w:val="18"/>
                    </w:rPr>
                    <w:t>以偃环监表（20</w:t>
                  </w:r>
                  <w:r>
                    <w:rPr>
                      <w:rFonts w:hint="eastAsia"/>
                      <w:color w:val="auto"/>
                      <w:sz w:val="18"/>
                      <w:szCs w:val="18"/>
                      <w:lang w:val="en-US" w:eastAsia="zh-CN"/>
                    </w:rPr>
                    <w:t>20</w:t>
                  </w:r>
                  <w:r>
                    <w:rPr>
                      <w:rFonts w:hint="eastAsia"/>
                      <w:color w:val="auto"/>
                      <w:sz w:val="18"/>
                      <w:szCs w:val="18"/>
                    </w:rPr>
                    <w:t>）</w:t>
                  </w:r>
                  <w:r>
                    <w:rPr>
                      <w:rFonts w:hint="eastAsia"/>
                      <w:color w:val="auto"/>
                      <w:sz w:val="18"/>
                      <w:szCs w:val="18"/>
                      <w:lang w:val="en-US" w:eastAsia="zh-CN"/>
                    </w:rPr>
                    <w:t>24</w:t>
                  </w:r>
                  <w:r>
                    <w:rPr>
                      <w:rFonts w:hint="eastAsia"/>
                      <w:color w:val="auto"/>
                      <w:sz w:val="18"/>
                      <w:szCs w:val="18"/>
                    </w:rPr>
                    <w:t>号对</w:t>
                  </w:r>
                  <w:r>
                    <w:rPr>
                      <w:rFonts w:hint="eastAsia"/>
                      <w:color w:val="auto"/>
                      <w:sz w:val="18"/>
                      <w:szCs w:val="18"/>
                      <w:lang w:eastAsia="zh-CN"/>
                    </w:rPr>
                    <w:t>项目</w:t>
                  </w:r>
                  <w:r>
                    <w:rPr>
                      <w:rFonts w:hint="eastAsia"/>
                      <w:color w:val="auto"/>
                      <w:sz w:val="18"/>
                      <w:szCs w:val="18"/>
                    </w:rPr>
                    <w:t>进行了批复，并于20</w:t>
                  </w:r>
                  <w:r>
                    <w:rPr>
                      <w:rFonts w:hint="eastAsia"/>
                      <w:color w:val="auto"/>
                      <w:sz w:val="18"/>
                      <w:szCs w:val="18"/>
                      <w:lang w:val="en-US" w:eastAsia="zh-CN"/>
                    </w:rPr>
                    <w:t>20</w:t>
                  </w:r>
                  <w:r>
                    <w:rPr>
                      <w:rFonts w:hint="eastAsia"/>
                      <w:color w:val="auto"/>
                      <w:sz w:val="18"/>
                      <w:szCs w:val="18"/>
                    </w:rPr>
                    <w:t>年</w:t>
                  </w:r>
                  <w:r>
                    <w:rPr>
                      <w:rFonts w:hint="eastAsia"/>
                      <w:color w:val="auto"/>
                      <w:sz w:val="18"/>
                      <w:szCs w:val="18"/>
                      <w:lang w:val="en-US" w:eastAsia="zh-CN"/>
                    </w:rPr>
                    <w:t>5</w:t>
                  </w:r>
                  <w:r>
                    <w:rPr>
                      <w:rFonts w:hint="eastAsia"/>
                      <w:color w:val="auto"/>
                      <w:sz w:val="18"/>
                      <w:szCs w:val="18"/>
                    </w:rPr>
                    <w:t>月完成竣工环境保护自主验收</w:t>
                  </w:r>
                </w:p>
              </w:tc>
              <w:tc>
                <w:tcPr>
                  <w:tcW w:w="937" w:type="dxa"/>
                  <w:vAlign w:val="center"/>
                </w:tcPr>
                <w:p>
                  <w:pPr>
                    <w:spacing w:line="240" w:lineRule="exact"/>
                    <w:jc w:val="center"/>
                    <w:rPr>
                      <w:rFonts w:hint="eastAsia"/>
                      <w:sz w:val="18"/>
                      <w:szCs w:val="18"/>
                    </w:rPr>
                  </w:pPr>
                  <w:r>
                    <w:rPr>
                      <w:rFonts w:hint="eastAsia"/>
                      <w:sz w:val="18"/>
                      <w:szCs w:val="18"/>
                    </w:rPr>
                    <w:t>正常</w:t>
                  </w:r>
                </w:p>
                <w:p>
                  <w:pPr>
                    <w:spacing w:line="240" w:lineRule="exact"/>
                    <w:jc w:val="center"/>
                    <w:rPr>
                      <w:rFonts w:hint="eastAsia"/>
                      <w:sz w:val="18"/>
                      <w:szCs w:val="18"/>
                    </w:rPr>
                  </w:pPr>
                  <w:r>
                    <w:rPr>
                      <w:sz w:val="18"/>
                      <w:szCs w:val="18"/>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422"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洛阳金都办公家具有限公司</w:t>
                  </w:r>
                </w:p>
              </w:tc>
              <w:tc>
                <w:tcPr>
                  <w:tcW w:w="2086"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年产15000台套</w:t>
                  </w:r>
                </w:p>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高档办公家具项目</w:t>
                  </w:r>
                </w:p>
              </w:tc>
              <w:tc>
                <w:tcPr>
                  <w:tcW w:w="903" w:type="dxa"/>
                  <w:vAlign w:val="center"/>
                </w:tcPr>
                <w:p>
                  <w:pPr>
                    <w:adjustRightInd w:val="0"/>
                    <w:snapToGrid w:val="0"/>
                    <w:spacing w:line="280" w:lineRule="exact"/>
                    <w:ind w:left="-50" w:leftChars="-24"/>
                    <w:jc w:val="center"/>
                    <w:textAlignment w:val="center"/>
                    <w:rPr>
                      <w:rFonts w:hint="eastAsia"/>
                      <w:kern w:val="0"/>
                      <w:sz w:val="18"/>
                      <w:szCs w:val="18"/>
                      <w:lang w:eastAsia="zh-CN"/>
                    </w:rPr>
                  </w:pPr>
                  <w:r>
                    <w:rPr>
                      <w:rFonts w:hint="eastAsia"/>
                      <w:kern w:val="0"/>
                      <w:sz w:val="18"/>
                      <w:szCs w:val="18"/>
                      <w:lang w:eastAsia="zh-CN"/>
                    </w:rPr>
                    <w:t>租赁</w:t>
                  </w:r>
                </w:p>
              </w:tc>
              <w:tc>
                <w:tcPr>
                  <w:tcW w:w="3652" w:type="dxa"/>
                  <w:vAlign w:val="center"/>
                </w:tcPr>
                <w:p>
                  <w:pPr>
                    <w:adjustRightInd w:val="0"/>
                    <w:snapToGrid w:val="0"/>
                    <w:spacing w:line="240" w:lineRule="exact"/>
                    <w:ind w:left="-107" w:leftChars="-51"/>
                    <w:jc w:val="center"/>
                    <w:textAlignment w:val="center"/>
                    <w:rPr>
                      <w:rFonts w:hint="eastAsia"/>
                      <w:color w:val="auto"/>
                      <w:sz w:val="18"/>
                      <w:szCs w:val="18"/>
                      <w:lang w:eastAsia="zh-CN"/>
                    </w:rPr>
                  </w:pPr>
                  <w:r>
                    <w:rPr>
                      <w:rFonts w:hint="eastAsia"/>
                      <w:color w:val="auto"/>
                      <w:sz w:val="18"/>
                      <w:szCs w:val="18"/>
                    </w:rPr>
                    <w:t>偃师市环境保护局已于2019年</w:t>
                  </w:r>
                  <w:r>
                    <w:rPr>
                      <w:rFonts w:hint="eastAsia"/>
                      <w:color w:val="auto"/>
                      <w:sz w:val="18"/>
                      <w:szCs w:val="18"/>
                      <w:lang w:val="en-US" w:eastAsia="zh-CN"/>
                    </w:rPr>
                    <w:t>4</w:t>
                  </w:r>
                  <w:r>
                    <w:rPr>
                      <w:rFonts w:hint="eastAsia"/>
                      <w:color w:val="auto"/>
                      <w:sz w:val="18"/>
                      <w:szCs w:val="18"/>
                    </w:rPr>
                    <w:t>月</w:t>
                  </w:r>
                  <w:r>
                    <w:rPr>
                      <w:rFonts w:hint="eastAsia"/>
                      <w:color w:val="auto"/>
                      <w:sz w:val="18"/>
                      <w:szCs w:val="18"/>
                      <w:lang w:val="en-US" w:eastAsia="zh-CN"/>
                    </w:rPr>
                    <w:t>28</w:t>
                  </w:r>
                  <w:r>
                    <w:rPr>
                      <w:rFonts w:hint="eastAsia"/>
                      <w:color w:val="auto"/>
                      <w:sz w:val="18"/>
                      <w:szCs w:val="18"/>
                    </w:rPr>
                    <w:t>以偃环监表（2019）</w:t>
                  </w:r>
                  <w:r>
                    <w:rPr>
                      <w:rFonts w:hint="eastAsia"/>
                      <w:color w:val="auto"/>
                      <w:sz w:val="18"/>
                      <w:szCs w:val="18"/>
                      <w:lang w:val="en-US" w:eastAsia="zh-CN"/>
                    </w:rPr>
                    <w:t>27</w:t>
                  </w:r>
                  <w:r>
                    <w:rPr>
                      <w:rFonts w:hint="eastAsia"/>
                      <w:color w:val="auto"/>
                      <w:sz w:val="18"/>
                      <w:szCs w:val="18"/>
                    </w:rPr>
                    <w:t>号对</w:t>
                  </w:r>
                  <w:r>
                    <w:rPr>
                      <w:rFonts w:hint="eastAsia"/>
                      <w:color w:val="auto"/>
                      <w:sz w:val="18"/>
                      <w:szCs w:val="18"/>
                      <w:lang w:eastAsia="zh-CN"/>
                    </w:rPr>
                    <w:t>项目</w:t>
                  </w:r>
                  <w:r>
                    <w:rPr>
                      <w:rFonts w:hint="eastAsia"/>
                      <w:color w:val="auto"/>
                      <w:sz w:val="18"/>
                      <w:szCs w:val="18"/>
                    </w:rPr>
                    <w:t>进行了批复，并于20</w:t>
                  </w:r>
                  <w:r>
                    <w:rPr>
                      <w:rFonts w:hint="eastAsia"/>
                      <w:color w:val="auto"/>
                      <w:sz w:val="18"/>
                      <w:szCs w:val="18"/>
                      <w:lang w:val="en-US" w:eastAsia="zh-CN"/>
                    </w:rPr>
                    <w:t>19</w:t>
                  </w:r>
                  <w:r>
                    <w:rPr>
                      <w:rFonts w:hint="eastAsia"/>
                      <w:color w:val="auto"/>
                      <w:sz w:val="18"/>
                      <w:szCs w:val="18"/>
                    </w:rPr>
                    <w:t>年</w:t>
                  </w:r>
                  <w:r>
                    <w:rPr>
                      <w:rFonts w:hint="eastAsia"/>
                      <w:color w:val="auto"/>
                      <w:sz w:val="18"/>
                      <w:szCs w:val="18"/>
                      <w:lang w:val="en-US" w:eastAsia="zh-CN"/>
                    </w:rPr>
                    <w:t>7</w:t>
                  </w:r>
                  <w:r>
                    <w:rPr>
                      <w:rFonts w:hint="eastAsia"/>
                      <w:color w:val="auto"/>
                      <w:sz w:val="18"/>
                      <w:szCs w:val="18"/>
                    </w:rPr>
                    <w:t>月完成竣工环境保护自主验收</w:t>
                  </w:r>
                </w:p>
              </w:tc>
              <w:tc>
                <w:tcPr>
                  <w:tcW w:w="937" w:type="dxa"/>
                  <w:vAlign w:val="center"/>
                </w:tcPr>
                <w:p>
                  <w:pPr>
                    <w:spacing w:line="240" w:lineRule="exact"/>
                    <w:jc w:val="center"/>
                    <w:rPr>
                      <w:rFonts w:hint="eastAsia"/>
                      <w:sz w:val="18"/>
                      <w:szCs w:val="18"/>
                    </w:rPr>
                  </w:pPr>
                  <w:r>
                    <w:rPr>
                      <w:rFonts w:hint="eastAsia"/>
                      <w:sz w:val="18"/>
                      <w:szCs w:val="18"/>
                    </w:rPr>
                    <w:t>正常</w:t>
                  </w:r>
                </w:p>
                <w:p>
                  <w:pPr>
                    <w:spacing w:line="240" w:lineRule="exact"/>
                    <w:ind w:left="-107" w:leftChars="-51" w:right="-141" w:rightChars="-67"/>
                    <w:jc w:val="center"/>
                    <w:rPr>
                      <w:rFonts w:hint="eastAsia" w:ascii="宋体" w:hAnsi="宋体" w:eastAsia="宋体" w:cs="宋体"/>
                      <w:bCs/>
                      <w:sz w:val="18"/>
                      <w:szCs w:val="18"/>
                      <w:lang w:eastAsia="zh-CN"/>
                    </w:rPr>
                  </w:pPr>
                  <w:r>
                    <w:rPr>
                      <w:sz w:val="18"/>
                      <w:szCs w:val="18"/>
                    </w:rPr>
                    <w:t>生产</w:t>
                  </w:r>
                </w:p>
              </w:tc>
            </w:tr>
          </w:tbl>
          <w:p>
            <w:pPr>
              <w:ind w:firstLine="1200" w:firstLineChars="500"/>
              <w:rPr>
                <w:rFonts w:ascii="黑体" w:hAnsi="黑体" w:eastAsia="黑体"/>
                <w:sz w:val="24"/>
                <w:szCs w:val="24"/>
                <w:u w:val="none"/>
              </w:rPr>
            </w:pPr>
            <w:r>
              <w:rPr>
                <w:rFonts w:hint="eastAsia" w:ascii="黑体" w:hAnsi="黑体" w:eastAsia="黑体"/>
                <w:sz w:val="24"/>
                <w:szCs w:val="24"/>
                <w:u w:val="none"/>
              </w:rPr>
              <w:t>表</w:t>
            </w:r>
            <w:r>
              <w:rPr>
                <w:rFonts w:hint="eastAsia" w:ascii="黑体" w:hAnsi="黑体" w:eastAsia="黑体"/>
                <w:sz w:val="24"/>
                <w:szCs w:val="24"/>
                <w:u w:val="none"/>
                <w:lang w:val="en-US" w:eastAsia="zh-CN"/>
              </w:rPr>
              <w:t>6</w:t>
            </w:r>
            <w:r>
              <w:rPr>
                <w:rFonts w:hint="eastAsia" w:ascii="黑体" w:hAnsi="黑体" w:eastAsia="黑体"/>
                <w:sz w:val="24"/>
                <w:szCs w:val="24"/>
                <w:u w:val="none"/>
              </w:rPr>
              <w:t xml:space="preserve">          </w:t>
            </w:r>
            <w:r>
              <w:rPr>
                <w:rFonts w:hint="eastAsia" w:ascii="黑体" w:hAnsi="黑体" w:eastAsia="黑体"/>
                <w:sz w:val="24"/>
                <w:szCs w:val="24"/>
                <w:u w:val="none"/>
                <w:lang w:val="en-US" w:eastAsia="zh-CN"/>
              </w:rPr>
              <w:t xml:space="preserve"> </w:t>
            </w:r>
            <w:r>
              <w:rPr>
                <w:rFonts w:hint="eastAsia" w:ascii="黑体" w:hAnsi="黑体" w:eastAsia="黑体"/>
                <w:sz w:val="24"/>
                <w:szCs w:val="24"/>
                <w:u w:val="none"/>
              </w:rPr>
              <w:t xml:space="preserve"> 厂区内主要工程现状用途</w:t>
            </w:r>
          </w:p>
          <w:tbl>
            <w:tblPr>
              <w:tblStyle w:val="28"/>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523"/>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40" w:type="dxa"/>
                  <w:vAlign w:val="center"/>
                </w:tcPr>
                <w:p>
                  <w:pPr>
                    <w:jc w:val="center"/>
                    <w:rPr>
                      <w:rFonts w:hAnsi="宋体"/>
                      <w:szCs w:val="21"/>
                    </w:rPr>
                  </w:pPr>
                  <w:r>
                    <w:rPr>
                      <w:rFonts w:hint="eastAsia" w:hAnsi="宋体"/>
                      <w:szCs w:val="21"/>
                    </w:rPr>
                    <w:t>序号</w:t>
                  </w:r>
                </w:p>
              </w:tc>
              <w:tc>
                <w:tcPr>
                  <w:tcW w:w="2523" w:type="dxa"/>
                  <w:vAlign w:val="center"/>
                </w:tcPr>
                <w:p>
                  <w:pPr>
                    <w:jc w:val="center"/>
                    <w:rPr>
                      <w:rFonts w:hAnsi="宋体"/>
                      <w:szCs w:val="21"/>
                    </w:rPr>
                  </w:pPr>
                  <w:r>
                    <w:rPr>
                      <w:rFonts w:hint="eastAsia" w:hAnsi="宋体"/>
                      <w:szCs w:val="21"/>
                    </w:rPr>
                    <w:t>工程内容</w:t>
                  </w:r>
                </w:p>
              </w:tc>
              <w:tc>
                <w:tcPr>
                  <w:tcW w:w="5377" w:type="dxa"/>
                  <w:vAlign w:val="center"/>
                </w:tcPr>
                <w:p>
                  <w:pPr>
                    <w:jc w:val="center"/>
                    <w:rPr>
                      <w:rFonts w:hAnsi="宋体"/>
                      <w:szCs w:val="21"/>
                    </w:rPr>
                  </w:pPr>
                  <w:r>
                    <w:rPr>
                      <w:rFonts w:hint="eastAsia" w:hAnsi="宋体"/>
                      <w:szCs w:val="21"/>
                    </w:rPr>
                    <w:t>现状用途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40" w:type="dxa"/>
                  <w:vAlign w:val="center"/>
                </w:tcPr>
                <w:p>
                  <w:pPr>
                    <w:jc w:val="center"/>
                    <w:rPr>
                      <w:rFonts w:hAnsi="宋体"/>
                      <w:szCs w:val="21"/>
                    </w:rPr>
                  </w:pPr>
                  <w:r>
                    <w:rPr>
                      <w:rFonts w:hint="eastAsia" w:hAnsi="宋体"/>
                      <w:szCs w:val="21"/>
                    </w:rPr>
                    <w:t>1</w:t>
                  </w:r>
                </w:p>
              </w:tc>
              <w:tc>
                <w:tcPr>
                  <w:tcW w:w="2523" w:type="dxa"/>
                  <w:vAlign w:val="center"/>
                </w:tcPr>
                <w:p>
                  <w:pPr>
                    <w:jc w:val="center"/>
                    <w:rPr>
                      <w:rFonts w:hAnsi="宋体"/>
                      <w:szCs w:val="21"/>
                    </w:rPr>
                  </w:pPr>
                  <w:r>
                    <w:rPr>
                      <w:rFonts w:hint="eastAsia" w:hAnsi="宋体"/>
                      <w:szCs w:val="21"/>
                    </w:rPr>
                    <w:t>办公楼</w:t>
                  </w:r>
                </w:p>
              </w:tc>
              <w:tc>
                <w:tcPr>
                  <w:tcW w:w="5377" w:type="dxa"/>
                  <w:vAlign w:val="center"/>
                </w:tcPr>
                <w:p>
                  <w:pPr>
                    <w:jc w:val="center"/>
                    <w:rPr>
                      <w:rFonts w:hAnsi="宋体"/>
                      <w:szCs w:val="21"/>
                    </w:rPr>
                  </w:pPr>
                  <w:r>
                    <w:rPr>
                      <w:rFonts w:hint="eastAsia" w:hAnsi="宋体"/>
                      <w:szCs w:val="21"/>
                    </w:rPr>
                    <w:t>金都租用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40" w:type="dxa"/>
                  <w:vAlign w:val="center"/>
                </w:tcPr>
                <w:p>
                  <w:pPr>
                    <w:jc w:val="center"/>
                    <w:rPr>
                      <w:rFonts w:hAnsi="宋体"/>
                      <w:szCs w:val="21"/>
                    </w:rPr>
                  </w:pPr>
                  <w:r>
                    <w:rPr>
                      <w:rFonts w:hint="eastAsia" w:hAnsi="宋体"/>
                      <w:szCs w:val="21"/>
                    </w:rPr>
                    <w:t>2</w:t>
                  </w:r>
                </w:p>
              </w:tc>
              <w:tc>
                <w:tcPr>
                  <w:tcW w:w="2523" w:type="dxa"/>
                  <w:vAlign w:val="center"/>
                </w:tcPr>
                <w:p>
                  <w:pPr>
                    <w:jc w:val="center"/>
                    <w:rPr>
                      <w:rFonts w:hAnsi="宋体"/>
                      <w:szCs w:val="21"/>
                    </w:rPr>
                  </w:pPr>
                  <w:r>
                    <w:rPr>
                      <w:rFonts w:hint="eastAsia" w:hAnsi="宋体"/>
                      <w:szCs w:val="21"/>
                    </w:rPr>
                    <w:t>1号、2号原料间</w:t>
                  </w:r>
                </w:p>
              </w:tc>
              <w:tc>
                <w:tcPr>
                  <w:tcW w:w="5377" w:type="dxa"/>
                  <w:vAlign w:val="center"/>
                </w:tcPr>
                <w:p>
                  <w:pPr>
                    <w:jc w:val="center"/>
                    <w:rPr>
                      <w:rFonts w:hint="eastAsia" w:hAnsi="宋体" w:eastAsia="宋体"/>
                      <w:szCs w:val="21"/>
                      <w:lang w:eastAsia="zh-CN"/>
                    </w:rPr>
                  </w:pPr>
                  <w:r>
                    <w:rPr>
                      <w:rFonts w:hint="eastAsia" w:hAnsi="宋体"/>
                      <w:szCs w:val="21"/>
                    </w:rPr>
                    <w:t>现</w:t>
                  </w:r>
                  <w:r>
                    <w:rPr>
                      <w:rFonts w:hint="eastAsia" w:hAnsi="宋体"/>
                      <w:szCs w:val="21"/>
                      <w:lang w:eastAsia="zh-CN"/>
                    </w:rPr>
                    <w:t>闲置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40" w:type="dxa"/>
                  <w:vAlign w:val="center"/>
                </w:tcPr>
                <w:p>
                  <w:pPr>
                    <w:jc w:val="center"/>
                    <w:rPr>
                      <w:rFonts w:hAnsi="宋体"/>
                      <w:szCs w:val="21"/>
                    </w:rPr>
                  </w:pPr>
                  <w:r>
                    <w:rPr>
                      <w:rFonts w:hint="eastAsia" w:hAnsi="宋体"/>
                      <w:szCs w:val="21"/>
                    </w:rPr>
                    <w:t>3</w:t>
                  </w:r>
                </w:p>
              </w:tc>
              <w:tc>
                <w:tcPr>
                  <w:tcW w:w="2523" w:type="dxa"/>
                  <w:vAlign w:val="center"/>
                </w:tcPr>
                <w:p>
                  <w:pPr>
                    <w:jc w:val="center"/>
                    <w:rPr>
                      <w:rFonts w:hAnsi="宋体"/>
                      <w:szCs w:val="21"/>
                    </w:rPr>
                  </w:pPr>
                  <w:r>
                    <w:rPr>
                      <w:rFonts w:hint="eastAsia" w:hAnsi="宋体"/>
                      <w:szCs w:val="21"/>
                    </w:rPr>
                    <w:t>1号车间</w:t>
                  </w:r>
                </w:p>
              </w:tc>
              <w:tc>
                <w:tcPr>
                  <w:tcW w:w="5377" w:type="dxa"/>
                  <w:vAlign w:val="center"/>
                </w:tcPr>
                <w:p>
                  <w:pPr>
                    <w:jc w:val="center"/>
                    <w:rPr>
                      <w:rFonts w:hAnsi="宋体"/>
                      <w:szCs w:val="21"/>
                    </w:rPr>
                  </w:pPr>
                  <w:r>
                    <w:rPr>
                      <w:rFonts w:hint="eastAsia" w:hAnsi="宋体"/>
                      <w:szCs w:val="21"/>
                    </w:rPr>
                    <w:t>金都租用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040" w:type="dxa"/>
                  <w:vAlign w:val="center"/>
                </w:tcPr>
                <w:p>
                  <w:pPr>
                    <w:jc w:val="center"/>
                    <w:rPr>
                      <w:rFonts w:hAnsi="宋体"/>
                      <w:szCs w:val="21"/>
                    </w:rPr>
                  </w:pPr>
                  <w:r>
                    <w:rPr>
                      <w:rFonts w:hint="eastAsia" w:hAnsi="宋体"/>
                      <w:szCs w:val="21"/>
                    </w:rPr>
                    <w:t>4</w:t>
                  </w:r>
                </w:p>
              </w:tc>
              <w:tc>
                <w:tcPr>
                  <w:tcW w:w="2523" w:type="dxa"/>
                  <w:vAlign w:val="center"/>
                </w:tcPr>
                <w:p>
                  <w:pPr>
                    <w:jc w:val="center"/>
                    <w:rPr>
                      <w:rFonts w:hAnsi="宋体"/>
                      <w:szCs w:val="21"/>
                    </w:rPr>
                  </w:pPr>
                  <w:r>
                    <w:rPr>
                      <w:rFonts w:hint="eastAsia" w:hAnsi="宋体"/>
                      <w:szCs w:val="21"/>
                    </w:rPr>
                    <w:t>2号车间</w:t>
                  </w:r>
                </w:p>
              </w:tc>
              <w:tc>
                <w:tcPr>
                  <w:tcW w:w="5377" w:type="dxa"/>
                  <w:vAlign w:val="center"/>
                </w:tcPr>
                <w:p>
                  <w:pPr>
                    <w:jc w:val="center"/>
                    <w:rPr>
                      <w:rFonts w:hAnsi="宋体"/>
                      <w:szCs w:val="21"/>
                    </w:rPr>
                  </w:pPr>
                  <w:r>
                    <w:rPr>
                      <w:rFonts w:hint="eastAsia" w:hAnsi="宋体"/>
                      <w:szCs w:val="21"/>
                    </w:rPr>
                    <w:t>金都租用东部车间，</w:t>
                  </w:r>
                  <w:r>
                    <w:rPr>
                      <w:rFonts w:hint="eastAsia" w:hAnsi="宋体"/>
                      <w:szCs w:val="21"/>
                      <w:lang w:eastAsia="zh-CN"/>
                    </w:rPr>
                    <w:t>客思来</w:t>
                  </w:r>
                  <w:r>
                    <w:rPr>
                      <w:rFonts w:hint="eastAsia" w:hAnsi="宋体"/>
                      <w:szCs w:val="21"/>
                    </w:rPr>
                    <w:t>租用西半车间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40" w:type="dxa"/>
                  <w:vAlign w:val="center"/>
                </w:tcPr>
                <w:p>
                  <w:pPr>
                    <w:jc w:val="center"/>
                    <w:rPr>
                      <w:rFonts w:hAnsi="宋体"/>
                      <w:szCs w:val="21"/>
                    </w:rPr>
                  </w:pPr>
                  <w:r>
                    <w:rPr>
                      <w:rFonts w:hint="eastAsia" w:hAnsi="宋体"/>
                      <w:szCs w:val="21"/>
                    </w:rPr>
                    <w:t>5</w:t>
                  </w:r>
                </w:p>
              </w:tc>
              <w:tc>
                <w:tcPr>
                  <w:tcW w:w="2523" w:type="dxa"/>
                  <w:vAlign w:val="center"/>
                </w:tcPr>
                <w:p>
                  <w:pPr>
                    <w:jc w:val="center"/>
                    <w:rPr>
                      <w:rFonts w:hAnsi="宋体"/>
                      <w:szCs w:val="21"/>
                    </w:rPr>
                  </w:pPr>
                  <w:r>
                    <w:rPr>
                      <w:rFonts w:hint="eastAsia" w:hAnsi="宋体"/>
                      <w:szCs w:val="21"/>
                    </w:rPr>
                    <w:t>3号车间</w:t>
                  </w:r>
                </w:p>
              </w:tc>
              <w:tc>
                <w:tcPr>
                  <w:tcW w:w="5377" w:type="dxa"/>
                  <w:vAlign w:val="center"/>
                </w:tcPr>
                <w:p>
                  <w:pPr>
                    <w:jc w:val="center"/>
                    <w:rPr>
                      <w:rFonts w:hAnsi="宋体"/>
                      <w:szCs w:val="21"/>
                    </w:rPr>
                  </w:pPr>
                  <w:r>
                    <w:rPr>
                      <w:rFonts w:hint="eastAsia" w:hAnsi="宋体"/>
                      <w:szCs w:val="21"/>
                    </w:rPr>
                    <w:t>2层</w:t>
                  </w:r>
                  <w:r>
                    <w:rPr>
                      <w:rFonts w:hint="eastAsia" w:hAnsi="宋体"/>
                      <w:szCs w:val="21"/>
                      <w:lang w:eastAsia="zh-CN"/>
                    </w:rPr>
                    <w:t>闲置，客思来</w:t>
                  </w:r>
                  <w:r>
                    <w:rPr>
                      <w:rFonts w:hint="eastAsia" w:hAnsi="宋体"/>
                      <w:szCs w:val="21"/>
                    </w:rPr>
                    <w:t>租用1楼</w:t>
                  </w:r>
                  <w:r>
                    <w:rPr>
                      <w:rFonts w:hint="eastAsia" w:hAnsi="宋体"/>
                      <w:szCs w:val="21"/>
                      <w:lang w:eastAsia="zh-CN"/>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040" w:type="dxa"/>
                  <w:vAlign w:val="center"/>
                </w:tcPr>
                <w:p>
                  <w:pPr>
                    <w:jc w:val="center"/>
                    <w:rPr>
                      <w:rFonts w:hAnsi="宋体"/>
                      <w:szCs w:val="21"/>
                    </w:rPr>
                  </w:pPr>
                  <w:r>
                    <w:rPr>
                      <w:rFonts w:hint="eastAsia" w:hAnsi="宋体"/>
                      <w:szCs w:val="21"/>
                    </w:rPr>
                    <w:t>6</w:t>
                  </w:r>
                </w:p>
              </w:tc>
              <w:tc>
                <w:tcPr>
                  <w:tcW w:w="2523" w:type="dxa"/>
                  <w:vAlign w:val="center"/>
                </w:tcPr>
                <w:p>
                  <w:pPr>
                    <w:jc w:val="center"/>
                    <w:rPr>
                      <w:rFonts w:hAnsi="宋体"/>
                      <w:szCs w:val="21"/>
                    </w:rPr>
                  </w:pPr>
                  <w:r>
                    <w:rPr>
                      <w:rFonts w:hint="eastAsia" w:hAnsi="宋体"/>
                      <w:szCs w:val="21"/>
                    </w:rPr>
                    <w:t>1号、2号职工设施</w:t>
                  </w:r>
                </w:p>
              </w:tc>
              <w:tc>
                <w:tcPr>
                  <w:tcW w:w="5377" w:type="dxa"/>
                  <w:vAlign w:val="center"/>
                </w:tcPr>
                <w:p>
                  <w:pPr>
                    <w:jc w:val="center"/>
                    <w:rPr>
                      <w:rFonts w:hAnsi="宋体"/>
                      <w:szCs w:val="21"/>
                    </w:rPr>
                  </w:pPr>
                  <w:r>
                    <w:rPr>
                      <w:rFonts w:hint="eastAsia" w:hAnsi="宋体"/>
                      <w:szCs w:val="21"/>
                    </w:rPr>
                    <w:t>现闲置</w:t>
                  </w:r>
                </w:p>
              </w:tc>
            </w:tr>
          </w:tbl>
          <w:p>
            <w:pPr>
              <w:spacing w:line="360" w:lineRule="auto"/>
              <w:rPr>
                <w:rFonts w:hAnsi="宋体"/>
                <w:b/>
                <w:bCs/>
                <w:sz w:val="24"/>
                <w:szCs w:val="24"/>
              </w:rPr>
            </w:pPr>
            <w:r>
              <w:rPr>
                <w:rFonts w:hint="eastAsia" w:hAnsi="宋体"/>
                <w:b/>
                <w:bCs/>
                <w:sz w:val="24"/>
                <w:szCs w:val="24"/>
                <w:lang w:val="en-US" w:eastAsia="zh-CN"/>
              </w:rPr>
              <w:t>1</w:t>
            </w:r>
            <w:r>
              <w:rPr>
                <w:rFonts w:hint="eastAsia" w:hAnsi="宋体"/>
                <w:b/>
                <w:bCs/>
                <w:sz w:val="24"/>
                <w:szCs w:val="24"/>
              </w:rPr>
              <w:t>、原有污染情况</w:t>
            </w:r>
          </w:p>
          <w:p>
            <w:pPr>
              <w:spacing w:line="360" w:lineRule="auto"/>
              <w:rPr>
                <w:color w:val="000000" w:themeColor="text1"/>
                <w:sz w:val="24"/>
                <w:szCs w:val="24"/>
                <w:u w:val="none"/>
              </w:rPr>
            </w:pPr>
            <w:r>
              <w:rPr>
                <w:rFonts w:hint="eastAsia"/>
                <w:color w:val="000000" w:themeColor="text1"/>
                <w:sz w:val="24"/>
                <w:szCs w:val="24"/>
                <w:lang w:val="en-US" w:eastAsia="zh-CN"/>
              </w:rPr>
              <w:t>1</w:t>
            </w:r>
            <w:r>
              <w:rPr>
                <w:rFonts w:hint="eastAsia"/>
                <w:color w:val="000000" w:themeColor="text1"/>
                <w:sz w:val="24"/>
                <w:szCs w:val="24"/>
              </w:rPr>
              <w:t>.1</w:t>
            </w:r>
            <w:r>
              <w:rPr>
                <w:rFonts w:hint="eastAsia"/>
                <w:color w:val="000000" w:themeColor="text1"/>
                <w:sz w:val="24"/>
                <w:szCs w:val="24"/>
                <w:u w:val="none"/>
                <w:lang w:eastAsia="zh-CN"/>
              </w:rPr>
              <w:t>金都</w:t>
            </w:r>
            <w:r>
              <w:rPr>
                <w:rFonts w:hint="eastAsia"/>
                <w:color w:val="000000" w:themeColor="text1"/>
                <w:sz w:val="24"/>
                <w:szCs w:val="24"/>
                <w:u w:val="none"/>
              </w:rPr>
              <w:t>项目</w:t>
            </w:r>
          </w:p>
          <w:p>
            <w:pPr>
              <w:adjustRightInd w:val="0"/>
              <w:snapToGrid w:val="0"/>
              <w:spacing w:line="360" w:lineRule="auto"/>
              <w:ind w:left="-50" w:leftChars="-24" w:firstLine="480"/>
              <w:jc w:val="left"/>
              <w:textAlignment w:val="center"/>
              <w:rPr>
                <w:rFonts w:hint="eastAsia"/>
                <w:color w:val="000000" w:themeColor="text1"/>
                <w:sz w:val="24"/>
                <w:szCs w:val="24"/>
                <w:u w:val="none"/>
                <w:lang w:eastAsia="zh-CN"/>
              </w:rPr>
            </w:pPr>
            <w:r>
              <w:rPr>
                <w:rFonts w:hint="eastAsia"/>
                <w:sz w:val="24"/>
                <w:szCs w:val="24"/>
                <w:u w:val="none"/>
                <w:lang w:eastAsia="zh-CN"/>
              </w:rPr>
              <w:t>洛阳金都办公家具有限公司</w:t>
            </w:r>
            <w:r>
              <w:rPr>
                <w:rFonts w:hint="eastAsia"/>
                <w:kern w:val="0"/>
                <w:sz w:val="24"/>
                <w:szCs w:val="24"/>
                <w:lang w:eastAsia="zh-CN"/>
              </w:rPr>
              <w:t>年产15000台套高档办公家具项目</w:t>
            </w:r>
            <w:r>
              <w:rPr>
                <w:rFonts w:hint="eastAsia"/>
                <w:color w:val="000000" w:themeColor="text1"/>
                <w:sz w:val="24"/>
                <w:szCs w:val="24"/>
                <w:u w:val="none"/>
              </w:rPr>
              <w:t>生产工艺为外购钢板经剪板、切割、冲压、折弯、焊接</w:t>
            </w:r>
            <w:r>
              <w:rPr>
                <w:rFonts w:hint="eastAsia"/>
                <w:color w:val="000000" w:themeColor="text1"/>
                <w:sz w:val="24"/>
                <w:szCs w:val="24"/>
                <w:u w:val="none"/>
                <w:lang w:eastAsia="zh-CN"/>
              </w:rPr>
              <w:t>（抛丸）</w:t>
            </w:r>
            <w:r>
              <w:rPr>
                <w:rFonts w:hint="eastAsia"/>
                <w:color w:val="000000" w:themeColor="text1"/>
                <w:sz w:val="24"/>
                <w:szCs w:val="24"/>
                <w:u w:val="none"/>
              </w:rPr>
              <w:t>、喷塑、固化即为成品。</w:t>
            </w:r>
            <w:r>
              <w:rPr>
                <w:rFonts w:hint="eastAsia"/>
                <w:sz w:val="24"/>
                <w:szCs w:val="24"/>
                <w:u w:val="none"/>
              </w:rPr>
              <w:t>废气主要为烘干道产生的含二氧化硫、氮氧化物、烟尘、非甲烷总烃废气，</w:t>
            </w:r>
            <w:r>
              <w:rPr>
                <w:rFonts w:hint="eastAsia"/>
                <w:sz w:val="24"/>
                <w:szCs w:val="24"/>
                <w:u w:val="none"/>
                <w:lang w:eastAsia="zh-CN"/>
              </w:rPr>
              <w:t>抛丸、</w:t>
            </w:r>
            <w:r>
              <w:rPr>
                <w:rFonts w:hint="eastAsia"/>
                <w:sz w:val="24"/>
                <w:szCs w:val="24"/>
                <w:u w:val="none"/>
              </w:rPr>
              <w:t>喷粉、焊接、激光切割过程产生的颗粒物；废水主要为职工生活污水；固废主要为职工生活垃圾、废边料、废塑粉、废包装纸箱、废活性炭、废机油</w:t>
            </w:r>
            <w:r>
              <w:rPr>
                <w:rFonts w:hint="eastAsia"/>
                <w:color w:val="000000" w:themeColor="text1"/>
                <w:sz w:val="24"/>
                <w:szCs w:val="24"/>
                <w:u w:val="none"/>
              </w:rPr>
              <w:t>等；噪声主要为设备运行过程产生的噪声。</w:t>
            </w:r>
            <w:r>
              <w:rPr>
                <w:rFonts w:hint="eastAsia"/>
                <w:color w:val="000000" w:themeColor="text1"/>
                <w:sz w:val="24"/>
                <w:szCs w:val="24"/>
                <w:u w:val="none"/>
                <w:lang w:eastAsia="zh-CN"/>
              </w:rPr>
              <w:t>环评批复总量指标为：COD0.0806t/a、氨氮0.0081t/a、二氧化硫0.0286t/a、氮氧化物0.0936t/a。</w:t>
            </w:r>
          </w:p>
          <w:p>
            <w:pPr>
              <w:adjustRightInd w:val="0"/>
              <w:snapToGrid w:val="0"/>
              <w:spacing w:line="360" w:lineRule="auto"/>
              <w:jc w:val="left"/>
              <w:textAlignment w:val="center"/>
              <w:rPr>
                <w:sz w:val="24"/>
                <w:szCs w:val="24"/>
              </w:rPr>
            </w:pPr>
            <w:r>
              <w:rPr>
                <w:rFonts w:hint="eastAsia"/>
                <w:sz w:val="24"/>
                <w:szCs w:val="24"/>
                <w:lang w:val="en-US" w:eastAsia="zh-CN"/>
              </w:rPr>
              <w:t>1</w:t>
            </w:r>
            <w:r>
              <w:rPr>
                <w:rFonts w:hint="eastAsia"/>
                <w:sz w:val="24"/>
                <w:szCs w:val="24"/>
              </w:rPr>
              <w:t xml:space="preserve">.2 </w:t>
            </w:r>
            <w:r>
              <w:rPr>
                <w:rFonts w:hint="eastAsia"/>
                <w:sz w:val="24"/>
                <w:szCs w:val="24"/>
                <w:lang w:eastAsia="zh-CN"/>
              </w:rPr>
              <w:t>客思来</w:t>
            </w:r>
            <w:r>
              <w:rPr>
                <w:rFonts w:hint="eastAsia"/>
                <w:sz w:val="24"/>
                <w:szCs w:val="24"/>
              </w:rPr>
              <w:t>项目</w:t>
            </w:r>
          </w:p>
          <w:p>
            <w:pPr>
              <w:adjustRightInd w:val="0"/>
              <w:snapToGrid w:val="0"/>
              <w:spacing w:line="360" w:lineRule="auto"/>
              <w:ind w:left="-50" w:leftChars="-24" w:firstLine="480"/>
              <w:jc w:val="left"/>
              <w:textAlignment w:val="center"/>
              <w:rPr>
                <w:rFonts w:hint="eastAsia"/>
                <w:color w:val="000000" w:themeColor="text1"/>
                <w:sz w:val="24"/>
                <w:szCs w:val="24"/>
                <w:u w:val="none"/>
                <w:lang w:eastAsia="zh-CN"/>
              </w:rPr>
            </w:pPr>
            <w:r>
              <w:rPr>
                <w:rFonts w:hint="eastAsia"/>
                <w:color w:val="000000" w:themeColor="text1"/>
                <w:sz w:val="24"/>
                <w:szCs w:val="24"/>
                <w:u w:val="none"/>
                <w:lang w:eastAsia="zh-CN"/>
              </w:rPr>
              <w:t>洛阳客思来实业有限公司年产1000套钢制门、30000台办公家具项目生产工艺为外购钢板经剪板、切割、冲压、折弯、焊接、喷塑、固化即为成品。废气主要为烘干道产生的含二氧化硫、氮氧化物、烟尘、非</w:t>
            </w:r>
            <w:r>
              <w:rPr>
                <w:rFonts w:hint="eastAsia"/>
                <w:sz w:val="24"/>
                <w:szCs w:val="21"/>
                <w:u w:val="none"/>
              </w:rPr>
              <w:t>甲烷总烃废气，</w:t>
            </w:r>
            <w:r>
              <w:rPr>
                <w:rFonts w:hint="eastAsia"/>
                <w:sz w:val="24"/>
                <w:szCs w:val="21"/>
                <w:u w:val="none"/>
                <w:lang w:eastAsia="zh-CN"/>
              </w:rPr>
              <w:t>抛丸、</w:t>
            </w:r>
            <w:r>
              <w:rPr>
                <w:rFonts w:hint="eastAsia"/>
                <w:sz w:val="24"/>
                <w:szCs w:val="21"/>
                <w:u w:val="none"/>
              </w:rPr>
              <w:t>喷粉、焊接、激光切割过程产生的颗粒物；废水主要为职工生活污水；固废主要为职工生活垃圾、废边料、废塑粉、废包装纸箱、废活性炭、废机油</w:t>
            </w:r>
            <w:r>
              <w:rPr>
                <w:rFonts w:hint="eastAsia"/>
                <w:color w:val="000000" w:themeColor="text1"/>
                <w:sz w:val="24"/>
                <w:szCs w:val="24"/>
                <w:u w:val="none"/>
              </w:rPr>
              <w:t>等；噪声主要为设备运行过程产生的噪声。</w:t>
            </w:r>
            <w:r>
              <w:rPr>
                <w:rFonts w:hint="eastAsia"/>
                <w:color w:val="000000" w:themeColor="text1"/>
                <w:sz w:val="24"/>
                <w:szCs w:val="24"/>
                <w:u w:val="none"/>
                <w:lang w:eastAsia="zh-CN"/>
              </w:rPr>
              <w:t>环评批复总量指标为：COD0.</w:t>
            </w:r>
            <w:r>
              <w:rPr>
                <w:rFonts w:hint="eastAsia"/>
                <w:color w:val="000000" w:themeColor="text1"/>
                <w:sz w:val="24"/>
                <w:szCs w:val="24"/>
                <w:u w:val="none"/>
                <w:lang w:val="en-US" w:eastAsia="zh-CN"/>
              </w:rPr>
              <w:t>1</w:t>
            </w:r>
            <w:r>
              <w:rPr>
                <w:rFonts w:hint="eastAsia"/>
                <w:color w:val="000000" w:themeColor="text1"/>
                <w:sz w:val="24"/>
                <w:szCs w:val="24"/>
                <w:u w:val="none"/>
                <w:lang w:eastAsia="zh-CN"/>
              </w:rPr>
              <w:t>t/a、氨氮0.0</w:t>
            </w:r>
            <w:r>
              <w:rPr>
                <w:rFonts w:hint="eastAsia"/>
                <w:color w:val="000000" w:themeColor="text1"/>
                <w:sz w:val="24"/>
                <w:szCs w:val="24"/>
                <w:u w:val="none"/>
                <w:lang w:val="en-US" w:eastAsia="zh-CN"/>
              </w:rPr>
              <w:t>1</w:t>
            </w:r>
            <w:r>
              <w:rPr>
                <w:rFonts w:hint="eastAsia"/>
                <w:color w:val="000000" w:themeColor="text1"/>
                <w:sz w:val="24"/>
                <w:szCs w:val="24"/>
                <w:u w:val="none"/>
                <w:lang w:eastAsia="zh-CN"/>
              </w:rPr>
              <w:t>t/a、二氧化硫0.0</w:t>
            </w:r>
            <w:r>
              <w:rPr>
                <w:rFonts w:hint="eastAsia"/>
                <w:color w:val="000000" w:themeColor="text1"/>
                <w:sz w:val="24"/>
                <w:szCs w:val="24"/>
                <w:u w:val="none"/>
                <w:lang w:val="en-US" w:eastAsia="zh-CN"/>
              </w:rPr>
              <w:t>4</w:t>
            </w:r>
            <w:r>
              <w:rPr>
                <w:rFonts w:hint="eastAsia"/>
                <w:color w:val="000000" w:themeColor="text1"/>
                <w:sz w:val="24"/>
                <w:szCs w:val="24"/>
                <w:u w:val="none"/>
                <w:lang w:eastAsia="zh-CN"/>
              </w:rPr>
              <w:t>t/a、氮氧化物0.</w:t>
            </w:r>
            <w:r>
              <w:rPr>
                <w:rFonts w:hint="eastAsia"/>
                <w:color w:val="000000" w:themeColor="text1"/>
                <w:sz w:val="24"/>
                <w:szCs w:val="24"/>
                <w:u w:val="none"/>
                <w:lang w:val="en-US" w:eastAsia="zh-CN"/>
              </w:rPr>
              <w:t>131</w:t>
            </w:r>
            <w:r>
              <w:rPr>
                <w:rFonts w:hint="eastAsia"/>
                <w:color w:val="000000" w:themeColor="text1"/>
                <w:sz w:val="24"/>
                <w:szCs w:val="24"/>
                <w:u w:val="none"/>
                <w:lang w:eastAsia="zh-CN"/>
              </w:rPr>
              <w:t>t/a。验收期间由于市场原因年产</w:t>
            </w:r>
            <w:r>
              <w:rPr>
                <w:rFonts w:hint="eastAsia"/>
                <w:color w:val="000000" w:themeColor="text1"/>
                <w:sz w:val="24"/>
                <w:szCs w:val="24"/>
                <w:u w:val="none"/>
                <w:lang w:val="en-US" w:eastAsia="zh-CN"/>
              </w:rPr>
              <w:t>1000套门生产线废弃，未进行验收。</w:t>
            </w:r>
          </w:p>
          <w:p>
            <w:pPr>
              <w:pStyle w:val="3"/>
              <w:rPr>
                <w:rFonts w:hint="eastAsia"/>
                <w:color w:val="000000" w:themeColor="text1"/>
                <w:sz w:val="24"/>
                <w:szCs w:val="24"/>
                <w:u w:val="none"/>
                <w:lang w:eastAsia="zh-CN"/>
              </w:rPr>
            </w:pPr>
          </w:p>
          <w:p>
            <w:pPr>
              <w:rPr>
                <w:rFonts w:hint="eastAsia"/>
                <w:color w:val="000000" w:themeColor="text1"/>
                <w:sz w:val="24"/>
                <w:szCs w:val="24"/>
                <w:u w:val="none"/>
                <w:lang w:eastAsia="zh-CN"/>
              </w:rPr>
            </w:pPr>
          </w:p>
          <w:p>
            <w:pPr>
              <w:pStyle w:val="3"/>
              <w:rPr>
                <w:rFonts w:hint="eastAsia"/>
                <w:color w:val="000000" w:themeColor="text1"/>
                <w:sz w:val="24"/>
                <w:szCs w:val="24"/>
                <w:u w:val="none"/>
                <w:lang w:eastAsia="zh-CN"/>
              </w:rPr>
            </w:pPr>
          </w:p>
          <w:p>
            <w:pPr>
              <w:rPr>
                <w:rFonts w:hint="eastAsia"/>
                <w:color w:val="000000" w:themeColor="text1"/>
                <w:sz w:val="24"/>
                <w:szCs w:val="24"/>
                <w:u w:val="none"/>
                <w:lang w:eastAsia="zh-CN"/>
              </w:rPr>
            </w:pPr>
          </w:p>
          <w:p>
            <w:pPr>
              <w:pStyle w:val="3"/>
              <w:rPr>
                <w:rFonts w:hint="eastAsia"/>
                <w:color w:val="000000" w:themeColor="text1"/>
                <w:sz w:val="24"/>
                <w:szCs w:val="24"/>
                <w:u w:val="none"/>
                <w:lang w:eastAsia="zh-CN"/>
              </w:rPr>
            </w:pPr>
          </w:p>
          <w:p>
            <w:pPr>
              <w:rPr>
                <w:rFonts w:hint="eastAsia"/>
                <w:lang w:eastAsia="zh-CN"/>
              </w:rPr>
            </w:pPr>
          </w:p>
          <w:p>
            <w:pPr>
              <w:spacing w:line="360" w:lineRule="auto"/>
              <w:ind w:firstLine="360" w:firstLineChars="200"/>
              <w:rPr>
                <w:rFonts w:hint="eastAsia"/>
                <w:kern w:val="0"/>
                <w:sz w:val="18"/>
                <w:szCs w:val="18"/>
                <w:lang w:eastAsia="zh-CN"/>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sz w:val="24"/>
                <w:szCs w:val="24"/>
              </w:rPr>
            </w:pPr>
          </w:p>
          <w:p>
            <w:pPr>
              <w:pStyle w:val="3"/>
              <w:rPr>
                <w:rFonts w:hint="eastAsia"/>
                <w:sz w:val="24"/>
                <w:szCs w:val="24"/>
              </w:rPr>
            </w:pPr>
          </w:p>
          <w:p>
            <w:pPr>
              <w:rPr>
                <w:rFonts w:hint="eastAsia"/>
              </w:rPr>
            </w:pPr>
          </w:p>
          <w:p>
            <w:pPr>
              <w:pStyle w:val="2"/>
            </w:pPr>
          </w:p>
          <w:p>
            <w:pPr>
              <w:spacing w:line="360" w:lineRule="auto"/>
              <w:rPr>
                <w:sz w:val="24"/>
                <w:szCs w:val="24"/>
              </w:rPr>
            </w:pPr>
          </w:p>
        </w:tc>
      </w:tr>
    </w:tbl>
    <w:p>
      <w:pPr>
        <w:rPr>
          <w:b/>
          <w:sz w:val="32"/>
          <w:szCs w:val="32"/>
        </w:rPr>
        <w:sectPr>
          <w:pgSz w:w="11906" w:h="16838"/>
          <w:pgMar w:top="1440" w:right="1134" w:bottom="1440" w:left="1418" w:header="851" w:footer="992" w:gutter="0"/>
          <w:cols w:space="425" w:num="1"/>
          <w:docGrid w:type="lines" w:linePitch="312" w:charSpace="0"/>
        </w:sectPr>
      </w:pPr>
    </w:p>
    <w:p>
      <w:pPr>
        <w:rPr>
          <w:sz w:val="28"/>
          <w:szCs w:val="28"/>
        </w:rPr>
      </w:pPr>
      <w:r>
        <w:rPr>
          <w:rFonts w:hint="eastAsia"/>
          <w:b/>
          <w:sz w:val="28"/>
          <w:szCs w:val="28"/>
        </w:rPr>
        <w:t>建设项目所在地自然环境社会环境简况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jc w:val="center"/>
        </w:trPr>
        <w:tc>
          <w:tcPr>
            <w:tcW w:w="9570" w:type="dxa"/>
          </w:tcPr>
          <w:p>
            <w:pPr>
              <w:pStyle w:val="11"/>
              <w:spacing w:after="0" w:line="360" w:lineRule="auto"/>
              <w:rPr>
                <w:b/>
                <w:sz w:val="24"/>
                <w:szCs w:val="24"/>
              </w:rPr>
            </w:pPr>
            <w:r>
              <w:rPr>
                <w:rFonts w:hint="eastAsia"/>
                <w:b/>
                <w:sz w:val="24"/>
                <w:szCs w:val="24"/>
              </w:rPr>
              <w:t>自然环境简况（地形、地貌、地质、气候、气象、水文、植被、生物多样性等）：</w:t>
            </w:r>
          </w:p>
          <w:p>
            <w:pPr>
              <w:spacing w:line="360" w:lineRule="auto"/>
              <w:rPr>
                <w:b/>
                <w:sz w:val="24"/>
                <w:szCs w:val="24"/>
              </w:rPr>
            </w:pPr>
            <w:r>
              <w:rPr>
                <w:b/>
                <w:sz w:val="24"/>
                <w:szCs w:val="24"/>
              </w:rPr>
              <w:t>1地理位置</w:t>
            </w:r>
          </w:p>
          <w:p>
            <w:pPr>
              <w:spacing w:line="360" w:lineRule="auto"/>
              <w:ind w:firstLine="480" w:firstLineChars="200"/>
              <w:rPr>
                <w:sz w:val="24"/>
                <w:szCs w:val="24"/>
              </w:rPr>
            </w:pPr>
            <w:r>
              <w:rPr>
                <w:sz w:val="24"/>
                <w:szCs w:val="24"/>
              </w:rPr>
              <w:t>偃师市位于河南省中西部地区的洛阳盆地东隅，南屏嵩岳，北临黄河，地理坐标介于东经112°26′15″～113°00′00″和北纬34°27′30″～34°50′00″之间，总面积668.58平方公里。偃师市东邻巩义市，距巩义市30 km；西接洛阳市郊区和孟津县，距洛阳市30km；南依嵩山接登封市、伊川县；北与孟州市隔黄河相望。</w:t>
            </w:r>
          </w:p>
          <w:p>
            <w:pPr>
              <w:spacing w:line="360" w:lineRule="auto"/>
              <w:ind w:firstLine="480" w:firstLineChars="200"/>
              <w:rPr>
                <w:color w:val="000000" w:themeColor="text1"/>
                <w:sz w:val="24"/>
                <w:szCs w:val="24"/>
              </w:rPr>
            </w:pPr>
            <w:r>
              <w:rPr>
                <w:rFonts w:hint="eastAsia"/>
                <w:sz w:val="24"/>
                <w:szCs w:val="24"/>
              </w:rPr>
              <w:t>本项目位于偃师市嘉升塑</w:t>
            </w:r>
            <w:r>
              <w:rPr>
                <w:rFonts w:hint="eastAsia"/>
                <w:color w:val="000000" w:themeColor="text1"/>
                <w:sz w:val="24"/>
                <w:szCs w:val="24"/>
              </w:rPr>
              <w:t>业有限公司院内，项目所在厂区东为空地，南为鑫鑫环保石灰厂，西为火焦路，北为空地。最近的居民点为厂区北45m的师家寨居民。</w:t>
            </w:r>
          </w:p>
          <w:p>
            <w:pPr>
              <w:spacing w:line="360" w:lineRule="auto"/>
              <w:rPr>
                <w:b/>
                <w:sz w:val="24"/>
                <w:szCs w:val="24"/>
              </w:rPr>
            </w:pPr>
            <w:r>
              <w:rPr>
                <w:b/>
                <w:sz w:val="24"/>
                <w:szCs w:val="24"/>
              </w:rPr>
              <w:t>2</w:t>
            </w:r>
            <w:r>
              <w:rPr>
                <w:rFonts w:hint="eastAsia"/>
                <w:b/>
                <w:sz w:val="24"/>
                <w:szCs w:val="24"/>
              </w:rPr>
              <w:t xml:space="preserve"> </w:t>
            </w:r>
            <w:r>
              <w:rPr>
                <w:b/>
                <w:sz w:val="24"/>
                <w:szCs w:val="24"/>
              </w:rPr>
              <w:t>地形、地貌</w:t>
            </w:r>
          </w:p>
          <w:p>
            <w:pPr>
              <w:spacing w:line="360" w:lineRule="auto"/>
              <w:ind w:firstLine="480" w:firstLineChars="200"/>
              <w:rPr>
                <w:sz w:val="24"/>
                <w:szCs w:val="24"/>
              </w:rPr>
            </w:pPr>
            <w:r>
              <w:rPr>
                <w:rFonts w:hint="eastAsia"/>
                <w:sz w:val="24"/>
                <w:szCs w:val="24"/>
              </w:rPr>
              <w:t>偃师市南北高中间低，地貌景观略呈槽形，地表形态复杂多样，大体可分为山地、丘陵、坡地、平原四种类型。南部万安山，山势由东向西降低，海拔300—900m，最高峰1302m，面积占全市的16.72%；万安山北侧为丘陵和洪积冲积坡地，海拔 150—400m，面积占全市的35.71％；中部伊洛河冲积平原，地势平坦，海拔115—135m，面积占全市的31.37％；北部邙山丘陵，东西走向，岭脊突起，海拔140—300m，最高峰403.9m，面积占全市的16.2％。本项目处于万安山以北，属于平原地带，根据现场调查，本项目场地地势平坦。</w:t>
            </w:r>
          </w:p>
          <w:p>
            <w:pPr>
              <w:spacing w:line="360" w:lineRule="auto"/>
              <w:rPr>
                <w:b/>
                <w:sz w:val="24"/>
                <w:szCs w:val="24"/>
              </w:rPr>
            </w:pPr>
            <w:r>
              <w:rPr>
                <w:b/>
                <w:sz w:val="24"/>
                <w:szCs w:val="24"/>
              </w:rPr>
              <w:t>3</w:t>
            </w:r>
            <w:r>
              <w:rPr>
                <w:rFonts w:hint="eastAsia"/>
                <w:b/>
                <w:sz w:val="24"/>
                <w:szCs w:val="24"/>
              </w:rPr>
              <w:t xml:space="preserve"> </w:t>
            </w:r>
            <w:r>
              <w:rPr>
                <w:b/>
                <w:sz w:val="24"/>
                <w:szCs w:val="24"/>
              </w:rPr>
              <w:t>气候、气象</w:t>
            </w:r>
          </w:p>
          <w:p>
            <w:pPr>
              <w:spacing w:line="360" w:lineRule="auto"/>
              <w:ind w:firstLine="480" w:firstLineChars="200"/>
              <w:rPr>
                <w:bCs/>
                <w:sz w:val="24"/>
                <w:szCs w:val="24"/>
              </w:rPr>
            </w:pPr>
            <w:r>
              <w:rPr>
                <w:rFonts w:hint="eastAsia"/>
                <w:bCs/>
                <w:sz w:val="24"/>
                <w:szCs w:val="24"/>
              </w:rPr>
              <w:t>偃师市属暖温带大陆性季风气候，冬天寒冷、夏季炎热。根据偃师市气象站近20年间观测资料统计，多年平均气温为15.1℃，平均降雨量为526.5mm，主导风向为东北东，频率为8.8%，年平均风速为2.68m/s。</w:t>
            </w:r>
          </w:p>
          <w:p>
            <w:pPr>
              <w:spacing w:line="360" w:lineRule="auto"/>
              <w:rPr>
                <w:b/>
                <w:sz w:val="24"/>
                <w:szCs w:val="24"/>
              </w:rPr>
            </w:pPr>
            <w:r>
              <w:rPr>
                <w:b/>
                <w:sz w:val="24"/>
                <w:szCs w:val="24"/>
              </w:rPr>
              <w:t>4</w:t>
            </w:r>
            <w:r>
              <w:rPr>
                <w:rFonts w:hint="eastAsia"/>
                <w:b/>
                <w:sz w:val="24"/>
                <w:szCs w:val="24"/>
              </w:rPr>
              <w:t xml:space="preserve"> </w:t>
            </w:r>
            <w:r>
              <w:rPr>
                <w:b/>
                <w:sz w:val="24"/>
                <w:szCs w:val="24"/>
              </w:rPr>
              <w:t>水文</w:t>
            </w:r>
          </w:p>
          <w:p>
            <w:pPr>
              <w:spacing w:line="360" w:lineRule="auto"/>
              <w:ind w:firstLine="360" w:firstLineChars="150"/>
              <w:rPr>
                <w:sz w:val="24"/>
                <w:szCs w:val="24"/>
              </w:rPr>
            </w:pPr>
            <w:r>
              <w:rPr>
                <w:rFonts w:hint="eastAsia"/>
                <w:sz w:val="24"/>
                <w:szCs w:val="24"/>
              </w:rPr>
              <w:t>本项目所在区域主要地表水为项目北约2600m的伊河，属黄河水系。伊河发源于栾川县陶湾乡三合村闷顿岭，流经嵩县、伊川、洛阳，在偃师市岳滩村东与洛河相汇。偃师段西马村至杨村长37km，占伊河全长347km的10.7%，流</w:t>
            </w:r>
            <w:r>
              <w:rPr>
                <w:rFonts w:hint="eastAsia"/>
                <w:color w:val="000000" w:themeColor="text1"/>
                <w:sz w:val="24"/>
                <w:szCs w:val="24"/>
              </w:rPr>
              <w:t>域面积565km</w:t>
            </w:r>
            <w:r>
              <w:rPr>
                <w:rFonts w:hint="eastAsia"/>
                <w:color w:val="000000" w:themeColor="text1"/>
                <w:sz w:val="24"/>
                <w:szCs w:val="24"/>
                <w:vertAlign w:val="superscript"/>
              </w:rPr>
              <w:t>2</w:t>
            </w:r>
            <w:r>
              <w:rPr>
                <w:rFonts w:hint="eastAsia"/>
                <w:color w:val="000000" w:themeColor="text1"/>
                <w:sz w:val="24"/>
                <w:szCs w:val="24"/>
              </w:rPr>
              <w:t>，河床</w:t>
            </w:r>
            <w:r>
              <w:rPr>
                <w:rFonts w:hint="eastAsia"/>
                <w:sz w:val="24"/>
                <w:szCs w:val="24"/>
              </w:rPr>
              <w:t>最宽处（东石罢）3.2km，最窄处（安滩）0.38km，纵坡出龙门口后由几百分之一变缓到1/3000左右。河床由卵石、泥沙构成，渗透性较好。由于落差小，泥沙沉重量大，河中多沙洲。伊河偃师境段水体功能区划为Ⅲ类，其水体功能主要为行洪、农灌以及地下水补充。</w:t>
            </w:r>
          </w:p>
          <w:p>
            <w:pPr>
              <w:spacing w:line="360" w:lineRule="auto"/>
              <w:rPr>
                <w:b/>
                <w:sz w:val="24"/>
                <w:szCs w:val="24"/>
              </w:rPr>
            </w:pPr>
            <w:r>
              <w:rPr>
                <w:b/>
                <w:sz w:val="24"/>
                <w:szCs w:val="24"/>
              </w:rPr>
              <w:t>5</w:t>
            </w:r>
            <w:r>
              <w:rPr>
                <w:rFonts w:hint="eastAsia"/>
                <w:b/>
                <w:sz w:val="24"/>
                <w:szCs w:val="24"/>
              </w:rPr>
              <w:t xml:space="preserve"> </w:t>
            </w:r>
            <w:r>
              <w:rPr>
                <w:b/>
                <w:sz w:val="24"/>
                <w:szCs w:val="24"/>
              </w:rPr>
              <w:t>植被、生物多样性</w:t>
            </w:r>
          </w:p>
          <w:p>
            <w:pPr>
              <w:tabs>
                <w:tab w:val="left" w:pos="5760"/>
              </w:tabs>
              <w:spacing w:line="360" w:lineRule="auto"/>
              <w:ind w:firstLine="480" w:firstLineChars="200"/>
              <w:contextualSpacing/>
              <w:rPr>
                <w:bCs/>
                <w:sz w:val="24"/>
                <w:szCs w:val="24"/>
              </w:rPr>
            </w:pPr>
            <w:r>
              <w:rPr>
                <w:rFonts w:hint="eastAsia"/>
                <w:bCs/>
                <w:sz w:val="24"/>
                <w:szCs w:val="24"/>
              </w:rPr>
              <w:t>偃师市动植物资源较为丰富，林木达1200多种，各种动物220余种，农作物主要为小麦、玉米、棉花、花生、大豆等。</w:t>
            </w:r>
          </w:p>
          <w:p>
            <w:pPr>
              <w:spacing w:line="360" w:lineRule="auto"/>
              <w:ind w:firstLine="480" w:firstLineChars="200"/>
              <w:contextualSpacing/>
              <w:rPr>
                <w:bCs/>
                <w:sz w:val="24"/>
                <w:szCs w:val="24"/>
              </w:rPr>
            </w:pPr>
            <w:r>
              <w:rPr>
                <w:rFonts w:hint="eastAsia"/>
                <w:bCs/>
                <w:sz w:val="24"/>
                <w:szCs w:val="24"/>
              </w:rPr>
              <w:t>项目所在地植被类型主要农田植被，目前尚未发现列入《国家重点保护野生植物名录》和《国家重点保护野生动物名录》的动植物。</w:t>
            </w:r>
          </w:p>
          <w:p>
            <w:pPr>
              <w:spacing w:line="360" w:lineRule="auto"/>
              <w:contextualSpacing/>
              <w:rPr>
                <w:b/>
                <w:sz w:val="24"/>
                <w:szCs w:val="24"/>
              </w:rPr>
            </w:pPr>
            <w:r>
              <w:rPr>
                <w:rFonts w:hint="eastAsia"/>
                <w:b/>
                <w:sz w:val="24"/>
                <w:szCs w:val="24"/>
              </w:rPr>
              <w:t xml:space="preserve">6 </w:t>
            </w:r>
            <w:r>
              <w:rPr>
                <w:b/>
                <w:sz w:val="24"/>
                <w:szCs w:val="24"/>
              </w:rPr>
              <w:t>矿产资源</w:t>
            </w:r>
          </w:p>
          <w:p>
            <w:pPr>
              <w:tabs>
                <w:tab w:val="left" w:pos="5760"/>
              </w:tabs>
              <w:spacing w:line="360" w:lineRule="auto"/>
              <w:ind w:firstLine="480" w:firstLineChars="200"/>
              <w:rPr>
                <w:bCs/>
                <w:sz w:val="24"/>
                <w:szCs w:val="24"/>
              </w:rPr>
            </w:pPr>
            <w:r>
              <w:rPr>
                <w:color w:val="000000"/>
                <w:sz w:val="24"/>
                <w:szCs w:val="24"/>
              </w:rPr>
              <w:t>偃师市南部万安山富含多种矿藏，已探明的有煤炭（地质储量约7亿吨，可采储量达4亿吨）、铝矾土（探明储量5200多万吨）、石英石（储量2亿m</w:t>
            </w:r>
            <w:r>
              <w:rPr>
                <w:color w:val="000000"/>
                <w:sz w:val="24"/>
                <w:szCs w:val="24"/>
                <w:vertAlign w:val="superscript"/>
              </w:rPr>
              <w:t>3</w:t>
            </w:r>
            <w:r>
              <w:rPr>
                <w:color w:val="000000"/>
                <w:sz w:val="24"/>
                <w:szCs w:val="24"/>
              </w:rPr>
              <w:t>）、石灰石（储量10亿m</w:t>
            </w:r>
            <w:r>
              <w:rPr>
                <w:color w:val="000000"/>
                <w:sz w:val="24"/>
                <w:szCs w:val="24"/>
                <w:vertAlign w:val="superscript"/>
              </w:rPr>
              <w:t>3</w:t>
            </w:r>
            <w:r>
              <w:rPr>
                <w:color w:val="000000"/>
                <w:sz w:val="24"/>
                <w:szCs w:val="24"/>
              </w:rPr>
              <w:t>）、白云岩（储量2～3亿m</w:t>
            </w:r>
            <w:r>
              <w:rPr>
                <w:color w:val="000000"/>
                <w:sz w:val="24"/>
                <w:szCs w:val="24"/>
                <w:vertAlign w:val="superscript"/>
              </w:rPr>
              <w:t>3</w:t>
            </w:r>
            <w:r>
              <w:rPr>
                <w:color w:val="000000"/>
                <w:sz w:val="24"/>
                <w:szCs w:val="24"/>
              </w:rPr>
              <w:t>）、花岗岩（储量7亿m</w:t>
            </w:r>
            <w:r>
              <w:rPr>
                <w:color w:val="000000"/>
                <w:sz w:val="24"/>
                <w:szCs w:val="24"/>
                <w:vertAlign w:val="superscript"/>
              </w:rPr>
              <w:t>3</w:t>
            </w:r>
            <w:r>
              <w:rPr>
                <w:color w:val="000000"/>
                <w:sz w:val="24"/>
                <w:szCs w:val="24"/>
              </w:rPr>
              <w:t>）、钾长石、钠长石等23个品种。其中，“云里梅”、“菊花青”被誉为世界“独特品种”。本项目厂址不占压矿产资源。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adjustRightInd w:val="0"/>
              <w:snapToGrid w:val="0"/>
              <w:spacing w:before="160" w:after="160"/>
              <w:rPr>
                <w:rFonts w:ascii="宋体"/>
                <w:b/>
                <w:sz w:val="24"/>
                <w:szCs w:val="24"/>
              </w:rPr>
            </w:pPr>
            <w:r>
              <w:rPr>
                <w:rFonts w:hint="eastAsia" w:ascii="宋体"/>
                <w:b/>
                <w:sz w:val="24"/>
                <w:szCs w:val="24"/>
              </w:rPr>
              <w:t>社会环境简况（社会经济结构、教育、文化、文物保护）</w:t>
            </w:r>
          </w:p>
          <w:p>
            <w:pPr>
              <w:spacing w:line="360" w:lineRule="auto"/>
              <w:rPr>
                <w:sz w:val="24"/>
                <w:szCs w:val="24"/>
              </w:rPr>
            </w:pPr>
            <w:bookmarkStart w:id="0" w:name="_Toc466613206"/>
            <w:bookmarkStart w:id="1" w:name="_Toc467311847"/>
            <w:r>
              <w:rPr>
                <w:rFonts w:hint="eastAsia"/>
                <w:b/>
                <w:sz w:val="24"/>
                <w:szCs w:val="24"/>
              </w:rPr>
              <w:t>1环境功能区划</w:t>
            </w:r>
          </w:p>
          <w:bookmarkEnd w:id="0"/>
          <w:bookmarkEnd w:id="1"/>
          <w:p>
            <w:pPr>
              <w:spacing w:line="460" w:lineRule="exact"/>
              <w:ind w:firstLine="480" w:firstLineChars="200"/>
              <w:rPr>
                <w:rFonts w:cs="宋体"/>
                <w:bCs/>
                <w:sz w:val="24"/>
                <w:szCs w:val="24"/>
              </w:rPr>
            </w:pPr>
            <w:r>
              <w:rPr>
                <w:rFonts w:hint="eastAsia" w:cs="宋体"/>
                <w:bCs/>
                <w:sz w:val="24"/>
                <w:szCs w:val="24"/>
              </w:rPr>
              <w:t>根据《环境空气质量标准》（GB3095-2012）及《洛阳市人民政府关于调整洛阳市环境空气质量功能区划分的通知》洛政【2009】69，本项目所在地区属于二类区，环境空气功能区质量要求应执行二级标准要求。</w:t>
            </w:r>
          </w:p>
          <w:p>
            <w:pPr>
              <w:spacing w:line="460" w:lineRule="exact"/>
              <w:ind w:firstLine="480" w:firstLineChars="200"/>
              <w:rPr>
                <w:rFonts w:cs="宋体"/>
                <w:bCs/>
                <w:sz w:val="24"/>
                <w:szCs w:val="24"/>
              </w:rPr>
            </w:pPr>
            <w:r>
              <w:rPr>
                <w:rFonts w:hint="eastAsia" w:cs="宋体"/>
                <w:bCs/>
                <w:sz w:val="24"/>
                <w:szCs w:val="24"/>
              </w:rPr>
              <w:t>本项目厂址所在地不在偃师市城市声环境功能区划范围之内，经调查项目周边环境，根据《声环境质量标准》（GB3096-2008），本项目所在地属于2类声环境功能区。</w:t>
            </w:r>
          </w:p>
          <w:p>
            <w:pPr>
              <w:spacing w:line="460" w:lineRule="exact"/>
              <w:rPr>
                <w:rFonts w:hAnsi="宋体"/>
                <w:b/>
                <w:sz w:val="24"/>
                <w:szCs w:val="24"/>
              </w:rPr>
            </w:pPr>
            <w:r>
              <w:rPr>
                <w:rFonts w:hint="eastAsia" w:hAnsi="宋体"/>
                <w:b/>
                <w:sz w:val="24"/>
                <w:szCs w:val="24"/>
              </w:rPr>
              <w:t>2 饮用水源保护区</w:t>
            </w:r>
          </w:p>
          <w:p>
            <w:pPr>
              <w:adjustRightInd w:val="0"/>
              <w:spacing w:line="360" w:lineRule="auto"/>
              <w:ind w:firstLine="360" w:firstLineChars="150"/>
              <w:rPr>
                <w:bCs/>
                <w:sz w:val="24"/>
                <w:szCs w:val="24"/>
              </w:rPr>
            </w:pPr>
            <w:r>
              <w:rPr>
                <w:rFonts w:hint="eastAsia"/>
                <w:bCs/>
                <w:sz w:val="24"/>
                <w:szCs w:val="24"/>
              </w:rPr>
              <w:t>根据调查并查阅《河南省县级集中式饮用水水源保护区划（豫政办〔2013〕107号）》及《河南省乡镇级集中式饮用水源保护区划（豫政办〔2016〕23号）》，距离本项目最近的集中式饮用水水源地为高龙镇集中饮用水水源地。</w:t>
            </w:r>
          </w:p>
          <w:p>
            <w:pPr>
              <w:adjustRightInd w:val="0"/>
              <w:spacing w:line="360" w:lineRule="auto"/>
              <w:ind w:firstLine="360" w:firstLineChars="150"/>
              <w:rPr>
                <w:bCs/>
                <w:sz w:val="24"/>
                <w:szCs w:val="24"/>
              </w:rPr>
            </w:pPr>
            <w:r>
              <w:rPr>
                <w:rFonts w:hint="eastAsia"/>
                <w:bCs/>
                <w:sz w:val="24"/>
                <w:szCs w:val="24"/>
              </w:rPr>
              <w:t>高龙镇集中供水厂位于高龙镇，水源地位于供水站站附近，设计供水能力为2880m</w:t>
            </w:r>
            <w:r>
              <w:rPr>
                <w:rFonts w:hint="eastAsia"/>
                <w:bCs/>
                <w:sz w:val="24"/>
                <w:szCs w:val="24"/>
                <w:vertAlign w:val="superscript"/>
              </w:rPr>
              <w:t>3</w:t>
            </w:r>
            <w:r>
              <w:rPr>
                <w:rFonts w:hint="eastAsia"/>
                <w:bCs/>
                <w:sz w:val="24"/>
                <w:szCs w:val="24"/>
              </w:rPr>
              <w:t>/d，供水区域包含辖区内高龙、左村、辛村、高也、铺刘、逯寨、石牛、段西、段东、苗湾、李湾、陶花店、共12个村庄，供水人口共计3.9万余人。水源地共包括3眼水井，其中1#、2#井位于水厂内部，井深240m，井口直径0.31m，设计取水量为40m</w:t>
            </w:r>
            <w:r>
              <w:rPr>
                <w:rFonts w:hint="eastAsia"/>
                <w:bCs/>
                <w:sz w:val="24"/>
                <w:szCs w:val="24"/>
                <w:vertAlign w:val="superscript"/>
              </w:rPr>
              <w:t>3</w:t>
            </w:r>
            <w:r>
              <w:rPr>
                <w:rFonts w:hint="eastAsia"/>
                <w:bCs/>
                <w:sz w:val="24"/>
                <w:szCs w:val="24"/>
              </w:rPr>
              <w:t>/h 。3#井位于水厂外，井深210m，井口直径0.31m，设计取水量为40m</w:t>
            </w:r>
            <w:r>
              <w:rPr>
                <w:rFonts w:hint="eastAsia"/>
                <w:bCs/>
                <w:sz w:val="24"/>
                <w:szCs w:val="24"/>
                <w:vertAlign w:val="superscript"/>
              </w:rPr>
              <w:t>3</w:t>
            </w:r>
            <w:r>
              <w:rPr>
                <w:rFonts w:hint="eastAsia"/>
                <w:bCs/>
                <w:sz w:val="24"/>
                <w:szCs w:val="24"/>
              </w:rPr>
              <w:t>/h。</w:t>
            </w:r>
            <w:r>
              <w:rPr>
                <w:bCs/>
                <w:sz w:val="24"/>
                <w:szCs w:val="24"/>
              </w:rPr>
              <w:t>具体坐标分别为东经112°42'36.15"，北纬34°37'46.74"；东经112°42'34.50"，北纬34°37'45.70"；东经112° 42'34.50"，北纬34°37'50.19"。</w:t>
            </w:r>
          </w:p>
          <w:p>
            <w:pPr>
              <w:adjustRightInd w:val="0"/>
              <w:spacing w:line="360" w:lineRule="auto"/>
              <w:ind w:firstLine="360" w:firstLineChars="150"/>
              <w:rPr>
                <w:bCs/>
                <w:sz w:val="24"/>
                <w:szCs w:val="24"/>
              </w:rPr>
            </w:pPr>
            <w:r>
              <w:rPr>
                <w:rFonts w:hint="eastAsia"/>
                <w:bCs/>
                <w:sz w:val="24"/>
                <w:szCs w:val="24"/>
              </w:rPr>
              <w:t>根据《河南省人民政府办公厅关于印发河南省乡镇集中式饮用水水源保护区划的通知》豫政办〔2016〕23号，偃师市高龙镇水厂地下水井群(共3眼井) 一级保护区范围:水厂厂区及外围东95m、西100m、南100m至207国道、北200m的区域。本项目位于该集中式饮用水水源地一级</w:t>
            </w:r>
            <w:r>
              <w:rPr>
                <w:rFonts w:hint="eastAsia"/>
                <w:bCs/>
                <w:color w:val="000000" w:themeColor="text1"/>
                <w:sz w:val="24"/>
                <w:szCs w:val="24"/>
              </w:rPr>
              <w:t>保护区边界西南600m，不在</w:t>
            </w:r>
            <w:r>
              <w:rPr>
                <w:rFonts w:hint="eastAsia"/>
                <w:bCs/>
                <w:sz w:val="24"/>
                <w:szCs w:val="24"/>
              </w:rPr>
              <w:t>该集中饮用水水源地保护范围之内（具体保护范围及与项目的位置关系见附图四）。</w:t>
            </w:r>
          </w:p>
          <w:p>
            <w:pPr>
              <w:spacing w:line="360" w:lineRule="auto"/>
              <w:rPr>
                <w:rFonts w:hAnsi="宋体"/>
                <w:b/>
                <w:sz w:val="24"/>
                <w:szCs w:val="24"/>
              </w:rPr>
            </w:pPr>
            <w:r>
              <w:rPr>
                <w:rFonts w:hint="eastAsia" w:hAnsi="宋体"/>
                <w:b/>
                <w:sz w:val="24"/>
                <w:szCs w:val="24"/>
              </w:rPr>
              <w:t>3高龙镇总体规划（2010~2020）</w:t>
            </w:r>
          </w:p>
          <w:p>
            <w:pPr>
              <w:numPr>
                <w:ilvl w:val="0"/>
                <w:numId w:val="3"/>
              </w:numPr>
              <w:adjustRightInd w:val="0"/>
              <w:spacing w:line="360" w:lineRule="auto"/>
              <w:ind w:firstLine="360" w:firstLineChars="150"/>
              <w:rPr>
                <w:rFonts w:hint="eastAsia"/>
                <w:bCs/>
                <w:sz w:val="24"/>
                <w:szCs w:val="24"/>
              </w:rPr>
            </w:pPr>
            <w:r>
              <w:rPr>
                <w:rFonts w:hint="eastAsia"/>
                <w:bCs/>
                <w:sz w:val="24"/>
                <w:szCs w:val="24"/>
              </w:rPr>
              <w:t>城镇性质：偃师市经济重镇，高龙镇政治、经济、文化、交通、信息服务中心，以电力能源、多晶硅为主导产业的现代化城镇。2）城镇规划区范围：中心镇区规划范围是：东起左村，西到石牛，南靠高龙，北临高崖，包括高龙村、高崖村和左村部分土地，规划建设用地面积860公顷。3）环境保护规划：规划期末，使城镇大气环境质量交通干线、工业区达到III级标准，一般工业区和生活区达到II级标准，力争达到I级标准，其它地区按I级控制；地表水质量达到II级标准，饮用水达到国家标准；工业噪声夜晚和白天分别控制在55-65dB（A）之间，居民区噪声控制在40-50dB（A）之间，商业区噪声控制在50-60dB（A）之间，交通噪声控制在55-70dB（A）之间。4）给水、排水规划：镇区给水干管沿镇区干道布置在东西道路的南侧和南北道路的东侧，呈环状；给水支管由干管接入，近期为枝状，远期建设为环状。干管管径600mm。支管管径200-300mm，保证生活和生产消防用水。5）工业规划：根据《高龙镇总体规划》（2010-2020），高龙镇镇域产业结构布局划分为一条经济发展轴、一个经济发展点和三个经济发展区，形成“一轴、一点、三区”的产业结构布局。</w:t>
            </w:r>
          </w:p>
          <w:p>
            <w:pPr>
              <w:adjustRightInd w:val="0"/>
              <w:spacing w:line="360" w:lineRule="auto"/>
              <w:ind w:firstLine="360" w:firstLineChars="150"/>
              <w:rPr>
                <w:bCs/>
                <w:sz w:val="24"/>
                <w:szCs w:val="24"/>
                <w:u w:val="none"/>
              </w:rPr>
            </w:pPr>
            <w:r>
              <w:rPr>
                <w:rFonts w:hint="eastAsia"/>
                <w:bCs/>
                <w:color w:val="000000" w:themeColor="text1"/>
                <w:sz w:val="24"/>
                <w:szCs w:val="24"/>
                <w:u w:val="none"/>
              </w:rPr>
              <w:t>根据高龙镇总体规划2010~2020年，本项目在镇区规划范围内，属于中部经济发展区，所占地为工业用地，符合高龙镇总体规划要求</w:t>
            </w:r>
            <w:r>
              <w:rPr>
                <w:rFonts w:hint="eastAsia"/>
                <w:bCs/>
                <w:color w:val="000000" w:themeColor="text1"/>
                <w:sz w:val="24"/>
                <w:szCs w:val="24"/>
                <w:u w:val="none"/>
                <w:lang w:eastAsia="zh-CN"/>
              </w:rPr>
              <w:t>，</w:t>
            </w:r>
            <w:r>
              <w:rPr>
                <w:rFonts w:hint="eastAsia"/>
                <w:bCs/>
                <w:color w:val="000000" w:themeColor="text1"/>
                <w:sz w:val="24"/>
                <w:szCs w:val="24"/>
                <w:u w:val="none"/>
              </w:rPr>
              <w:t>高龙镇总体规划见附图五。</w:t>
            </w:r>
          </w:p>
          <w:p>
            <w:pPr>
              <w:adjustRightInd w:val="0"/>
              <w:spacing w:line="360" w:lineRule="auto"/>
              <w:rPr>
                <w:rFonts w:hAnsi="宋体"/>
                <w:b/>
                <w:sz w:val="24"/>
                <w:szCs w:val="24"/>
              </w:rPr>
            </w:pPr>
            <w:r>
              <w:rPr>
                <w:rFonts w:hint="eastAsia" w:hAnsi="宋体"/>
                <w:b/>
                <w:sz w:val="24"/>
                <w:szCs w:val="24"/>
                <w:lang w:val="en-US" w:eastAsia="zh-CN"/>
              </w:rPr>
              <w:t>4</w:t>
            </w:r>
            <w:r>
              <w:rPr>
                <w:rFonts w:hint="eastAsia" w:hAnsi="宋体"/>
                <w:b/>
                <w:sz w:val="24"/>
                <w:szCs w:val="24"/>
              </w:rPr>
              <w:t>文物保护</w:t>
            </w:r>
          </w:p>
          <w:p>
            <w:pPr>
              <w:adjustRightInd w:val="0"/>
              <w:spacing w:line="360" w:lineRule="auto"/>
              <w:ind w:firstLine="480" w:firstLineChars="200"/>
              <w:rPr>
                <w:bCs/>
                <w:sz w:val="24"/>
                <w:szCs w:val="24"/>
              </w:rPr>
            </w:pPr>
            <w:r>
              <w:rPr>
                <w:rFonts w:hint="eastAsia"/>
                <w:bCs/>
                <w:sz w:val="24"/>
                <w:szCs w:val="24"/>
              </w:rPr>
              <w:t>大遗址保护包含隋唐洛阳城遗址、汉魏故城、周王城遗址、龙门石窟、邙山陵墓群、偃师商城遗址、二里头遗址、东汉陵墓南兆域等九处保护地。本项目位于高龙镇，主要涉及到大遗址保护中的东汉陵墓南兆域。</w:t>
            </w:r>
          </w:p>
          <w:p>
            <w:pPr>
              <w:adjustRightInd w:val="0"/>
              <w:spacing w:line="360" w:lineRule="auto"/>
              <w:ind w:firstLine="480" w:firstLineChars="200"/>
              <w:rPr>
                <w:rFonts w:hint="eastAsia"/>
                <w:color w:val="000000" w:themeColor="text1"/>
                <w:sz w:val="24"/>
                <w:szCs w:val="24"/>
              </w:rPr>
            </w:pPr>
            <w:r>
              <w:rPr>
                <w:rFonts w:hint="eastAsia"/>
                <w:bCs/>
                <w:sz w:val="24"/>
                <w:szCs w:val="24"/>
              </w:rPr>
              <w:t>东汉陵墓南兆域位于偃师市李村镇、庞村镇、寇店镇、高龙镇、大口乡、顾县镇及附近地区，面积约200km</w:t>
            </w:r>
            <w:r>
              <w:rPr>
                <w:rFonts w:hint="eastAsia"/>
                <w:bCs/>
                <w:sz w:val="24"/>
                <w:szCs w:val="24"/>
                <w:vertAlign w:val="superscript"/>
              </w:rPr>
              <w:t>2</w:t>
            </w:r>
            <w:r>
              <w:rPr>
                <w:rFonts w:hint="eastAsia"/>
                <w:bCs/>
                <w:sz w:val="24"/>
                <w:szCs w:val="24"/>
              </w:rPr>
              <w:t>，于2008年纳入洛阳市保护的大遗址范围。东汉陵墓南兆域分为保护</w:t>
            </w:r>
            <w:r>
              <w:rPr>
                <w:rFonts w:hint="eastAsia"/>
                <w:bCs/>
                <w:color w:val="000000" w:themeColor="text1"/>
                <w:sz w:val="24"/>
                <w:szCs w:val="24"/>
              </w:rPr>
              <w:t>范围和建设控制地带二类。本项目位于其建设控制地带范围内，根据偃师市文物旅游局为</w:t>
            </w:r>
            <w:r>
              <w:rPr>
                <w:rFonts w:hint="eastAsia"/>
                <w:color w:val="000000" w:themeColor="text1"/>
                <w:sz w:val="24"/>
                <w:szCs w:val="24"/>
              </w:rPr>
              <w:t>偃师市嘉升塑业有限公司</w:t>
            </w:r>
            <w:r>
              <w:rPr>
                <w:rFonts w:hint="eastAsia"/>
                <w:bCs/>
                <w:color w:val="000000" w:themeColor="text1"/>
                <w:sz w:val="24"/>
                <w:szCs w:val="24"/>
              </w:rPr>
              <w:t>出具的证明：本项目厂址已于2012经过勘探，未发现的文物（证明见附件）。本项目利用</w:t>
            </w:r>
            <w:r>
              <w:rPr>
                <w:rFonts w:hint="eastAsia"/>
                <w:color w:val="000000" w:themeColor="text1"/>
                <w:sz w:val="24"/>
                <w:szCs w:val="24"/>
              </w:rPr>
              <w:t>偃师市嘉升塑业有限公司闲置厂房进行建设，不存在深挖地基等施工行为，不会对当地文物造成大的影响。</w:t>
            </w:r>
            <w:r>
              <w:rPr>
                <w:rFonts w:hint="eastAsia"/>
                <w:bCs/>
                <w:color w:val="000000" w:themeColor="text1"/>
                <w:sz w:val="24"/>
                <w:szCs w:val="24"/>
              </w:rPr>
              <w:t>本项目与文物保</w:t>
            </w:r>
            <w:r>
              <w:rPr>
                <w:rFonts w:hint="eastAsia"/>
                <w:bCs/>
                <w:sz w:val="24"/>
                <w:szCs w:val="24"/>
              </w:rPr>
              <w:t>护区的关系见附图六。</w:t>
            </w:r>
          </w:p>
          <w:p>
            <w:pPr>
              <w:adjustRightInd w:val="0"/>
              <w:spacing w:line="460" w:lineRule="exact"/>
              <w:ind w:firstLine="512" w:firstLineChars="200"/>
              <w:rPr>
                <w:color w:val="000000" w:themeColor="text1"/>
                <w:spacing w:val="8"/>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snapToGrid w:val="0"/>
        <w:rPr>
          <w:rFonts w:ascii="宋体"/>
          <w:sz w:val="32"/>
        </w:rPr>
      </w:pPr>
      <w:r>
        <w:rPr>
          <w:rFonts w:hint="eastAsia" w:ascii="宋体"/>
          <w:b/>
          <w:sz w:val="32"/>
        </w:rPr>
        <w:t>环境质量状况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pStyle w:val="10"/>
              <w:spacing w:after="0" w:line="360" w:lineRule="auto"/>
              <w:jc w:val="left"/>
              <w:rPr>
                <w:b/>
                <w:sz w:val="24"/>
                <w:szCs w:val="24"/>
              </w:rPr>
            </w:pPr>
            <w:r>
              <w:rPr>
                <w:rFonts w:hint="eastAsia"/>
                <w:b/>
                <w:sz w:val="24"/>
                <w:szCs w:val="24"/>
              </w:rPr>
              <w:t>建设项目所在地区域环境质量现状及主要环境问题（环境空气、地面水、地下水、声环境、生态环境等）</w:t>
            </w:r>
          </w:p>
          <w:p>
            <w:pPr>
              <w:pStyle w:val="4"/>
              <w:rPr>
                <w:sz w:val="24"/>
                <w:szCs w:val="24"/>
              </w:rPr>
            </w:pPr>
            <w:r>
              <w:rPr>
                <w:sz w:val="24"/>
                <w:szCs w:val="24"/>
              </w:rPr>
              <w:t>1环境空气质量现状</w:t>
            </w:r>
          </w:p>
          <w:p>
            <w:pPr>
              <w:spacing w:line="360" w:lineRule="auto"/>
              <w:rPr>
                <w:bCs/>
                <w:sz w:val="24"/>
                <w:szCs w:val="24"/>
              </w:rPr>
            </w:pPr>
            <w:bookmarkStart w:id="2" w:name="OLE_LINK28"/>
            <w:bookmarkStart w:id="3" w:name="OLE_LINK139"/>
            <w:r>
              <w:rPr>
                <w:bCs/>
                <w:sz w:val="24"/>
                <w:szCs w:val="24"/>
              </w:rPr>
              <w:t>1.1空气质量达标区判定</w:t>
            </w:r>
          </w:p>
          <w:bookmarkEnd w:id="2"/>
          <w:bookmarkEnd w:id="3"/>
          <w:p>
            <w:pPr>
              <w:snapToGrid w:val="0"/>
              <w:spacing w:line="360" w:lineRule="auto"/>
              <w:ind w:firstLine="480" w:firstLineChars="200"/>
              <w:rPr>
                <w:bCs/>
                <w:sz w:val="24"/>
                <w:szCs w:val="24"/>
              </w:rPr>
            </w:pPr>
            <w:r>
              <w:rPr>
                <w:bCs/>
                <w:sz w:val="24"/>
                <w:szCs w:val="24"/>
              </w:rPr>
              <w:t>根据《2019年洛阳市生态环境状况公报》可知：2019年洛阳市城区环境空气质量优、良天数为177天（评价因子为PM</w:t>
            </w:r>
            <w:r>
              <w:rPr>
                <w:bCs/>
                <w:sz w:val="24"/>
                <w:szCs w:val="24"/>
                <w:vertAlign w:val="subscript"/>
                <w:lang w:val="zh-CN"/>
              </w:rPr>
              <w:t>2.5</w:t>
            </w:r>
            <w:r>
              <w:rPr>
                <w:bCs/>
                <w:sz w:val="24"/>
                <w:szCs w:val="24"/>
              </w:rPr>
              <w:t>、PM</w:t>
            </w:r>
            <w:r>
              <w:rPr>
                <w:bCs/>
                <w:sz w:val="24"/>
                <w:szCs w:val="24"/>
                <w:vertAlign w:val="subscript"/>
                <w:lang w:val="zh-CN"/>
              </w:rPr>
              <w:t>10</w:t>
            </w:r>
            <w:r>
              <w:rPr>
                <w:bCs/>
                <w:sz w:val="24"/>
                <w:szCs w:val="24"/>
              </w:rPr>
              <w:t>、SO</w:t>
            </w:r>
            <w:r>
              <w:rPr>
                <w:bCs/>
                <w:sz w:val="24"/>
                <w:szCs w:val="24"/>
                <w:vertAlign w:val="subscript"/>
                <w:lang w:val="zh-CN"/>
              </w:rPr>
              <w:t>2</w:t>
            </w:r>
            <w:r>
              <w:rPr>
                <w:bCs/>
                <w:sz w:val="24"/>
                <w:szCs w:val="24"/>
              </w:rPr>
              <w:t>、NO</w:t>
            </w:r>
            <w:r>
              <w:rPr>
                <w:bCs/>
                <w:sz w:val="24"/>
                <w:szCs w:val="24"/>
                <w:vertAlign w:val="subscript"/>
                <w:lang w:val="zh-CN"/>
              </w:rPr>
              <w:t>2</w:t>
            </w:r>
            <w:r>
              <w:rPr>
                <w:bCs/>
                <w:sz w:val="24"/>
                <w:szCs w:val="24"/>
              </w:rPr>
              <w:t>、CO和O</w:t>
            </w:r>
            <w:r>
              <w:rPr>
                <w:bCs/>
                <w:sz w:val="24"/>
                <w:szCs w:val="24"/>
                <w:vertAlign w:val="subscript"/>
                <w:lang w:val="zh-CN"/>
              </w:rPr>
              <w:t>3</w:t>
            </w:r>
            <w:r>
              <w:rPr>
                <w:bCs/>
                <w:sz w:val="24"/>
                <w:szCs w:val="24"/>
              </w:rPr>
              <w:t>六项），较2018年（181天）减少4天，达标率为48.5%。环境空气中首要污染物为PM</w:t>
            </w:r>
            <w:r>
              <w:rPr>
                <w:bCs/>
                <w:sz w:val="24"/>
                <w:szCs w:val="24"/>
                <w:vertAlign w:val="subscript"/>
              </w:rPr>
              <w:t>2.5</w:t>
            </w:r>
            <w:r>
              <w:rPr>
                <w:bCs/>
                <w:sz w:val="24"/>
                <w:szCs w:val="24"/>
              </w:rPr>
              <w:t>其次为PM</w:t>
            </w:r>
            <w:r>
              <w:rPr>
                <w:bCs/>
                <w:sz w:val="24"/>
                <w:szCs w:val="24"/>
                <w:vertAlign w:val="subscript"/>
                <w:lang w:val="zh-CN"/>
              </w:rPr>
              <w:t>10</w:t>
            </w:r>
            <w:r>
              <w:rPr>
                <w:bCs/>
                <w:sz w:val="24"/>
                <w:szCs w:val="24"/>
              </w:rPr>
              <w:t>。全年冬季、春季污染程度较高，秋季次之，夏季最轻。5月至9月臭氧超标率凸显，臭氧污染天数增多。</w:t>
            </w:r>
          </w:p>
          <w:p>
            <w:pPr>
              <w:adjustRightInd w:val="0"/>
              <w:snapToGrid w:val="0"/>
              <w:jc w:val="center"/>
              <w:rPr>
                <w:rFonts w:ascii="黑体" w:hAnsi="黑体" w:eastAsia="黑体" w:cs="黑体"/>
                <w:kern w:val="0"/>
                <w:sz w:val="24"/>
                <w:szCs w:val="21"/>
              </w:rPr>
            </w:pPr>
            <w:r>
              <w:rPr>
                <w:rFonts w:hint="eastAsia" w:ascii="黑体" w:hAnsi="黑体" w:eastAsia="黑体" w:cs="黑体"/>
                <w:kern w:val="0"/>
                <w:sz w:val="24"/>
                <w:szCs w:val="21"/>
              </w:rPr>
              <w:t>表</w:t>
            </w:r>
            <w:r>
              <w:rPr>
                <w:rFonts w:hint="eastAsia" w:ascii="黑体" w:hAnsi="黑体" w:eastAsia="黑体" w:cs="黑体"/>
                <w:kern w:val="0"/>
                <w:sz w:val="24"/>
                <w:szCs w:val="21"/>
                <w:lang w:val="en-US" w:eastAsia="zh-CN"/>
              </w:rPr>
              <w:t xml:space="preserve">7      </w:t>
            </w:r>
            <w:r>
              <w:rPr>
                <w:rFonts w:hint="eastAsia" w:ascii="黑体" w:hAnsi="黑体" w:eastAsia="黑体" w:cs="黑体"/>
                <w:kern w:val="0"/>
                <w:sz w:val="24"/>
                <w:szCs w:val="21"/>
              </w:rPr>
              <w:t xml:space="preserve">   区域环境空气质量现状评价表</w:t>
            </w:r>
          </w:p>
          <w:tbl>
            <w:tblPr>
              <w:tblStyle w:val="27"/>
              <w:tblpPr w:leftFromText="180" w:rightFromText="180" w:vertAnchor="text" w:tblpXSpec="center" w:tblpY="1"/>
              <w:tblOverlap w:val="never"/>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2089"/>
              <w:gridCol w:w="1677"/>
              <w:gridCol w:w="1727"/>
              <w:gridCol w:w="1320"/>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895" w:type="dxa"/>
                  <w:tcBorders>
                    <w:left w:val="single" w:color="auto" w:sz="4" w:space="0"/>
                    <w:bottom w:val="single" w:color="auto" w:sz="4" w:space="0"/>
                  </w:tcBorders>
                  <w:vAlign w:val="center"/>
                </w:tcPr>
                <w:p>
                  <w:pPr>
                    <w:jc w:val="center"/>
                    <w:rPr>
                      <w:sz w:val="18"/>
                      <w:szCs w:val="18"/>
                    </w:rPr>
                  </w:pPr>
                  <w:r>
                    <w:rPr>
                      <w:sz w:val="18"/>
                      <w:szCs w:val="18"/>
                    </w:rPr>
                    <w:t>污染物</w:t>
                  </w:r>
                </w:p>
              </w:tc>
              <w:tc>
                <w:tcPr>
                  <w:tcW w:w="2089" w:type="dxa"/>
                  <w:tcBorders>
                    <w:right w:val="single" w:color="auto" w:sz="4" w:space="0"/>
                  </w:tcBorders>
                  <w:vAlign w:val="center"/>
                </w:tcPr>
                <w:p>
                  <w:pPr>
                    <w:jc w:val="center"/>
                    <w:rPr>
                      <w:sz w:val="18"/>
                      <w:szCs w:val="18"/>
                    </w:rPr>
                  </w:pPr>
                  <w:r>
                    <w:rPr>
                      <w:sz w:val="18"/>
                      <w:szCs w:val="18"/>
                    </w:rPr>
                    <w:t>年评价指标</w:t>
                  </w:r>
                </w:p>
              </w:tc>
              <w:tc>
                <w:tcPr>
                  <w:tcW w:w="1677" w:type="dxa"/>
                  <w:tcBorders>
                    <w:left w:val="single" w:color="auto" w:sz="4" w:space="0"/>
                  </w:tcBorders>
                  <w:vAlign w:val="center"/>
                </w:tcPr>
                <w:p>
                  <w:pPr>
                    <w:jc w:val="center"/>
                    <w:rPr>
                      <w:sz w:val="18"/>
                      <w:szCs w:val="18"/>
                    </w:rPr>
                  </w:pPr>
                  <w:r>
                    <w:rPr>
                      <w:sz w:val="18"/>
                      <w:szCs w:val="18"/>
                    </w:rPr>
                    <w:t>现状浓度/μg/m</w:t>
                  </w:r>
                  <w:r>
                    <w:rPr>
                      <w:sz w:val="18"/>
                      <w:szCs w:val="18"/>
                      <w:vertAlign w:val="superscript"/>
                    </w:rPr>
                    <w:t>3</w:t>
                  </w:r>
                </w:p>
              </w:tc>
              <w:tc>
                <w:tcPr>
                  <w:tcW w:w="1727" w:type="dxa"/>
                  <w:tcBorders>
                    <w:right w:val="single" w:color="auto" w:sz="4" w:space="0"/>
                  </w:tcBorders>
                  <w:vAlign w:val="center"/>
                </w:tcPr>
                <w:p>
                  <w:pPr>
                    <w:jc w:val="center"/>
                    <w:rPr>
                      <w:sz w:val="18"/>
                      <w:szCs w:val="18"/>
                    </w:rPr>
                  </w:pPr>
                  <w:r>
                    <w:rPr>
                      <w:sz w:val="18"/>
                      <w:szCs w:val="18"/>
                    </w:rPr>
                    <w:t>标准浓度/μg/m</w:t>
                  </w:r>
                  <w:r>
                    <w:rPr>
                      <w:sz w:val="18"/>
                      <w:szCs w:val="18"/>
                      <w:vertAlign w:val="superscript"/>
                    </w:rPr>
                    <w:t>3</w:t>
                  </w:r>
                </w:p>
              </w:tc>
              <w:tc>
                <w:tcPr>
                  <w:tcW w:w="1320" w:type="dxa"/>
                  <w:tcBorders>
                    <w:left w:val="single" w:color="auto" w:sz="4" w:space="0"/>
                  </w:tcBorders>
                  <w:vAlign w:val="center"/>
                </w:tcPr>
                <w:p>
                  <w:pPr>
                    <w:jc w:val="center"/>
                    <w:rPr>
                      <w:sz w:val="18"/>
                      <w:szCs w:val="18"/>
                    </w:rPr>
                  </w:pPr>
                  <w:r>
                    <w:rPr>
                      <w:sz w:val="18"/>
                      <w:szCs w:val="18"/>
                    </w:rPr>
                    <w:t>占标率/%</w:t>
                  </w:r>
                </w:p>
              </w:tc>
              <w:tc>
                <w:tcPr>
                  <w:tcW w:w="1172" w:type="dxa"/>
                  <w:tcBorders>
                    <w:top w:val="single" w:color="auto" w:sz="4" w:space="0"/>
                    <w:bottom w:val="single" w:color="auto" w:sz="4" w:space="0"/>
                  </w:tcBorders>
                  <w:vAlign w:val="center"/>
                </w:tcPr>
                <w:p>
                  <w:pPr>
                    <w:jc w:val="center"/>
                    <w:rPr>
                      <w:sz w:val="18"/>
                      <w:szCs w:val="18"/>
                      <w:vertAlign w:val="subscript"/>
                    </w:rPr>
                  </w:pPr>
                  <w:r>
                    <w:rPr>
                      <w:sz w:val="18"/>
                      <w:szCs w:val="18"/>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95" w:type="dxa"/>
                  <w:tcBorders>
                    <w:top w:val="single" w:color="auto" w:sz="4" w:space="0"/>
                    <w:left w:val="single" w:color="auto" w:sz="4" w:space="0"/>
                  </w:tcBorders>
                  <w:vAlign w:val="center"/>
                </w:tcPr>
                <w:p>
                  <w:pPr>
                    <w:jc w:val="center"/>
                    <w:rPr>
                      <w:sz w:val="18"/>
                      <w:szCs w:val="18"/>
                    </w:rPr>
                  </w:pPr>
                  <w:r>
                    <w:rPr>
                      <w:sz w:val="18"/>
                      <w:szCs w:val="18"/>
                    </w:rPr>
                    <w:t>PM</w:t>
                  </w:r>
                  <w:r>
                    <w:rPr>
                      <w:sz w:val="18"/>
                      <w:szCs w:val="18"/>
                      <w:vertAlign w:val="subscript"/>
                    </w:rPr>
                    <w:t>2.5</w:t>
                  </w:r>
                </w:p>
              </w:tc>
              <w:tc>
                <w:tcPr>
                  <w:tcW w:w="2089" w:type="dxa"/>
                  <w:vAlign w:val="center"/>
                </w:tcPr>
                <w:p>
                  <w:pPr>
                    <w:snapToGrid w:val="0"/>
                    <w:spacing w:before="24" w:beforeLines="8" w:after="24" w:afterLines="8"/>
                    <w:jc w:val="center"/>
                    <w:rPr>
                      <w:sz w:val="18"/>
                      <w:szCs w:val="18"/>
                    </w:rPr>
                  </w:pPr>
                  <w:r>
                    <w:rPr>
                      <w:sz w:val="18"/>
                      <w:szCs w:val="18"/>
                    </w:rPr>
                    <w:t>年平均浓度</w:t>
                  </w:r>
                </w:p>
              </w:tc>
              <w:tc>
                <w:tcPr>
                  <w:tcW w:w="1677" w:type="dxa"/>
                  <w:vAlign w:val="center"/>
                </w:tcPr>
                <w:p>
                  <w:pPr>
                    <w:snapToGrid w:val="0"/>
                    <w:spacing w:before="24" w:beforeLines="8" w:after="24" w:afterLines="8"/>
                    <w:jc w:val="center"/>
                    <w:rPr>
                      <w:sz w:val="18"/>
                      <w:szCs w:val="18"/>
                    </w:rPr>
                  </w:pPr>
                  <w:r>
                    <w:rPr>
                      <w:sz w:val="18"/>
                      <w:szCs w:val="18"/>
                    </w:rPr>
                    <w:t>62</w:t>
                  </w:r>
                </w:p>
              </w:tc>
              <w:tc>
                <w:tcPr>
                  <w:tcW w:w="1727" w:type="dxa"/>
                  <w:vAlign w:val="center"/>
                </w:tcPr>
                <w:p>
                  <w:pPr>
                    <w:snapToGrid w:val="0"/>
                    <w:spacing w:before="24" w:beforeLines="8" w:after="24" w:afterLines="8"/>
                    <w:jc w:val="center"/>
                    <w:rPr>
                      <w:sz w:val="18"/>
                      <w:szCs w:val="18"/>
                    </w:rPr>
                  </w:pPr>
                  <w:r>
                    <w:rPr>
                      <w:sz w:val="18"/>
                      <w:szCs w:val="18"/>
                    </w:rPr>
                    <w:t>35</w:t>
                  </w:r>
                </w:p>
              </w:tc>
              <w:tc>
                <w:tcPr>
                  <w:tcW w:w="1320" w:type="dxa"/>
                  <w:vAlign w:val="center"/>
                </w:tcPr>
                <w:p>
                  <w:pPr>
                    <w:snapToGrid w:val="0"/>
                    <w:spacing w:before="24" w:beforeLines="8" w:after="24" w:afterLines="8"/>
                    <w:jc w:val="center"/>
                    <w:rPr>
                      <w:sz w:val="18"/>
                      <w:szCs w:val="18"/>
                    </w:rPr>
                  </w:pPr>
                  <w:r>
                    <w:rPr>
                      <w:sz w:val="18"/>
                      <w:szCs w:val="18"/>
                    </w:rPr>
                    <w:t>177</w:t>
                  </w:r>
                </w:p>
              </w:tc>
              <w:tc>
                <w:tcPr>
                  <w:tcW w:w="1172" w:type="dxa"/>
                  <w:tcBorders>
                    <w:top w:val="single" w:color="auto" w:sz="4" w:space="0"/>
                  </w:tcBorders>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sz w:val="18"/>
                      <w:szCs w:val="18"/>
                    </w:rPr>
                    <w:t>PM</w:t>
                  </w:r>
                  <w:r>
                    <w:rPr>
                      <w:sz w:val="18"/>
                      <w:szCs w:val="18"/>
                      <w:vertAlign w:val="subscript"/>
                    </w:rPr>
                    <w:t>10</w:t>
                  </w:r>
                </w:p>
              </w:tc>
              <w:tc>
                <w:tcPr>
                  <w:tcW w:w="2089" w:type="dxa"/>
                  <w:vAlign w:val="center"/>
                </w:tcPr>
                <w:p>
                  <w:pPr>
                    <w:jc w:val="center"/>
                    <w:rPr>
                      <w:sz w:val="18"/>
                      <w:szCs w:val="18"/>
                    </w:rPr>
                  </w:pPr>
                  <w:r>
                    <w:rPr>
                      <w:sz w:val="18"/>
                      <w:szCs w:val="18"/>
                    </w:rPr>
                    <w:t>年平均浓度</w:t>
                  </w:r>
                </w:p>
              </w:tc>
              <w:tc>
                <w:tcPr>
                  <w:tcW w:w="1677" w:type="dxa"/>
                  <w:vAlign w:val="center"/>
                </w:tcPr>
                <w:p>
                  <w:pPr>
                    <w:jc w:val="center"/>
                    <w:rPr>
                      <w:spacing w:val="-10"/>
                      <w:sz w:val="18"/>
                      <w:szCs w:val="18"/>
                    </w:rPr>
                  </w:pPr>
                  <w:r>
                    <w:rPr>
                      <w:spacing w:val="-10"/>
                      <w:sz w:val="18"/>
                      <w:szCs w:val="18"/>
                    </w:rPr>
                    <w:t>107</w:t>
                  </w:r>
                </w:p>
              </w:tc>
              <w:tc>
                <w:tcPr>
                  <w:tcW w:w="1727" w:type="dxa"/>
                  <w:vAlign w:val="center"/>
                </w:tcPr>
                <w:p>
                  <w:pPr>
                    <w:jc w:val="center"/>
                    <w:rPr>
                      <w:spacing w:val="-10"/>
                      <w:sz w:val="18"/>
                      <w:szCs w:val="18"/>
                    </w:rPr>
                  </w:pPr>
                  <w:r>
                    <w:rPr>
                      <w:spacing w:val="-10"/>
                      <w:sz w:val="18"/>
                      <w:szCs w:val="18"/>
                    </w:rPr>
                    <w:t>70</w:t>
                  </w:r>
                </w:p>
              </w:tc>
              <w:tc>
                <w:tcPr>
                  <w:tcW w:w="1320" w:type="dxa"/>
                  <w:vAlign w:val="center"/>
                </w:tcPr>
                <w:p>
                  <w:pPr>
                    <w:jc w:val="center"/>
                    <w:rPr>
                      <w:spacing w:val="-10"/>
                      <w:sz w:val="18"/>
                      <w:szCs w:val="18"/>
                    </w:rPr>
                  </w:pPr>
                  <w:r>
                    <w:rPr>
                      <w:spacing w:val="-10"/>
                      <w:sz w:val="18"/>
                      <w:szCs w:val="18"/>
                    </w:rPr>
                    <w:t>153</w:t>
                  </w:r>
                </w:p>
              </w:tc>
              <w:tc>
                <w:tcPr>
                  <w:tcW w:w="1172" w:type="dxa"/>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895" w:type="dxa"/>
                  <w:vAlign w:val="center"/>
                </w:tcPr>
                <w:p>
                  <w:pPr>
                    <w:jc w:val="center"/>
                    <w:rPr>
                      <w:sz w:val="18"/>
                      <w:szCs w:val="18"/>
                    </w:rPr>
                  </w:pPr>
                  <w:r>
                    <w:rPr>
                      <w:bCs/>
                      <w:sz w:val="18"/>
                      <w:szCs w:val="18"/>
                    </w:rPr>
                    <w:t>O</w:t>
                  </w:r>
                  <w:r>
                    <w:rPr>
                      <w:bCs/>
                      <w:sz w:val="18"/>
                      <w:szCs w:val="18"/>
                      <w:vertAlign w:val="subscript"/>
                    </w:rPr>
                    <w:t>3</w:t>
                  </w:r>
                </w:p>
              </w:tc>
              <w:tc>
                <w:tcPr>
                  <w:tcW w:w="2089" w:type="dxa"/>
                  <w:vAlign w:val="center"/>
                </w:tcPr>
                <w:p>
                  <w:pPr>
                    <w:jc w:val="center"/>
                    <w:rPr>
                      <w:sz w:val="18"/>
                      <w:szCs w:val="18"/>
                    </w:rPr>
                  </w:pPr>
                  <w:r>
                    <w:rPr>
                      <w:sz w:val="18"/>
                      <w:szCs w:val="18"/>
                    </w:rPr>
                    <w:t>日最大8小时平均浓度第90百分位数</w:t>
                  </w:r>
                </w:p>
              </w:tc>
              <w:tc>
                <w:tcPr>
                  <w:tcW w:w="1677" w:type="dxa"/>
                  <w:vAlign w:val="center"/>
                </w:tcPr>
                <w:p>
                  <w:pPr>
                    <w:jc w:val="center"/>
                    <w:rPr>
                      <w:sz w:val="18"/>
                      <w:szCs w:val="18"/>
                    </w:rPr>
                  </w:pPr>
                  <w:r>
                    <w:rPr>
                      <w:sz w:val="18"/>
                      <w:szCs w:val="18"/>
                    </w:rPr>
                    <w:t>188</w:t>
                  </w:r>
                </w:p>
              </w:tc>
              <w:tc>
                <w:tcPr>
                  <w:tcW w:w="1727" w:type="dxa"/>
                  <w:vAlign w:val="center"/>
                </w:tcPr>
                <w:p>
                  <w:pPr>
                    <w:jc w:val="center"/>
                    <w:rPr>
                      <w:sz w:val="18"/>
                      <w:szCs w:val="18"/>
                    </w:rPr>
                  </w:pPr>
                  <w:r>
                    <w:rPr>
                      <w:sz w:val="18"/>
                      <w:szCs w:val="18"/>
                    </w:rPr>
                    <w:t>160</w:t>
                  </w:r>
                </w:p>
              </w:tc>
              <w:tc>
                <w:tcPr>
                  <w:tcW w:w="1320" w:type="dxa"/>
                  <w:vAlign w:val="center"/>
                </w:tcPr>
                <w:p>
                  <w:pPr>
                    <w:jc w:val="center"/>
                    <w:rPr>
                      <w:sz w:val="18"/>
                      <w:szCs w:val="18"/>
                    </w:rPr>
                  </w:pPr>
                  <w:r>
                    <w:rPr>
                      <w:sz w:val="18"/>
                      <w:szCs w:val="18"/>
                    </w:rPr>
                    <w:t>118</w:t>
                  </w:r>
                </w:p>
              </w:tc>
              <w:tc>
                <w:tcPr>
                  <w:tcW w:w="1172" w:type="dxa"/>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bCs/>
                      <w:sz w:val="18"/>
                      <w:szCs w:val="18"/>
                    </w:rPr>
                    <w:t>NO</w:t>
                  </w:r>
                  <w:r>
                    <w:rPr>
                      <w:bCs/>
                      <w:sz w:val="18"/>
                      <w:szCs w:val="18"/>
                      <w:vertAlign w:val="subscript"/>
                    </w:rPr>
                    <w:t>2</w:t>
                  </w:r>
                </w:p>
              </w:tc>
              <w:tc>
                <w:tcPr>
                  <w:tcW w:w="2089" w:type="dxa"/>
                  <w:vAlign w:val="center"/>
                </w:tcPr>
                <w:p>
                  <w:pPr>
                    <w:jc w:val="center"/>
                    <w:rPr>
                      <w:sz w:val="18"/>
                      <w:szCs w:val="18"/>
                    </w:rPr>
                  </w:pPr>
                  <w:r>
                    <w:rPr>
                      <w:sz w:val="18"/>
                      <w:szCs w:val="18"/>
                    </w:rPr>
                    <w:t>年平均浓度</w:t>
                  </w:r>
                </w:p>
              </w:tc>
              <w:tc>
                <w:tcPr>
                  <w:tcW w:w="1677" w:type="dxa"/>
                  <w:vAlign w:val="center"/>
                </w:tcPr>
                <w:p>
                  <w:pPr>
                    <w:jc w:val="center"/>
                    <w:rPr>
                      <w:sz w:val="18"/>
                      <w:szCs w:val="18"/>
                    </w:rPr>
                  </w:pPr>
                  <w:r>
                    <w:rPr>
                      <w:sz w:val="18"/>
                      <w:szCs w:val="18"/>
                    </w:rPr>
                    <w:t>40</w:t>
                  </w:r>
                </w:p>
              </w:tc>
              <w:tc>
                <w:tcPr>
                  <w:tcW w:w="1727" w:type="dxa"/>
                  <w:vAlign w:val="center"/>
                </w:tcPr>
                <w:p>
                  <w:pPr>
                    <w:jc w:val="center"/>
                    <w:rPr>
                      <w:sz w:val="18"/>
                      <w:szCs w:val="18"/>
                    </w:rPr>
                  </w:pPr>
                  <w:r>
                    <w:rPr>
                      <w:sz w:val="18"/>
                      <w:szCs w:val="18"/>
                    </w:rPr>
                    <w:t>40</w:t>
                  </w:r>
                </w:p>
              </w:tc>
              <w:tc>
                <w:tcPr>
                  <w:tcW w:w="1320" w:type="dxa"/>
                  <w:vAlign w:val="center"/>
                </w:tcPr>
                <w:p>
                  <w:pPr>
                    <w:jc w:val="center"/>
                    <w:rPr>
                      <w:sz w:val="18"/>
                      <w:szCs w:val="18"/>
                    </w:rPr>
                  </w:pPr>
                  <w:r>
                    <w:rPr>
                      <w:sz w:val="18"/>
                      <w:szCs w:val="18"/>
                    </w:rPr>
                    <w:t>100</w:t>
                  </w:r>
                </w:p>
              </w:tc>
              <w:tc>
                <w:tcPr>
                  <w:tcW w:w="1172" w:type="dxa"/>
                  <w:vAlign w:val="center"/>
                </w:tcPr>
                <w:p>
                  <w:pPr>
                    <w:jc w:val="center"/>
                    <w:rPr>
                      <w:sz w:val="18"/>
                      <w:szCs w:val="18"/>
                    </w:rPr>
                  </w:pPr>
                  <w:r>
                    <w:rPr>
                      <w:sz w:val="18"/>
                      <w:szCs w:val="18"/>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bCs/>
                      <w:sz w:val="18"/>
                      <w:szCs w:val="18"/>
                    </w:rPr>
                    <w:t>CO</w:t>
                  </w:r>
                </w:p>
              </w:tc>
              <w:tc>
                <w:tcPr>
                  <w:tcW w:w="2089" w:type="dxa"/>
                  <w:vAlign w:val="center"/>
                </w:tcPr>
                <w:p>
                  <w:pPr>
                    <w:snapToGrid w:val="0"/>
                    <w:spacing w:before="24" w:beforeLines="8" w:after="24" w:afterLines="8"/>
                    <w:jc w:val="center"/>
                    <w:rPr>
                      <w:sz w:val="18"/>
                      <w:szCs w:val="18"/>
                    </w:rPr>
                  </w:pPr>
                  <w:r>
                    <w:rPr>
                      <w:sz w:val="18"/>
                      <w:szCs w:val="18"/>
                    </w:rPr>
                    <w:t>24小时平均浓度第95百分位数</w:t>
                  </w:r>
                </w:p>
              </w:tc>
              <w:tc>
                <w:tcPr>
                  <w:tcW w:w="1677" w:type="dxa"/>
                  <w:vAlign w:val="center"/>
                </w:tcPr>
                <w:p>
                  <w:pPr>
                    <w:snapToGrid w:val="0"/>
                    <w:spacing w:before="24" w:beforeLines="8" w:after="24" w:afterLines="8"/>
                    <w:jc w:val="center"/>
                    <w:rPr>
                      <w:sz w:val="18"/>
                      <w:szCs w:val="18"/>
                    </w:rPr>
                  </w:pPr>
                  <w:r>
                    <w:rPr>
                      <w:sz w:val="18"/>
                      <w:szCs w:val="18"/>
                    </w:rPr>
                    <w:t>1.5mg/m</w:t>
                  </w:r>
                  <w:r>
                    <w:rPr>
                      <w:sz w:val="18"/>
                      <w:szCs w:val="18"/>
                      <w:vertAlign w:val="superscript"/>
                    </w:rPr>
                    <w:t>3</w:t>
                  </w:r>
                </w:p>
              </w:tc>
              <w:tc>
                <w:tcPr>
                  <w:tcW w:w="1727" w:type="dxa"/>
                  <w:vAlign w:val="center"/>
                </w:tcPr>
                <w:p>
                  <w:pPr>
                    <w:snapToGrid w:val="0"/>
                    <w:spacing w:before="24" w:beforeLines="8" w:after="24" w:afterLines="8"/>
                    <w:jc w:val="center"/>
                    <w:rPr>
                      <w:sz w:val="18"/>
                      <w:szCs w:val="18"/>
                    </w:rPr>
                  </w:pPr>
                  <w:r>
                    <w:rPr>
                      <w:sz w:val="18"/>
                      <w:szCs w:val="18"/>
                    </w:rPr>
                    <w:t>4mg/m</w:t>
                  </w:r>
                  <w:r>
                    <w:rPr>
                      <w:sz w:val="18"/>
                      <w:szCs w:val="18"/>
                      <w:vertAlign w:val="superscript"/>
                    </w:rPr>
                    <w:t>3</w:t>
                  </w:r>
                </w:p>
              </w:tc>
              <w:tc>
                <w:tcPr>
                  <w:tcW w:w="1320" w:type="dxa"/>
                  <w:vAlign w:val="center"/>
                </w:tcPr>
                <w:p>
                  <w:pPr>
                    <w:snapToGrid w:val="0"/>
                    <w:spacing w:before="24" w:beforeLines="8" w:after="24" w:afterLines="8"/>
                    <w:jc w:val="center"/>
                    <w:rPr>
                      <w:sz w:val="18"/>
                      <w:szCs w:val="18"/>
                    </w:rPr>
                  </w:pPr>
                  <w:r>
                    <w:rPr>
                      <w:sz w:val="18"/>
                      <w:szCs w:val="18"/>
                    </w:rPr>
                    <w:t>38</w:t>
                  </w:r>
                </w:p>
              </w:tc>
              <w:tc>
                <w:tcPr>
                  <w:tcW w:w="1172" w:type="dxa"/>
                  <w:vAlign w:val="center"/>
                </w:tcPr>
                <w:p>
                  <w:pPr>
                    <w:jc w:val="center"/>
                    <w:rPr>
                      <w:sz w:val="18"/>
                      <w:szCs w:val="18"/>
                    </w:rPr>
                  </w:pPr>
                  <w:r>
                    <w:rPr>
                      <w:sz w:val="18"/>
                      <w:szCs w:val="18"/>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trPr>
              <w:tc>
                <w:tcPr>
                  <w:tcW w:w="895" w:type="dxa"/>
                  <w:vAlign w:val="center"/>
                </w:tcPr>
                <w:p>
                  <w:pPr>
                    <w:jc w:val="center"/>
                    <w:rPr>
                      <w:sz w:val="18"/>
                      <w:szCs w:val="18"/>
                    </w:rPr>
                  </w:pPr>
                  <w:r>
                    <w:rPr>
                      <w:bCs/>
                      <w:sz w:val="18"/>
                      <w:szCs w:val="18"/>
                    </w:rPr>
                    <w:t>SO</w:t>
                  </w:r>
                  <w:r>
                    <w:rPr>
                      <w:bCs/>
                      <w:sz w:val="18"/>
                      <w:szCs w:val="18"/>
                      <w:vertAlign w:val="subscript"/>
                    </w:rPr>
                    <w:t>2</w:t>
                  </w:r>
                </w:p>
              </w:tc>
              <w:tc>
                <w:tcPr>
                  <w:tcW w:w="2089" w:type="dxa"/>
                  <w:vAlign w:val="center"/>
                </w:tcPr>
                <w:p>
                  <w:pPr>
                    <w:snapToGrid w:val="0"/>
                    <w:spacing w:before="24" w:beforeLines="8" w:after="24" w:afterLines="8"/>
                    <w:jc w:val="center"/>
                    <w:rPr>
                      <w:sz w:val="18"/>
                      <w:szCs w:val="18"/>
                    </w:rPr>
                  </w:pPr>
                  <w:r>
                    <w:rPr>
                      <w:sz w:val="18"/>
                      <w:szCs w:val="18"/>
                    </w:rPr>
                    <w:t>年平均浓度</w:t>
                  </w:r>
                </w:p>
              </w:tc>
              <w:tc>
                <w:tcPr>
                  <w:tcW w:w="1677" w:type="dxa"/>
                  <w:vAlign w:val="center"/>
                </w:tcPr>
                <w:p>
                  <w:pPr>
                    <w:jc w:val="center"/>
                    <w:rPr>
                      <w:sz w:val="18"/>
                      <w:szCs w:val="18"/>
                    </w:rPr>
                  </w:pPr>
                  <w:r>
                    <w:rPr>
                      <w:sz w:val="18"/>
                      <w:szCs w:val="18"/>
                    </w:rPr>
                    <w:t>10</w:t>
                  </w:r>
                </w:p>
              </w:tc>
              <w:tc>
                <w:tcPr>
                  <w:tcW w:w="1727" w:type="dxa"/>
                  <w:vAlign w:val="center"/>
                </w:tcPr>
                <w:p>
                  <w:pPr>
                    <w:snapToGrid w:val="0"/>
                    <w:spacing w:before="24" w:beforeLines="8" w:after="24" w:afterLines="8"/>
                    <w:jc w:val="center"/>
                    <w:rPr>
                      <w:sz w:val="18"/>
                      <w:szCs w:val="18"/>
                    </w:rPr>
                  </w:pPr>
                  <w:r>
                    <w:rPr>
                      <w:sz w:val="18"/>
                      <w:szCs w:val="18"/>
                    </w:rPr>
                    <w:t>60</w:t>
                  </w:r>
                </w:p>
              </w:tc>
              <w:tc>
                <w:tcPr>
                  <w:tcW w:w="1320" w:type="dxa"/>
                  <w:vAlign w:val="center"/>
                </w:tcPr>
                <w:p>
                  <w:pPr>
                    <w:jc w:val="center"/>
                    <w:rPr>
                      <w:sz w:val="18"/>
                      <w:szCs w:val="18"/>
                    </w:rPr>
                  </w:pPr>
                  <w:r>
                    <w:rPr>
                      <w:sz w:val="18"/>
                      <w:szCs w:val="18"/>
                    </w:rPr>
                    <w:t>17</w:t>
                  </w:r>
                </w:p>
              </w:tc>
              <w:tc>
                <w:tcPr>
                  <w:tcW w:w="1172" w:type="dxa"/>
                  <w:vAlign w:val="center"/>
                </w:tcPr>
                <w:p>
                  <w:pPr>
                    <w:jc w:val="center"/>
                    <w:rPr>
                      <w:sz w:val="18"/>
                      <w:szCs w:val="18"/>
                    </w:rPr>
                  </w:pPr>
                  <w:r>
                    <w:rPr>
                      <w:sz w:val="18"/>
                      <w:szCs w:val="18"/>
                    </w:rPr>
                    <w:t>达标</w:t>
                  </w:r>
                </w:p>
              </w:tc>
            </w:tr>
          </w:tbl>
          <w:p>
            <w:pPr>
              <w:spacing w:line="360" w:lineRule="auto"/>
              <w:ind w:firstLine="480" w:firstLineChars="200"/>
              <w:rPr>
                <w:b/>
                <w:bCs/>
                <w:sz w:val="24"/>
                <w:szCs w:val="24"/>
              </w:rPr>
            </w:pPr>
            <w:r>
              <w:rPr>
                <w:sz w:val="24"/>
                <w:szCs w:val="24"/>
              </w:rPr>
              <w:t>由上表可知，2019年度洛阳市</w:t>
            </w:r>
            <w:r>
              <w:rPr>
                <w:bCs/>
                <w:sz w:val="24"/>
                <w:szCs w:val="24"/>
              </w:rPr>
              <w:t>PM</w:t>
            </w:r>
            <w:r>
              <w:rPr>
                <w:bCs/>
                <w:sz w:val="24"/>
                <w:szCs w:val="24"/>
                <w:vertAlign w:val="subscript"/>
              </w:rPr>
              <w:t>2.5</w:t>
            </w:r>
            <w:r>
              <w:rPr>
                <w:bCs/>
                <w:sz w:val="24"/>
                <w:szCs w:val="24"/>
              </w:rPr>
              <w:t>、PM</w:t>
            </w:r>
            <w:r>
              <w:rPr>
                <w:bCs/>
                <w:sz w:val="24"/>
                <w:szCs w:val="24"/>
                <w:vertAlign w:val="subscript"/>
              </w:rPr>
              <w:t>10</w:t>
            </w:r>
            <w:r>
              <w:rPr>
                <w:bCs/>
                <w:sz w:val="24"/>
                <w:szCs w:val="24"/>
              </w:rPr>
              <w:t>和O</w:t>
            </w:r>
            <w:r>
              <w:rPr>
                <w:bCs/>
                <w:sz w:val="24"/>
                <w:szCs w:val="24"/>
                <w:vertAlign w:val="subscript"/>
              </w:rPr>
              <w:t>3</w:t>
            </w:r>
            <w:r>
              <w:rPr>
                <w:bCs/>
                <w:sz w:val="24"/>
                <w:szCs w:val="24"/>
              </w:rPr>
              <w:t>年均浓度不能满足</w:t>
            </w:r>
            <w:r>
              <w:rPr>
                <w:sz w:val="24"/>
              </w:rPr>
              <w:t>《环境空气质量标准》（GB3095-2012）二级标准浓度限值要求，因此判定项目所在区域为</w:t>
            </w:r>
            <w:r>
              <w:rPr>
                <w:sz w:val="24"/>
                <w:szCs w:val="24"/>
              </w:rPr>
              <w:t>不达标区。</w:t>
            </w:r>
          </w:p>
          <w:p>
            <w:pPr>
              <w:spacing w:line="360" w:lineRule="auto"/>
              <w:rPr>
                <w:bCs/>
                <w:sz w:val="24"/>
                <w:szCs w:val="24"/>
              </w:rPr>
            </w:pPr>
            <w:r>
              <w:rPr>
                <w:bCs/>
                <w:sz w:val="24"/>
                <w:szCs w:val="24"/>
              </w:rPr>
              <w:t>1.2基本污染物环境质量现状</w:t>
            </w:r>
          </w:p>
          <w:p>
            <w:pPr>
              <w:spacing w:line="360" w:lineRule="auto"/>
              <w:ind w:firstLine="480" w:firstLineChars="200"/>
              <w:rPr>
                <w:bCs/>
                <w:sz w:val="24"/>
                <w:szCs w:val="24"/>
              </w:rPr>
            </w:pPr>
            <w:r>
              <w:rPr>
                <w:bCs/>
                <w:sz w:val="24"/>
                <w:szCs w:val="24"/>
              </w:rPr>
              <w:t>本次评价选择偃师市环境监测站2019年连续一年的常规监测数据，偃师市2019年优良天数202天。监测因子为：细颗粒物（PM</w:t>
            </w:r>
            <w:r>
              <w:rPr>
                <w:bCs/>
                <w:sz w:val="24"/>
                <w:szCs w:val="24"/>
                <w:vertAlign w:val="subscript"/>
              </w:rPr>
              <w:t>2.5</w:t>
            </w:r>
            <w:r>
              <w:rPr>
                <w:bCs/>
                <w:sz w:val="24"/>
                <w:szCs w:val="24"/>
              </w:rPr>
              <w:t>）、可吸入颗粒物（PM</w:t>
            </w:r>
            <w:r>
              <w:rPr>
                <w:bCs/>
                <w:sz w:val="24"/>
                <w:szCs w:val="24"/>
                <w:vertAlign w:val="subscript"/>
              </w:rPr>
              <w:t>10</w:t>
            </w:r>
            <w:r>
              <w:rPr>
                <w:bCs/>
                <w:sz w:val="24"/>
                <w:szCs w:val="24"/>
              </w:rPr>
              <w:t>）、臭氧（O</w:t>
            </w:r>
            <w:r>
              <w:rPr>
                <w:bCs/>
                <w:sz w:val="24"/>
                <w:szCs w:val="24"/>
                <w:vertAlign w:val="subscript"/>
              </w:rPr>
              <w:t>3</w:t>
            </w:r>
            <w:r>
              <w:rPr>
                <w:bCs/>
                <w:sz w:val="24"/>
                <w:szCs w:val="24"/>
              </w:rPr>
              <w:t>）、二氧化氮（NO</w:t>
            </w:r>
            <w:r>
              <w:rPr>
                <w:bCs/>
                <w:sz w:val="24"/>
                <w:szCs w:val="24"/>
                <w:vertAlign w:val="subscript"/>
              </w:rPr>
              <w:t>2</w:t>
            </w:r>
            <w:r>
              <w:rPr>
                <w:bCs/>
                <w:sz w:val="24"/>
                <w:szCs w:val="24"/>
              </w:rPr>
              <w:t>）、一氧化碳（CO）和二氧化硫（SO</w:t>
            </w:r>
            <w:r>
              <w:rPr>
                <w:bCs/>
                <w:sz w:val="24"/>
                <w:szCs w:val="24"/>
                <w:vertAlign w:val="subscript"/>
              </w:rPr>
              <w:t>2</w:t>
            </w:r>
            <w:r>
              <w:rPr>
                <w:bCs/>
                <w:sz w:val="24"/>
                <w:szCs w:val="24"/>
              </w:rPr>
              <w:t>）。基本污染物环境质量现状见下表。</w:t>
            </w:r>
          </w:p>
          <w:p>
            <w:pPr>
              <w:ind w:firstLine="1440" w:firstLineChars="600"/>
              <w:rPr>
                <w:rFonts w:ascii="黑体" w:hAnsi="黑体" w:eastAsia="黑体"/>
                <w:bCs/>
                <w:sz w:val="24"/>
                <w:szCs w:val="24"/>
              </w:rPr>
            </w:pPr>
            <w:r>
              <w:rPr>
                <w:rFonts w:ascii="黑体" w:hAnsi="黑体" w:eastAsia="黑体"/>
                <w:bCs/>
                <w:sz w:val="24"/>
                <w:szCs w:val="24"/>
              </w:rPr>
              <w:t>表</w:t>
            </w:r>
            <w:r>
              <w:rPr>
                <w:rFonts w:hint="eastAsia" w:ascii="黑体" w:hAnsi="黑体" w:eastAsia="黑体"/>
                <w:bCs/>
                <w:sz w:val="24"/>
                <w:szCs w:val="24"/>
                <w:lang w:val="en-US" w:eastAsia="zh-CN"/>
              </w:rPr>
              <w:t>8</w:t>
            </w:r>
            <w:r>
              <w:rPr>
                <w:rFonts w:hint="eastAsia" w:ascii="黑体" w:hAnsi="黑体" w:eastAsia="黑体"/>
                <w:bCs/>
                <w:sz w:val="24"/>
                <w:szCs w:val="24"/>
              </w:rPr>
              <w:t xml:space="preserve">         </w:t>
            </w:r>
            <w:r>
              <w:rPr>
                <w:rFonts w:hint="eastAsia" w:ascii="黑体" w:hAnsi="黑体" w:eastAsia="黑体"/>
                <w:bCs/>
                <w:sz w:val="24"/>
                <w:szCs w:val="24"/>
                <w:lang w:val="en-US" w:eastAsia="zh-CN"/>
              </w:rPr>
              <w:t xml:space="preserve">   </w:t>
            </w:r>
            <w:r>
              <w:rPr>
                <w:rFonts w:hint="eastAsia" w:ascii="黑体" w:hAnsi="黑体" w:eastAsia="黑体"/>
                <w:bCs/>
                <w:sz w:val="24"/>
                <w:szCs w:val="24"/>
              </w:rPr>
              <w:t xml:space="preserve"> 基本污染物环境质量现状</w:t>
            </w:r>
          </w:p>
          <w:tbl>
            <w:tblPr>
              <w:tblStyle w:val="27"/>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026"/>
              <w:gridCol w:w="1453"/>
              <w:gridCol w:w="1365"/>
              <w:gridCol w:w="151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污染物</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评价指标</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现状浓度/(μg/m</w:t>
                  </w:r>
                  <w:r>
                    <w:rPr>
                      <w:rStyle w:val="57"/>
                      <w:kern w:val="2"/>
                      <w:sz w:val="21"/>
                      <w:szCs w:val="21"/>
                      <w:vertAlign w:val="superscript"/>
                      <w:lang w:bidi="ar"/>
                    </w:rPr>
                    <w:t>3</w:t>
                  </w:r>
                  <w:r>
                    <w:rPr>
                      <w:rStyle w:val="57"/>
                      <w:kern w:val="2"/>
                      <w:sz w:val="21"/>
                      <w:szCs w:val="21"/>
                      <w:lang w:bidi="ar"/>
                    </w:rPr>
                    <w:t>)</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标准值/(μg/m</w:t>
                  </w:r>
                  <w:r>
                    <w:rPr>
                      <w:rStyle w:val="57"/>
                      <w:kern w:val="2"/>
                      <w:sz w:val="21"/>
                      <w:szCs w:val="21"/>
                      <w:vertAlign w:val="superscript"/>
                      <w:lang w:bidi="ar"/>
                    </w:rPr>
                    <w:t>3</w:t>
                  </w:r>
                  <w:r>
                    <w:rPr>
                      <w:rStyle w:val="57"/>
                      <w:kern w:val="2"/>
                      <w:sz w:val="21"/>
                      <w:szCs w:val="21"/>
                      <w:lang w:bidi="ar"/>
                    </w:rPr>
                    <w:t>)</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占标率/(%)</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SO</w:t>
                  </w:r>
                  <w:r>
                    <w:rPr>
                      <w:kern w:val="0"/>
                      <w:szCs w:val="21"/>
                      <w:vertAlign w:val="subscript"/>
                      <w:lang w:bidi="ar"/>
                    </w:rPr>
                    <w:t>2</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12</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60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20</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NO</w:t>
                  </w:r>
                  <w:r>
                    <w:rPr>
                      <w:kern w:val="0"/>
                      <w:szCs w:val="21"/>
                      <w:vertAlign w:val="subscript"/>
                      <w:lang w:bidi="ar"/>
                    </w:rPr>
                    <w:t>2</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30</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40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75</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PM</w:t>
                  </w:r>
                  <w:r>
                    <w:rPr>
                      <w:kern w:val="0"/>
                      <w:szCs w:val="21"/>
                      <w:vertAlign w:val="subscript"/>
                      <w:lang w:bidi="ar"/>
                    </w:rPr>
                    <w:t>2.5</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54</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35</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154.3</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PM</w:t>
                  </w:r>
                  <w:r>
                    <w:rPr>
                      <w:kern w:val="0"/>
                      <w:szCs w:val="21"/>
                      <w:vertAlign w:val="subscript"/>
                      <w:lang w:bidi="ar"/>
                    </w:rPr>
                    <w:t>10</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93</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70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132.9</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CO</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第95</w:t>
                  </w:r>
                  <w:r>
                    <w:rPr>
                      <w:rStyle w:val="57"/>
                      <w:rFonts w:hint="eastAsia" w:ascii="宋体" w:hAnsi="宋体" w:cs="宋体"/>
                      <w:kern w:val="2"/>
                      <w:sz w:val="21"/>
                      <w:szCs w:val="21"/>
                      <w:lang w:bidi="ar"/>
                    </w:rPr>
                    <w:t>百分位数浓度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1.5</w:t>
                  </w:r>
                  <w:r>
                    <w:rPr>
                      <w:rFonts w:ascii="Times New Roman" w:hAnsi="Times New Roman" w:cs="Times New Roman"/>
                      <w:kern w:val="2"/>
                      <w:sz w:val="21"/>
                      <w:szCs w:val="21"/>
                      <w:lang w:bidi="ar"/>
                    </w:rPr>
                    <w:t>mg/m</w:t>
                  </w:r>
                  <w:r>
                    <w:rPr>
                      <w:rFonts w:ascii="Times New Roman" w:hAnsi="Times New Roman" w:cs="Times New Roman"/>
                      <w:kern w:val="2"/>
                      <w:sz w:val="21"/>
                      <w:szCs w:val="21"/>
                      <w:vertAlign w:val="superscript"/>
                      <w:lang w:bidi="ar"/>
                    </w:rPr>
                    <w:t>3</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4</w:t>
                  </w:r>
                  <w:r>
                    <w:rPr>
                      <w:rFonts w:ascii="Times New Roman" w:hAnsi="Times New Roman" w:cs="Times New Roman"/>
                      <w:kern w:val="2"/>
                      <w:sz w:val="21"/>
                      <w:szCs w:val="21"/>
                      <w:lang w:bidi="ar"/>
                    </w:rPr>
                    <w:t>mg/m</w:t>
                  </w:r>
                  <w:r>
                    <w:rPr>
                      <w:rFonts w:ascii="Times New Roman" w:hAnsi="Times New Roman" w:cs="Times New Roman"/>
                      <w:kern w:val="2"/>
                      <w:sz w:val="21"/>
                      <w:szCs w:val="21"/>
                      <w:vertAlign w:val="superscript"/>
                      <w:lang w:bidi="ar"/>
                    </w:rPr>
                    <w:t>3</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37.5</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O</w:t>
                  </w:r>
                  <w:r>
                    <w:rPr>
                      <w:rStyle w:val="57"/>
                      <w:kern w:val="2"/>
                      <w:sz w:val="21"/>
                      <w:szCs w:val="21"/>
                      <w:vertAlign w:val="subscript"/>
                      <w:lang w:bidi="ar"/>
                    </w:rPr>
                    <w:t>3</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8h</w:t>
                  </w:r>
                  <w:r>
                    <w:rPr>
                      <w:rStyle w:val="57"/>
                      <w:rFonts w:hint="eastAsia" w:ascii="宋体" w:hAnsi="宋体" w:cs="宋体"/>
                      <w:kern w:val="2"/>
                      <w:sz w:val="21"/>
                      <w:szCs w:val="21"/>
                      <w:lang w:bidi="ar"/>
                    </w:rPr>
                    <w:t>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201</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160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125.6</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bl>
          <w:p>
            <w:pPr>
              <w:spacing w:line="360" w:lineRule="auto"/>
              <w:ind w:firstLine="480" w:firstLineChars="200"/>
              <w:rPr>
                <w:bCs/>
                <w:sz w:val="24"/>
                <w:szCs w:val="24"/>
              </w:rPr>
            </w:pPr>
            <w:r>
              <w:rPr>
                <w:bCs/>
                <w:sz w:val="24"/>
                <w:szCs w:val="24"/>
              </w:rPr>
              <w:t>根据上表可知，区域范围内的PM</w:t>
            </w:r>
            <w:r>
              <w:rPr>
                <w:bCs/>
                <w:sz w:val="24"/>
                <w:szCs w:val="24"/>
                <w:vertAlign w:val="subscript"/>
              </w:rPr>
              <w:t>2.5</w:t>
            </w:r>
            <w:r>
              <w:rPr>
                <w:bCs/>
                <w:sz w:val="24"/>
                <w:szCs w:val="24"/>
              </w:rPr>
              <w:t>和PM</w:t>
            </w:r>
            <w:r>
              <w:rPr>
                <w:bCs/>
                <w:sz w:val="24"/>
                <w:szCs w:val="24"/>
                <w:vertAlign w:val="subscript"/>
              </w:rPr>
              <w:t>10</w:t>
            </w:r>
            <w:r>
              <w:rPr>
                <w:bCs/>
                <w:sz w:val="24"/>
                <w:szCs w:val="24"/>
              </w:rPr>
              <w:t>年均浓度超标</w:t>
            </w:r>
            <w:r>
              <w:rPr>
                <w:rFonts w:hint="eastAsia"/>
                <w:bCs/>
                <w:sz w:val="24"/>
                <w:szCs w:val="24"/>
              </w:rPr>
              <w:t>，SO</w:t>
            </w:r>
            <w:r>
              <w:rPr>
                <w:rFonts w:hint="eastAsia"/>
                <w:bCs/>
                <w:sz w:val="24"/>
                <w:szCs w:val="24"/>
                <w:vertAlign w:val="subscript"/>
              </w:rPr>
              <w:t>2</w:t>
            </w:r>
            <w:r>
              <w:rPr>
                <w:rFonts w:hint="eastAsia"/>
                <w:bCs/>
                <w:sz w:val="24"/>
                <w:szCs w:val="24"/>
              </w:rPr>
              <w:t>、CO、</w:t>
            </w:r>
            <w:r>
              <w:rPr>
                <w:bCs/>
                <w:sz w:val="24"/>
                <w:szCs w:val="24"/>
              </w:rPr>
              <w:t>NO</w:t>
            </w:r>
            <w:r>
              <w:rPr>
                <w:bCs/>
                <w:sz w:val="24"/>
                <w:szCs w:val="24"/>
                <w:vertAlign w:val="subscript"/>
              </w:rPr>
              <w:t>2</w:t>
            </w:r>
            <w:r>
              <w:rPr>
                <w:rFonts w:hint="eastAsia"/>
                <w:bCs/>
                <w:sz w:val="24"/>
                <w:szCs w:val="24"/>
              </w:rPr>
              <w:t>、</w:t>
            </w:r>
            <w:r>
              <w:rPr>
                <w:bCs/>
                <w:sz w:val="24"/>
                <w:szCs w:val="24"/>
              </w:rPr>
              <w:t>O</w:t>
            </w:r>
            <w:r>
              <w:rPr>
                <w:bCs/>
                <w:sz w:val="24"/>
                <w:szCs w:val="24"/>
                <w:vertAlign w:val="subscript"/>
              </w:rPr>
              <w:t>3</w:t>
            </w:r>
            <w:r>
              <w:rPr>
                <w:rFonts w:hint="eastAsia"/>
                <w:bCs/>
                <w:sz w:val="24"/>
                <w:szCs w:val="24"/>
              </w:rPr>
              <w:t>、相应</w:t>
            </w:r>
            <w:r>
              <w:rPr>
                <w:bCs/>
                <w:sz w:val="24"/>
                <w:szCs w:val="24"/>
              </w:rPr>
              <w:t>年均</w:t>
            </w:r>
            <w:r>
              <w:rPr>
                <w:rFonts w:hint="eastAsia"/>
                <w:bCs/>
                <w:sz w:val="24"/>
                <w:szCs w:val="24"/>
              </w:rPr>
              <w:t>浓度满足《环境空气质量标准》（</w:t>
            </w:r>
            <w:r>
              <w:rPr>
                <w:bCs/>
                <w:sz w:val="24"/>
                <w:szCs w:val="24"/>
              </w:rPr>
              <w:t>GB3095-2012</w:t>
            </w:r>
            <w:r>
              <w:rPr>
                <w:rFonts w:hint="eastAsia"/>
                <w:bCs/>
                <w:sz w:val="24"/>
                <w:szCs w:val="24"/>
              </w:rPr>
              <w:t>）二级标准，</w:t>
            </w:r>
            <w:r>
              <w:rPr>
                <w:bCs/>
                <w:sz w:val="24"/>
                <w:szCs w:val="24"/>
              </w:rPr>
              <w:t>环境空气质量现状一般。</w:t>
            </w:r>
          </w:p>
          <w:p>
            <w:pPr>
              <w:spacing w:line="360" w:lineRule="auto"/>
              <w:rPr>
                <w:sz w:val="24"/>
                <w:szCs w:val="24"/>
              </w:rPr>
            </w:pPr>
            <w:r>
              <w:rPr>
                <w:sz w:val="24"/>
                <w:szCs w:val="24"/>
              </w:rPr>
              <w:t>1.</w:t>
            </w:r>
            <w:r>
              <w:rPr>
                <w:rFonts w:hint="eastAsia"/>
                <w:sz w:val="24"/>
                <w:szCs w:val="24"/>
              </w:rPr>
              <w:t>3</w:t>
            </w:r>
            <w:r>
              <w:rPr>
                <w:sz w:val="24"/>
                <w:szCs w:val="24"/>
              </w:rPr>
              <w:t>区域污染物达标消减计划</w:t>
            </w:r>
          </w:p>
          <w:p>
            <w:pPr>
              <w:spacing w:line="360" w:lineRule="auto"/>
              <w:ind w:firstLine="480"/>
              <w:rPr>
                <w:sz w:val="24"/>
                <w:szCs w:val="24"/>
              </w:rPr>
            </w:pPr>
            <w:r>
              <w:rPr>
                <w:sz w:val="24"/>
                <w:szCs w:val="24"/>
              </w:rPr>
              <w:t>由上述分析判定项目所在评价区域为不达标区。目前，洛阳市正在实施《洛阳市污染防治攻坚战三年行动计划（2018—2020年）》、《洛阳市2020年大气污染防治攻坚战实施方案》、《洛阳市2020年工业污染治理专项工作方案》等一系列措施，将不断改善区域大气环境质量。预计到2020年底，全市PM</w:t>
            </w:r>
            <w:r>
              <w:rPr>
                <w:sz w:val="24"/>
                <w:szCs w:val="24"/>
                <w:vertAlign w:val="subscript"/>
              </w:rPr>
              <w:t>2.5</w:t>
            </w:r>
            <w:r>
              <w:rPr>
                <w:sz w:val="24"/>
                <w:szCs w:val="24"/>
              </w:rPr>
              <w:t>（细颗粒物）、PM</w:t>
            </w:r>
            <w:r>
              <w:rPr>
                <w:sz w:val="24"/>
                <w:szCs w:val="24"/>
                <w:vertAlign w:val="subscript"/>
              </w:rPr>
              <w:t>10</w:t>
            </w:r>
            <w:r>
              <w:rPr>
                <w:sz w:val="24"/>
                <w:szCs w:val="24"/>
              </w:rPr>
              <w:t xml:space="preserve">（可吸入颗粒物）年均浓度及优良天数完成省定目标，重度及以上污染天数比率比2015年下降25%以上，其他县（市、区）完成年度空气质量改善目标，全面完成年度及三年攻坚目标任务。 </w:t>
            </w:r>
          </w:p>
          <w:p>
            <w:pPr>
              <w:pStyle w:val="10"/>
              <w:spacing w:after="0" w:line="360" w:lineRule="auto"/>
              <w:rPr>
                <w:b/>
                <w:sz w:val="24"/>
                <w:szCs w:val="24"/>
              </w:rPr>
            </w:pPr>
            <w:r>
              <w:rPr>
                <w:rFonts w:hint="eastAsia"/>
                <w:b/>
                <w:sz w:val="24"/>
                <w:szCs w:val="24"/>
              </w:rPr>
              <w:t xml:space="preserve">2 </w:t>
            </w:r>
            <w:r>
              <w:rPr>
                <w:b/>
                <w:sz w:val="24"/>
                <w:szCs w:val="24"/>
              </w:rPr>
              <w:t>声环境质量现状</w:t>
            </w:r>
          </w:p>
          <w:p>
            <w:pPr>
              <w:pStyle w:val="10"/>
              <w:spacing w:after="0" w:line="360" w:lineRule="auto"/>
              <w:ind w:firstLine="480" w:firstLineChars="200"/>
              <w:rPr>
                <w:rFonts w:hAnsi="宋体"/>
                <w:color w:val="auto"/>
                <w:sz w:val="24"/>
                <w:szCs w:val="24"/>
              </w:rPr>
            </w:pPr>
            <w:r>
              <w:rPr>
                <w:rFonts w:hint="eastAsia" w:asciiTheme="majorEastAsia" w:hAnsiTheme="majorEastAsia" w:eastAsiaTheme="majorEastAsia"/>
                <w:color w:val="auto"/>
                <w:sz w:val="24"/>
                <w:szCs w:val="24"/>
              </w:rPr>
              <w:t>《</w:t>
            </w:r>
            <w:r>
              <w:rPr>
                <w:rFonts w:hint="eastAsia"/>
                <w:color w:val="auto"/>
                <w:sz w:val="24"/>
                <w:szCs w:val="24"/>
                <w:u w:val="none"/>
                <w:lang w:eastAsia="zh-CN"/>
              </w:rPr>
              <w:t>洛阳客思来实业有限公司年产1000套钢制门、30000台办公家具项目</w:t>
            </w:r>
            <w:r>
              <w:rPr>
                <w:rFonts w:hint="eastAsia" w:asciiTheme="majorEastAsia" w:hAnsiTheme="majorEastAsia" w:eastAsiaTheme="majorEastAsia"/>
                <w:color w:val="auto"/>
                <w:sz w:val="24"/>
                <w:szCs w:val="24"/>
              </w:rPr>
              <w:t>》</w:t>
            </w:r>
            <w:r>
              <w:rPr>
                <w:rFonts w:hAnsi="宋体"/>
                <w:color w:val="auto"/>
                <w:sz w:val="24"/>
                <w:szCs w:val="24"/>
              </w:rPr>
              <w:t>于</w:t>
            </w:r>
            <w:r>
              <w:rPr>
                <w:color w:val="auto"/>
                <w:sz w:val="24"/>
                <w:szCs w:val="24"/>
              </w:rPr>
              <w:t>20</w:t>
            </w:r>
            <w:r>
              <w:rPr>
                <w:rFonts w:hint="eastAsia"/>
                <w:color w:val="auto"/>
                <w:sz w:val="24"/>
                <w:szCs w:val="24"/>
                <w:lang w:val="en-US" w:eastAsia="zh-CN"/>
              </w:rPr>
              <w:t>20</w:t>
            </w:r>
            <w:r>
              <w:rPr>
                <w:rFonts w:hAnsi="宋体"/>
                <w:color w:val="auto"/>
                <w:sz w:val="24"/>
                <w:szCs w:val="24"/>
              </w:rPr>
              <w:t>年</w:t>
            </w:r>
            <w:r>
              <w:rPr>
                <w:rFonts w:hint="eastAsia"/>
                <w:color w:val="auto"/>
                <w:sz w:val="24"/>
                <w:szCs w:val="24"/>
                <w:lang w:val="en-US" w:eastAsia="zh-CN"/>
              </w:rPr>
              <w:t>5</w:t>
            </w:r>
            <w:r>
              <w:rPr>
                <w:rFonts w:hAnsi="宋体"/>
                <w:color w:val="auto"/>
                <w:sz w:val="24"/>
                <w:szCs w:val="24"/>
              </w:rPr>
              <w:t>月</w:t>
            </w:r>
            <w:r>
              <w:rPr>
                <w:rFonts w:hint="eastAsia" w:hAnsi="宋体"/>
                <w:color w:val="auto"/>
                <w:sz w:val="24"/>
                <w:szCs w:val="24"/>
              </w:rPr>
              <w:t>2</w:t>
            </w:r>
            <w:r>
              <w:rPr>
                <w:rFonts w:hint="eastAsia" w:hAnsi="宋体"/>
                <w:color w:val="auto"/>
                <w:sz w:val="24"/>
                <w:szCs w:val="24"/>
                <w:lang w:val="en-US" w:eastAsia="zh-CN"/>
              </w:rPr>
              <w:t>4</w:t>
            </w:r>
            <w:r>
              <w:rPr>
                <w:rFonts w:hAnsi="宋体"/>
                <w:color w:val="auto"/>
                <w:sz w:val="24"/>
                <w:szCs w:val="24"/>
              </w:rPr>
              <w:t>日</w:t>
            </w:r>
            <w:r>
              <w:rPr>
                <w:rFonts w:hint="eastAsia" w:hAnsi="宋体"/>
                <w:color w:val="auto"/>
                <w:sz w:val="24"/>
                <w:szCs w:val="24"/>
              </w:rPr>
              <w:t>、</w:t>
            </w:r>
            <w:r>
              <w:rPr>
                <w:rFonts w:hint="eastAsia" w:hAnsi="宋体"/>
                <w:color w:val="auto"/>
                <w:sz w:val="24"/>
                <w:szCs w:val="24"/>
                <w:lang w:val="en-US" w:eastAsia="zh-CN"/>
              </w:rPr>
              <w:t>25</w:t>
            </w:r>
            <w:r>
              <w:rPr>
                <w:rFonts w:hint="eastAsia" w:hAnsi="宋体"/>
                <w:color w:val="auto"/>
                <w:sz w:val="24"/>
                <w:szCs w:val="24"/>
              </w:rPr>
              <w:t>日</w:t>
            </w:r>
            <w:r>
              <w:rPr>
                <w:rFonts w:hAnsi="宋体"/>
                <w:color w:val="auto"/>
                <w:sz w:val="24"/>
                <w:szCs w:val="24"/>
              </w:rPr>
              <w:t>对</w:t>
            </w:r>
            <w:r>
              <w:rPr>
                <w:rFonts w:hint="eastAsia" w:hAnsi="宋体"/>
                <w:color w:val="auto"/>
                <w:sz w:val="24"/>
                <w:szCs w:val="24"/>
              </w:rPr>
              <w:t>项目进行了验收监测，</w:t>
            </w:r>
            <w:r>
              <w:rPr>
                <w:rFonts w:hAnsi="宋体"/>
                <w:color w:val="auto"/>
                <w:sz w:val="24"/>
                <w:szCs w:val="24"/>
              </w:rPr>
              <w:t>共设</w:t>
            </w:r>
            <w:r>
              <w:rPr>
                <w:rFonts w:hint="eastAsia" w:hAnsi="宋体"/>
                <w:color w:val="auto"/>
                <w:sz w:val="24"/>
                <w:szCs w:val="24"/>
                <w:lang w:val="en-US" w:eastAsia="zh-CN"/>
              </w:rPr>
              <w:t>4</w:t>
            </w:r>
            <w:r>
              <w:rPr>
                <w:rFonts w:hAnsi="宋体"/>
                <w:color w:val="auto"/>
                <w:sz w:val="24"/>
                <w:szCs w:val="24"/>
              </w:rPr>
              <w:t>个监测点，分别布置在</w:t>
            </w:r>
            <w:r>
              <w:rPr>
                <w:rFonts w:hint="eastAsia" w:hAnsi="宋体"/>
                <w:color w:val="auto"/>
                <w:sz w:val="24"/>
                <w:szCs w:val="24"/>
              </w:rPr>
              <w:t>厂区的东、西、南、北四周厂界</w:t>
            </w:r>
            <w:r>
              <w:rPr>
                <w:rFonts w:hAnsi="宋体"/>
                <w:color w:val="auto"/>
                <w:sz w:val="24"/>
                <w:szCs w:val="24"/>
              </w:rPr>
              <w:t>，</w:t>
            </w:r>
            <w:r>
              <w:rPr>
                <w:rFonts w:hint="eastAsia" w:hAnsi="宋体"/>
                <w:color w:val="auto"/>
                <w:sz w:val="24"/>
                <w:szCs w:val="24"/>
              </w:rPr>
              <w:t>监测期间项目正常生产</w:t>
            </w:r>
            <w:r>
              <w:rPr>
                <w:rFonts w:hAnsi="宋体"/>
                <w:color w:val="auto"/>
                <w:sz w:val="24"/>
                <w:szCs w:val="24"/>
              </w:rPr>
              <w:t>，具体监测点布置见附图</w:t>
            </w:r>
            <w:r>
              <w:rPr>
                <w:rFonts w:hint="eastAsia" w:hAnsi="宋体"/>
                <w:color w:val="auto"/>
                <w:sz w:val="24"/>
                <w:szCs w:val="24"/>
              </w:rPr>
              <w:t>三，</w:t>
            </w:r>
            <w:r>
              <w:rPr>
                <w:rFonts w:hAnsi="宋体"/>
                <w:color w:val="auto"/>
                <w:sz w:val="24"/>
                <w:szCs w:val="24"/>
              </w:rPr>
              <w:t>监测结果见</w:t>
            </w:r>
            <w:r>
              <w:rPr>
                <w:rFonts w:hint="eastAsia" w:hAnsi="宋体"/>
                <w:color w:val="auto"/>
                <w:sz w:val="24"/>
                <w:szCs w:val="24"/>
              </w:rPr>
              <w:t>下表</w:t>
            </w:r>
            <w:r>
              <w:rPr>
                <w:rFonts w:hAnsi="宋体"/>
                <w:color w:val="auto"/>
                <w:sz w:val="24"/>
                <w:szCs w:val="24"/>
              </w:rPr>
              <w:t>。</w:t>
            </w:r>
          </w:p>
          <w:p>
            <w:pPr>
              <w:ind w:firstLine="1260" w:firstLineChars="600"/>
              <w:rPr>
                <w:rFonts w:ascii="黑体" w:eastAsia="黑体"/>
                <w:color w:val="auto"/>
                <w:sz w:val="24"/>
                <w:szCs w:val="24"/>
              </w:rPr>
            </w:pPr>
            <w:r>
              <w:rPr>
                <w:color w:val="auto"/>
                <w:szCs w:val="21"/>
              </w:rPr>
              <w:pict>
                <v:rect id="矩形 99" o:spid="_x0000_s2051" o:spt="1" style="position:absolute;left:0pt;margin-left:76.1pt;margin-top:20.2pt;height:22.5pt;width:45pt;z-index:25183744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">
                  <v:path/>
                  <v:fill on="f" focussize="0,0"/>
                  <v:stroke on="f"/>
                  <v:imagedata o:title=""/>
                  <o:lock v:ext="edit"/>
                  <v:textbox>
                    <w:txbxContent>
                      <w:p>
                        <w:r>
                          <w:rPr>
                            <w:rFonts w:hint="eastAsia"/>
                          </w:rPr>
                          <w:t>厂界</w:t>
                        </w:r>
                      </w:p>
                    </w:txbxContent>
                  </v:textbox>
                </v:rect>
              </w:pict>
            </w:r>
            <w:r>
              <w:rPr>
                <w:rFonts w:hint="eastAsia" w:ascii="黑体" w:eastAsia="黑体"/>
                <w:color w:val="auto"/>
                <w:sz w:val="24"/>
                <w:szCs w:val="24"/>
              </w:rPr>
              <w:t>表9             监测点昼夜背景噪声现状           单位：dB(A)</w:t>
            </w:r>
          </w:p>
          <w:tbl>
            <w:tblPr>
              <w:tblStyle w:val="27"/>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256"/>
              <w:gridCol w:w="1556"/>
              <w:gridCol w:w="1559"/>
              <w:gridCol w:w="1686"/>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792" w:type="dxa"/>
                  <w:gridSpan w:val="2"/>
                  <w:vAlign w:val="center"/>
                </w:tcPr>
                <w:p>
                  <w:pPr>
                    <w:rPr>
                      <w:color w:val="auto"/>
                      <w:szCs w:val="21"/>
                    </w:rPr>
                  </w:pPr>
                  <w:r>
                    <w:rPr>
                      <w:color w:val="auto"/>
                      <w:szCs w:val="21"/>
                    </w:rPr>
                    <w:pict>
                      <v:line id="直接连接符 98" o:spid="_x0000_s2052" o:spt="20" style="position:absolute;left:0pt;margin-left:-4pt;margin-top:2.65pt;height:10.95pt;width:134.6pt;z-index:25183846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">
                        <v:path arrowok="t"/>
                        <v:fill on="f" focussize="0,0"/>
                        <v:stroke color="#000000"/>
                        <v:imagedata o:title=""/>
                        <o:lock v:ext="edit" aspectratio="f"/>
                      </v:line>
                    </w:pict>
                  </w:r>
                  <w:r>
                    <w:rPr>
                      <w:color w:val="auto"/>
                      <w:szCs w:val="21"/>
                    </w:rPr>
                    <w:pict>
                      <v:rect id="矩形 67" o:spid="_x0000_s2053" o:spt="1" style="position:absolute;left:0pt;margin-left:-5.4pt;margin-top:4.9pt;height:22.5pt;width:45pt;z-index:25183948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">
                        <v:path/>
                        <v:fill on="f" focussize="0,0"/>
                        <v:stroke on="f"/>
                        <v:imagedata o:title=""/>
                        <o:lock v:ext="edit"/>
                        <v:textbox>
                          <w:txbxContent>
                            <w:p>
                              <w:r>
                                <w:rPr>
                                  <w:rFonts w:hint="eastAsia"/>
                                </w:rPr>
                                <w:t>时间</w:t>
                              </w:r>
                            </w:p>
                          </w:txbxContent>
                        </v:textbox>
                      </v:rect>
                    </w:pict>
                  </w:r>
                </w:p>
              </w:tc>
              <w:tc>
                <w:tcPr>
                  <w:tcW w:w="1556" w:type="dxa"/>
                  <w:vAlign w:val="center"/>
                </w:tcPr>
                <w:p>
                  <w:pPr>
                    <w:adjustRightInd w:val="0"/>
                    <w:snapToGrid w:val="0"/>
                    <w:jc w:val="center"/>
                    <w:rPr>
                      <w:color w:val="auto"/>
                      <w:szCs w:val="21"/>
                    </w:rPr>
                  </w:pPr>
                  <w:r>
                    <w:rPr>
                      <w:color w:val="auto"/>
                      <w:szCs w:val="21"/>
                    </w:rPr>
                    <w:t>东厂界</w:t>
                  </w:r>
                </w:p>
              </w:tc>
              <w:tc>
                <w:tcPr>
                  <w:tcW w:w="1559" w:type="dxa"/>
                  <w:vAlign w:val="center"/>
                </w:tcPr>
                <w:p>
                  <w:pPr>
                    <w:adjustRightInd w:val="0"/>
                    <w:snapToGrid w:val="0"/>
                    <w:jc w:val="center"/>
                    <w:rPr>
                      <w:color w:val="auto"/>
                      <w:szCs w:val="21"/>
                    </w:rPr>
                  </w:pPr>
                  <w:r>
                    <w:rPr>
                      <w:color w:val="auto"/>
                      <w:szCs w:val="21"/>
                    </w:rPr>
                    <w:t>南厂界</w:t>
                  </w:r>
                </w:p>
              </w:tc>
              <w:tc>
                <w:tcPr>
                  <w:tcW w:w="1686" w:type="dxa"/>
                  <w:vAlign w:val="center"/>
                </w:tcPr>
                <w:p>
                  <w:pPr>
                    <w:adjustRightInd w:val="0"/>
                    <w:snapToGrid w:val="0"/>
                    <w:jc w:val="center"/>
                    <w:rPr>
                      <w:color w:val="auto"/>
                      <w:szCs w:val="21"/>
                    </w:rPr>
                  </w:pPr>
                  <w:r>
                    <w:rPr>
                      <w:color w:val="auto"/>
                      <w:szCs w:val="21"/>
                    </w:rPr>
                    <w:t>西厂界</w:t>
                  </w:r>
                </w:p>
              </w:tc>
              <w:tc>
                <w:tcPr>
                  <w:tcW w:w="1607" w:type="dxa"/>
                  <w:vAlign w:val="center"/>
                </w:tcPr>
                <w:p>
                  <w:pPr>
                    <w:adjustRightInd w:val="0"/>
                    <w:snapToGrid w:val="0"/>
                    <w:jc w:val="center"/>
                    <w:rPr>
                      <w:color w:val="auto"/>
                      <w:szCs w:val="21"/>
                    </w:rPr>
                  </w:pPr>
                  <w:r>
                    <w:rPr>
                      <w:color w:val="auto"/>
                      <w:szCs w:val="21"/>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36" w:type="dxa"/>
                  <w:vMerge w:val="restart"/>
                  <w:vAlign w:val="center"/>
                </w:tcPr>
                <w:p>
                  <w:pPr>
                    <w:jc w:val="center"/>
                    <w:rPr>
                      <w:rFonts w:hint="eastAsia" w:eastAsia="宋体"/>
                      <w:color w:val="auto"/>
                      <w:szCs w:val="21"/>
                      <w:lang w:eastAsia="zh-CN"/>
                    </w:rPr>
                  </w:pPr>
                  <w:r>
                    <w:rPr>
                      <w:rFonts w:hint="eastAsia" w:hAnsi="宋体"/>
                      <w:color w:val="auto"/>
                      <w:szCs w:val="21"/>
                      <w:lang w:val="en-US" w:eastAsia="zh-CN"/>
                    </w:rPr>
                    <w:t>2020.5.24</w:t>
                  </w:r>
                </w:p>
              </w:tc>
              <w:tc>
                <w:tcPr>
                  <w:tcW w:w="1256" w:type="dxa"/>
                  <w:vAlign w:val="center"/>
                </w:tcPr>
                <w:p>
                  <w:pPr>
                    <w:jc w:val="center"/>
                    <w:rPr>
                      <w:color w:val="auto"/>
                      <w:szCs w:val="21"/>
                    </w:rPr>
                  </w:pPr>
                  <w:r>
                    <w:rPr>
                      <w:rFonts w:hint="eastAsia"/>
                      <w:color w:val="auto"/>
                      <w:szCs w:val="21"/>
                    </w:rPr>
                    <w:t>昼间</w:t>
                  </w:r>
                </w:p>
              </w:tc>
              <w:tc>
                <w:tcPr>
                  <w:tcW w:w="1556" w:type="dxa"/>
                  <w:vAlign w:val="center"/>
                </w:tcPr>
                <w:p>
                  <w:pPr>
                    <w:pStyle w:val="2"/>
                    <w:ind w:left="0" w:leftChars="0"/>
                    <w:jc w:val="center"/>
                    <w:rPr>
                      <w:rFonts w:hint="eastAsia" w:eastAsia="宋体"/>
                      <w:bCs/>
                      <w:color w:val="auto"/>
                      <w:szCs w:val="21"/>
                      <w:lang w:eastAsia="zh-CN"/>
                    </w:rPr>
                  </w:pPr>
                  <w:r>
                    <w:rPr>
                      <w:rFonts w:hint="eastAsia"/>
                      <w:bCs/>
                      <w:color w:val="auto"/>
                      <w:szCs w:val="21"/>
                      <w:lang w:val="en-US" w:eastAsia="zh-CN"/>
                    </w:rPr>
                    <w:t>55.8</w:t>
                  </w:r>
                </w:p>
              </w:tc>
              <w:tc>
                <w:tcPr>
                  <w:tcW w:w="1559" w:type="dxa"/>
                  <w:vAlign w:val="center"/>
                </w:tcPr>
                <w:p>
                  <w:pPr>
                    <w:pStyle w:val="2"/>
                    <w:ind w:left="0" w:leftChars="0"/>
                    <w:jc w:val="center"/>
                    <w:rPr>
                      <w:rFonts w:hint="eastAsia" w:eastAsia="宋体"/>
                      <w:bCs/>
                      <w:color w:val="auto"/>
                      <w:szCs w:val="21"/>
                      <w:lang w:eastAsia="zh-CN"/>
                    </w:rPr>
                  </w:pPr>
                  <w:r>
                    <w:rPr>
                      <w:rFonts w:hint="eastAsia"/>
                      <w:bCs/>
                      <w:color w:val="auto"/>
                      <w:szCs w:val="21"/>
                      <w:lang w:val="en-US" w:eastAsia="zh-CN"/>
                    </w:rPr>
                    <w:t>56.2</w:t>
                  </w:r>
                </w:p>
              </w:tc>
              <w:tc>
                <w:tcPr>
                  <w:tcW w:w="168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55.9</w:t>
                  </w:r>
                </w:p>
              </w:tc>
              <w:tc>
                <w:tcPr>
                  <w:tcW w:w="1607" w:type="dxa"/>
                  <w:vAlign w:val="center"/>
                </w:tcPr>
                <w:p>
                  <w:pPr>
                    <w:pStyle w:val="2"/>
                    <w:ind w:left="0" w:leftChars="0"/>
                    <w:jc w:val="center"/>
                    <w:rPr>
                      <w:rFonts w:hint="eastAsia" w:eastAsia="宋体"/>
                      <w:bCs/>
                      <w:color w:val="auto"/>
                      <w:szCs w:val="21"/>
                      <w:lang w:eastAsia="zh-CN"/>
                    </w:rPr>
                  </w:pPr>
                  <w:r>
                    <w:rPr>
                      <w:rFonts w:hint="eastAsia"/>
                      <w:bCs/>
                      <w:color w:val="auto"/>
                      <w:szCs w:val="21"/>
                      <w:lang w:val="en-US" w:eastAsia="zh-CN"/>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36" w:type="dxa"/>
                  <w:vMerge w:val="continue"/>
                  <w:vAlign w:val="center"/>
                </w:tcPr>
                <w:p>
                  <w:pPr>
                    <w:jc w:val="center"/>
                    <w:rPr>
                      <w:color w:val="auto"/>
                      <w:szCs w:val="21"/>
                    </w:rPr>
                  </w:pPr>
                </w:p>
              </w:tc>
              <w:tc>
                <w:tcPr>
                  <w:tcW w:w="1256" w:type="dxa"/>
                  <w:vAlign w:val="center"/>
                </w:tcPr>
                <w:p>
                  <w:pPr>
                    <w:jc w:val="center"/>
                    <w:rPr>
                      <w:color w:val="auto"/>
                      <w:szCs w:val="21"/>
                    </w:rPr>
                  </w:pPr>
                  <w:r>
                    <w:rPr>
                      <w:rFonts w:hint="eastAsia"/>
                      <w:color w:val="auto"/>
                      <w:szCs w:val="21"/>
                    </w:rPr>
                    <w:t>夜间</w:t>
                  </w:r>
                </w:p>
              </w:tc>
              <w:tc>
                <w:tcPr>
                  <w:tcW w:w="155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46.1</w:t>
                  </w:r>
                </w:p>
              </w:tc>
              <w:tc>
                <w:tcPr>
                  <w:tcW w:w="1559"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45.7</w:t>
                  </w:r>
                </w:p>
              </w:tc>
              <w:tc>
                <w:tcPr>
                  <w:tcW w:w="168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46.2</w:t>
                  </w:r>
                </w:p>
              </w:tc>
              <w:tc>
                <w:tcPr>
                  <w:tcW w:w="1607"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36" w:type="dxa"/>
                  <w:vMerge w:val="restart"/>
                  <w:vAlign w:val="center"/>
                </w:tcPr>
                <w:p>
                  <w:pPr>
                    <w:jc w:val="center"/>
                    <w:rPr>
                      <w:rFonts w:hint="eastAsia" w:eastAsia="宋体"/>
                      <w:color w:val="auto"/>
                      <w:szCs w:val="21"/>
                      <w:lang w:eastAsia="zh-CN"/>
                    </w:rPr>
                  </w:pPr>
                  <w:r>
                    <w:rPr>
                      <w:rFonts w:hint="eastAsia" w:hAnsi="宋体"/>
                      <w:color w:val="auto"/>
                      <w:szCs w:val="21"/>
                      <w:lang w:val="en-US" w:eastAsia="zh-CN"/>
                    </w:rPr>
                    <w:t>2020.5.25</w:t>
                  </w:r>
                </w:p>
              </w:tc>
              <w:tc>
                <w:tcPr>
                  <w:tcW w:w="1256" w:type="dxa"/>
                  <w:vAlign w:val="center"/>
                </w:tcPr>
                <w:p>
                  <w:pPr>
                    <w:jc w:val="center"/>
                    <w:rPr>
                      <w:color w:val="auto"/>
                      <w:szCs w:val="21"/>
                    </w:rPr>
                  </w:pPr>
                  <w:r>
                    <w:rPr>
                      <w:rFonts w:hint="eastAsia"/>
                      <w:color w:val="auto"/>
                      <w:szCs w:val="21"/>
                    </w:rPr>
                    <w:t>昼间</w:t>
                  </w:r>
                </w:p>
              </w:tc>
              <w:tc>
                <w:tcPr>
                  <w:tcW w:w="155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55.4</w:t>
                  </w:r>
                </w:p>
              </w:tc>
              <w:tc>
                <w:tcPr>
                  <w:tcW w:w="1559"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55.8</w:t>
                  </w:r>
                </w:p>
              </w:tc>
              <w:tc>
                <w:tcPr>
                  <w:tcW w:w="168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55.7</w:t>
                  </w:r>
                </w:p>
              </w:tc>
              <w:tc>
                <w:tcPr>
                  <w:tcW w:w="1607"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536" w:type="dxa"/>
                  <w:vMerge w:val="continue"/>
                  <w:vAlign w:val="center"/>
                </w:tcPr>
                <w:p>
                  <w:pPr>
                    <w:jc w:val="center"/>
                    <w:rPr>
                      <w:color w:val="auto"/>
                      <w:szCs w:val="21"/>
                    </w:rPr>
                  </w:pPr>
                </w:p>
              </w:tc>
              <w:tc>
                <w:tcPr>
                  <w:tcW w:w="1256" w:type="dxa"/>
                  <w:vAlign w:val="center"/>
                </w:tcPr>
                <w:p>
                  <w:pPr>
                    <w:jc w:val="center"/>
                    <w:rPr>
                      <w:color w:val="auto"/>
                      <w:szCs w:val="21"/>
                    </w:rPr>
                  </w:pPr>
                  <w:r>
                    <w:rPr>
                      <w:rFonts w:hint="eastAsia"/>
                      <w:color w:val="auto"/>
                      <w:szCs w:val="21"/>
                    </w:rPr>
                    <w:t>夜间</w:t>
                  </w:r>
                </w:p>
              </w:tc>
              <w:tc>
                <w:tcPr>
                  <w:tcW w:w="155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45.7</w:t>
                  </w:r>
                </w:p>
              </w:tc>
              <w:tc>
                <w:tcPr>
                  <w:tcW w:w="1559"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45.9</w:t>
                  </w:r>
                </w:p>
              </w:tc>
              <w:tc>
                <w:tcPr>
                  <w:tcW w:w="1686"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45.4</w:t>
                  </w:r>
                </w:p>
              </w:tc>
              <w:tc>
                <w:tcPr>
                  <w:tcW w:w="1607" w:type="dxa"/>
                  <w:vAlign w:val="center"/>
                </w:tcPr>
                <w:p>
                  <w:pPr>
                    <w:pStyle w:val="2"/>
                    <w:ind w:left="0" w:leftChars="0"/>
                    <w:jc w:val="center"/>
                    <w:rPr>
                      <w:rFonts w:hint="eastAsia" w:eastAsia="宋体"/>
                      <w:bCs/>
                      <w:color w:val="auto"/>
                      <w:szCs w:val="21"/>
                      <w:lang w:val="en-US" w:eastAsia="zh-CN"/>
                    </w:rPr>
                  </w:pPr>
                  <w:r>
                    <w:rPr>
                      <w:rFonts w:hint="eastAsia"/>
                      <w:bCs/>
                      <w:color w:val="auto"/>
                      <w:szCs w:val="21"/>
                      <w:lang w:val="en-US" w:eastAsia="zh-CN"/>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200" w:type="dxa"/>
                  <w:gridSpan w:val="6"/>
                  <w:vAlign w:val="center"/>
                </w:tcPr>
                <w:p>
                  <w:pPr>
                    <w:jc w:val="center"/>
                    <w:rPr>
                      <w:color w:val="auto"/>
                      <w:szCs w:val="21"/>
                    </w:rPr>
                  </w:pPr>
                  <w:r>
                    <w:rPr>
                      <w:rFonts w:hint="eastAsia"/>
                      <w:color w:val="auto"/>
                      <w:szCs w:val="21"/>
                    </w:rPr>
                    <w:t>2类标准限值：  昼间60     夜间50</w:t>
                  </w:r>
                </w:p>
              </w:tc>
            </w:tr>
          </w:tbl>
          <w:p>
            <w:pPr>
              <w:spacing w:line="480" w:lineRule="exact"/>
              <w:ind w:firstLine="480" w:firstLineChars="200"/>
              <w:rPr>
                <w:rFonts w:hint="eastAsia" w:hAnsi="宋体"/>
                <w:sz w:val="24"/>
                <w:szCs w:val="24"/>
              </w:rPr>
            </w:pPr>
            <w:r>
              <w:rPr>
                <w:rFonts w:hAnsi="宋体"/>
                <w:color w:val="auto"/>
                <w:sz w:val="24"/>
                <w:szCs w:val="24"/>
              </w:rPr>
              <w:t>由上表可知：</w:t>
            </w:r>
            <w:r>
              <w:rPr>
                <w:rFonts w:hint="eastAsia" w:hAnsi="宋体"/>
                <w:color w:val="auto"/>
                <w:sz w:val="24"/>
                <w:szCs w:val="24"/>
              </w:rPr>
              <w:t>各</w:t>
            </w:r>
            <w:r>
              <w:rPr>
                <w:rFonts w:hAnsi="宋体"/>
                <w:color w:val="auto"/>
                <w:sz w:val="24"/>
                <w:szCs w:val="24"/>
              </w:rPr>
              <w:t>监测点的</w:t>
            </w:r>
            <w:r>
              <w:rPr>
                <w:rFonts w:hint="eastAsia" w:hAnsi="宋体"/>
                <w:color w:val="auto"/>
                <w:sz w:val="24"/>
                <w:szCs w:val="24"/>
              </w:rPr>
              <w:t>四周厂界</w:t>
            </w:r>
            <w:r>
              <w:rPr>
                <w:rFonts w:hAnsi="宋体"/>
                <w:color w:val="auto"/>
                <w:sz w:val="24"/>
                <w:szCs w:val="24"/>
              </w:rPr>
              <w:t>昼、夜间噪声</w:t>
            </w:r>
            <w:r>
              <w:rPr>
                <w:rFonts w:hint="eastAsia" w:hAnsi="宋体"/>
                <w:color w:val="auto"/>
                <w:sz w:val="24"/>
                <w:szCs w:val="24"/>
              </w:rPr>
              <w:t>检测值均</w:t>
            </w:r>
            <w:r>
              <w:rPr>
                <w:rFonts w:hAnsi="宋体"/>
                <w:color w:val="auto"/>
                <w:sz w:val="24"/>
                <w:szCs w:val="24"/>
              </w:rPr>
              <w:t>可以满足</w:t>
            </w:r>
            <w:r>
              <w:rPr>
                <w:color w:val="auto"/>
                <w:sz w:val="24"/>
                <w:szCs w:val="24"/>
              </w:rPr>
              <w:t>《工业企业厂界环境噪声排放标准》</w:t>
            </w:r>
            <w:r>
              <w:rPr>
                <w:rFonts w:hint="eastAsia"/>
                <w:color w:val="auto"/>
                <w:sz w:val="24"/>
                <w:szCs w:val="24"/>
              </w:rPr>
              <w:t>（</w:t>
            </w:r>
            <w:r>
              <w:rPr>
                <w:color w:val="auto"/>
                <w:sz w:val="24"/>
                <w:szCs w:val="24"/>
              </w:rPr>
              <w:t>GB12348</w:t>
            </w:r>
            <w:r>
              <w:rPr>
                <w:rFonts w:hint="eastAsia"/>
                <w:color w:val="auto"/>
                <w:sz w:val="24"/>
                <w:szCs w:val="24"/>
              </w:rPr>
              <w:t>-</w:t>
            </w:r>
            <w:r>
              <w:rPr>
                <w:color w:val="auto"/>
                <w:sz w:val="24"/>
                <w:szCs w:val="24"/>
              </w:rPr>
              <w:t>2008</w:t>
            </w:r>
            <w:r>
              <w:rPr>
                <w:rFonts w:hint="eastAsia"/>
                <w:color w:val="auto"/>
                <w:sz w:val="24"/>
                <w:szCs w:val="24"/>
              </w:rPr>
              <w:t>）2</w:t>
            </w:r>
            <w:r>
              <w:rPr>
                <w:color w:val="auto"/>
                <w:sz w:val="24"/>
                <w:szCs w:val="24"/>
              </w:rPr>
              <w:t>类</w:t>
            </w:r>
            <w:r>
              <w:rPr>
                <w:rFonts w:hint="eastAsia"/>
                <w:color w:val="auto"/>
                <w:sz w:val="24"/>
                <w:szCs w:val="24"/>
              </w:rPr>
              <w:t>标准要求</w:t>
            </w:r>
            <w:r>
              <w:rPr>
                <w:rFonts w:hint="eastAsia" w:hAnsi="宋体"/>
                <w:color w:val="auto"/>
                <w:sz w:val="24"/>
                <w:szCs w:val="24"/>
              </w:rPr>
              <w:t>，该区域声环境质</w:t>
            </w:r>
            <w:r>
              <w:rPr>
                <w:rFonts w:hint="eastAsia" w:hAnsi="宋体"/>
                <w:sz w:val="24"/>
                <w:szCs w:val="24"/>
              </w:rPr>
              <w:t>量现状较好。</w:t>
            </w:r>
          </w:p>
          <w:p>
            <w:pPr>
              <w:pStyle w:val="3"/>
              <w:rPr>
                <w:rFonts w:hint="eastAsia"/>
              </w:rPr>
            </w:pPr>
          </w:p>
          <w:p>
            <w:pPr>
              <w:pStyle w:val="3"/>
              <w:rPr>
                <w:rFonts w:hint="eastAsia" w:hAnsi="宋体"/>
                <w:sz w:val="24"/>
                <w:szCs w:val="24"/>
              </w:rPr>
            </w:pPr>
          </w:p>
          <w:p>
            <w:pPr>
              <w:rPr>
                <w:rFonts w:hint="eastAsia" w:hAnsi="宋体"/>
                <w:sz w:val="24"/>
                <w:szCs w:val="24"/>
              </w:rPr>
            </w:pPr>
          </w:p>
          <w:p>
            <w:pPr>
              <w:pStyle w:val="3"/>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spacing w:line="520" w:lineRule="exact"/>
              <w:rPr>
                <w:rFonts w:hAnsi="宋体"/>
                <w:b/>
                <w:sz w:val="24"/>
                <w:szCs w:val="24"/>
              </w:rPr>
            </w:pPr>
            <w:r>
              <w:rPr>
                <w:rFonts w:hAnsi="宋体"/>
                <w:b/>
                <w:sz w:val="24"/>
                <w:szCs w:val="24"/>
              </w:rPr>
              <w:t>主要环境保护目标（列出名单及保护级别）</w:t>
            </w:r>
          </w:p>
          <w:p>
            <w:pPr>
              <w:spacing w:line="360" w:lineRule="auto"/>
              <w:ind w:firstLine="480" w:firstLineChars="200"/>
              <w:rPr>
                <w:rFonts w:hAnsi="宋体"/>
                <w:sz w:val="24"/>
                <w:szCs w:val="24"/>
              </w:rPr>
            </w:pPr>
            <w:r>
              <w:rPr>
                <w:rFonts w:hint="eastAsia" w:hAnsi="宋体"/>
                <w:sz w:val="24"/>
                <w:szCs w:val="24"/>
              </w:rPr>
              <w:t>本项目</w:t>
            </w:r>
            <w:r>
              <w:rPr>
                <w:rFonts w:hAnsi="宋体"/>
                <w:sz w:val="24"/>
                <w:szCs w:val="24"/>
              </w:rPr>
              <w:t>主要</w:t>
            </w:r>
            <w:r>
              <w:rPr>
                <w:rFonts w:hint="eastAsia" w:hAnsi="宋体"/>
                <w:sz w:val="24"/>
                <w:szCs w:val="24"/>
              </w:rPr>
              <w:t>环境</w:t>
            </w:r>
            <w:r>
              <w:rPr>
                <w:rFonts w:hAnsi="宋体"/>
                <w:sz w:val="24"/>
                <w:szCs w:val="24"/>
              </w:rPr>
              <w:t>保护目标</w:t>
            </w:r>
            <w:r>
              <w:rPr>
                <w:rFonts w:hint="eastAsia" w:hAnsi="宋体"/>
                <w:sz w:val="24"/>
                <w:szCs w:val="24"/>
              </w:rPr>
              <w:t>及见下表。</w:t>
            </w:r>
          </w:p>
          <w:p>
            <w:pPr>
              <w:adjustRightInd w:val="0"/>
              <w:snapToGrid w:val="0"/>
              <w:ind w:firstLine="960" w:firstLineChars="400"/>
              <w:rPr>
                <w:rFonts w:ascii="黑体" w:eastAsia="黑体"/>
                <w:color w:val="000000" w:themeColor="text1"/>
                <w:sz w:val="24"/>
                <w:szCs w:val="24"/>
              </w:rPr>
            </w:pPr>
            <w:r>
              <w:rPr>
                <w:rFonts w:ascii="黑体" w:eastAsia="黑体"/>
                <w:color w:val="000000" w:themeColor="text1"/>
                <w:sz w:val="24"/>
                <w:szCs w:val="24"/>
              </w:rPr>
              <w:t>表</w:t>
            </w:r>
            <w:r>
              <w:rPr>
                <w:rFonts w:hint="eastAsia" w:ascii="黑体" w:eastAsia="黑体"/>
                <w:color w:val="000000" w:themeColor="text1"/>
                <w:sz w:val="24"/>
                <w:szCs w:val="24"/>
              </w:rPr>
              <w:t>1</w:t>
            </w:r>
            <w:r>
              <w:rPr>
                <w:rFonts w:hint="eastAsia" w:ascii="黑体" w:eastAsia="黑体"/>
                <w:color w:val="000000" w:themeColor="text1"/>
                <w:sz w:val="24"/>
                <w:szCs w:val="24"/>
                <w:lang w:val="en-US" w:eastAsia="zh-CN"/>
              </w:rPr>
              <w:t>0</w:t>
            </w:r>
            <w:r>
              <w:rPr>
                <w:rFonts w:hint="eastAsia" w:ascii="黑体" w:eastAsia="黑体"/>
                <w:color w:val="000000" w:themeColor="text1"/>
                <w:sz w:val="24"/>
                <w:szCs w:val="24"/>
              </w:rPr>
              <w:t xml:space="preserve">               </w:t>
            </w:r>
            <w:r>
              <w:rPr>
                <w:rFonts w:ascii="黑体" w:eastAsia="黑体"/>
                <w:color w:val="000000" w:themeColor="text1"/>
                <w:sz w:val="24"/>
                <w:szCs w:val="24"/>
              </w:rPr>
              <w:t>主要环境保护目标</w:t>
            </w:r>
          </w:p>
          <w:tbl>
            <w:tblPr>
              <w:tblStyle w:val="27"/>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992"/>
              <w:gridCol w:w="1276"/>
              <w:gridCol w:w="1129"/>
              <w:gridCol w:w="714"/>
              <w:gridCol w:w="1134"/>
              <w:gridCol w:w="709"/>
              <w:gridCol w:w="992"/>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7" w:hRule="atLeast"/>
              </w:trPr>
              <w:tc>
                <w:tcPr>
                  <w:tcW w:w="709" w:type="dxa"/>
                  <w:vMerge w:val="restart"/>
                  <w:vAlign w:val="center"/>
                </w:tcPr>
                <w:p>
                  <w:pPr>
                    <w:spacing w:line="360" w:lineRule="exact"/>
                    <w:jc w:val="center"/>
                    <w:rPr>
                      <w:szCs w:val="21"/>
                    </w:rPr>
                  </w:pPr>
                  <w:r>
                    <w:rPr>
                      <w:rFonts w:hint="eastAsia"/>
                      <w:szCs w:val="21"/>
                    </w:rPr>
                    <w:t>类别</w:t>
                  </w:r>
                </w:p>
              </w:tc>
              <w:tc>
                <w:tcPr>
                  <w:tcW w:w="992" w:type="dxa"/>
                  <w:vMerge w:val="restart"/>
                  <w:vAlign w:val="center"/>
                </w:tcPr>
                <w:p>
                  <w:pPr>
                    <w:spacing w:line="360" w:lineRule="exact"/>
                    <w:jc w:val="center"/>
                    <w:rPr>
                      <w:szCs w:val="21"/>
                    </w:rPr>
                  </w:pPr>
                  <w:r>
                    <w:rPr>
                      <w:szCs w:val="21"/>
                    </w:rPr>
                    <w:t>名称</w:t>
                  </w:r>
                </w:p>
              </w:tc>
              <w:tc>
                <w:tcPr>
                  <w:tcW w:w="2405" w:type="dxa"/>
                  <w:gridSpan w:val="2"/>
                  <w:vAlign w:val="center"/>
                </w:tcPr>
                <w:p>
                  <w:pPr>
                    <w:spacing w:line="360" w:lineRule="exact"/>
                    <w:jc w:val="center"/>
                    <w:rPr>
                      <w:szCs w:val="21"/>
                    </w:rPr>
                  </w:pPr>
                  <w:r>
                    <w:rPr>
                      <w:szCs w:val="21"/>
                    </w:rPr>
                    <w:t>坐标</w:t>
                  </w:r>
                </w:p>
              </w:tc>
              <w:tc>
                <w:tcPr>
                  <w:tcW w:w="714" w:type="dxa"/>
                  <w:vMerge w:val="restart"/>
                  <w:vAlign w:val="center"/>
                </w:tcPr>
                <w:p>
                  <w:pPr>
                    <w:spacing w:line="200" w:lineRule="atLeast"/>
                    <w:jc w:val="center"/>
                    <w:rPr>
                      <w:szCs w:val="22"/>
                    </w:rPr>
                  </w:pPr>
                  <w:r>
                    <w:rPr>
                      <w:szCs w:val="22"/>
                    </w:rPr>
                    <w:t>方位</w:t>
                  </w:r>
                </w:p>
              </w:tc>
              <w:tc>
                <w:tcPr>
                  <w:tcW w:w="1134" w:type="dxa"/>
                  <w:vMerge w:val="restart"/>
                  <w:vAlign w:val="center"/>
                </w:tcPr>
                <w:p>
                  <w:pPr>
                    <w:spacing w:line="200" w:lineRule="atLeast"/>
                    <w:jc w:val="center"/>
                    <w:rPr>
                      <w:szCs w:val="22"/>
                    </w:rPr>
                  </w:pPr>
                  <w:r>
                    <w:rPr>
                      <w:szCs w:val="22"/>
                    </w:rPr>
                    <w:t>相对厂界</w:t>
                  </w:r>
                </w:p>
                <w:p>
                  <w:pPr>
                    <w:spacing w:line="200" w:lineRule="atLeast"/>
                    <w:jc w:val="center"/>
                    <w:rPr>
                      <w:szCs w:val="22"/>
                    </w:rPr>
                  </w:pPr>
                  <w:r>
                    <w:rPr>
                      <w:szCs w:val="22"/>
                    </w:rPr>
                    <w:t>距离/m</w:t>
                  </w:r>
                </w:p>
              </w:tc>
              <w:tc>
                <w:tcPr>
                  <w:tcW w:w="709" w:type="dxa"/>
                  <w:vMerge w:val="restart"/>
                  <w:vAlign w:val="center"/>
                </w:tcPr>
                <w:p>
                  <w:pPr>
                    <w:spacing w:line="200" w:lineRule="atLeast"/>
                    <w:jc w:val="center"/>
                    <w:rPr>
                      <w:szCs w:val="22"/>
                    </w:rPr>
                  </w:pPr>
                  <w:r>
                    <w:rPr>
                      <w:szCs w:val="22"/>
                    </w:rPr>
                    <w:t>保护对象</w:t>
                  </w:r>
                </w:p>
              </w:tc>
              <w:tc>
                <w:tcPr>
                  <w:tcW w:w="992" w:type="dxa"/>
                  <w:vMerge w:val="restart"/>
                  <w:vAlign w:val="center"/>
                </w:tcPr>
                <w:p>
                  <w:pPr>
                    <w:spacing w:line="200" w:lineRule="atLeast"/>
                    <w:jc w:val="center"/>
                    <w:rPr>
                      <w:szCs w:val="22"/>
                    </w:rPr>
                  </w:pPr>
                  <w:r>
                    <w:rPr>
                      <w:szCs w:val="22"/>
                    </w:rPr>
                    <w:t>保护内容</w:t>
                  </w:r>
                </w:p>
                <w:p>
                  <w:pPr>
                    <w:spacing w:line="200" w:lineRule="atLeast"/>
                    <w:jc w:val="center"/>
                    <w:rPr>
                      <w:szCs w:val="22"/>
                    </w:rPr>
                  </w:pPr>
                  <w:r>
                    <w:rPr>
                      <w:szCs w:val="21"/>
                    </w:rPr>
                    <w:t>人口</w:t>
                  </w:r>
                </w:p>
              </w:tc>
              <w:tc>
                <w:tcPr>
                  <w:tcW w:w="709" w:type="dxa"/>
                  <w:vMerge w:val="restart"/>
                  <w:vAlign w:val="center"/>
                </w:tcPr>
                <w:p>
                  <w:pPr>
                    <w:spacing w:line="200" w:lineRule="atLeast"/>
                    <w:jc w:val="center"/>
                    <w:rPr>
                      <w:szCs w:val="22"/>
                    </w:rPr>
                  </w:pPr>
                  <w:r>
                    <w:rPr>
                      <w:szCs w:val="22"/>
                    </w:rPr>
                    <w:t>功能区划</w:t>
                  </w:r>
                </w:p>
              </w:tc>
              <w:tc>
                <w:tcPr>
                  <w:tcW w:w="850" w:type="dxa"/>
                  <w:vMerge w:val="restart"/>
                  <w:vAlign w:val="center"/>
                </w:tcPr>
                <w:p>
                  <w:pPr>
                    <w:spacing w:line="200" w:lineRule="atLeast"/>
                    <w:jc w:val="center"/>
                    <w:rPr>
                      <w:szCs w:val="22"/>
                    </w:rPr>
                  </w:pPr>
                  <w:r>
                    <w:rPr>
                      <w:szCs w:val="22"/>
                    </w:rPr>
                    <w:t>执行</w:t>
                  </w:r>
                </w:p>
                <w:p>
                  <w:pPr>
                    <w:spacing w:line="200" w:lineRule="atLeast"/>
                    <w:jc w:val="center"/>
                    <w:rPr>
                      <w:szCs w:val="22"/>
                    </w:rPr>
                  </w:pPr>
                  <w:r>
                    <w:rPr>
                      <w:szCs w:val="2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7" w:hRule="atLeast"/>
              </w:trPr>
              <w:tc>
                <w:tcPr>
                  <w:tcW w:w="709" w:type="dxa"/>
                  <w:vMerge w:val="continue"/>
                  <w:vAlign w:val="center"/>
                </w:tcPr>
                <w:p>
                  <w:pPr>
                    <w:spacing w:line="360" w:lineRule="exact"/>
                    <w:jc w:val="center"/>
                    <w:rPr>
                      <w:szCs w:val="21"/>
                    </w:rPr>
                  </w:pPr>
                </w:p>
              </w:tc>
              <w:tc>
                <w:tcPr>
                  <w:tcW w:w="992" w:type="dxa"/>
                  <w:vMerge w:val="continue"/>
                  <w:vAlign w:val="center"/>
                </w:tcPr>
                <w:p>
                  <w:pPr>
                    <w:spacing w:line="360" w:lineRule="exact"/>
                    <w:jc w:val="center"/>
                    <w:rPr>
                      <w:szCs w:val="21"/>
                    </w:rPr>
                  </w:pPr>
                </w:p>
              </w:tc>
              <w:tc>
                <w:tcPr>
                  <w:tcW w:w="1276" w:type="dxa"/>
                  <w:vAlign w:val="center"/>
                </w:tcPr>
                <w:p>
                  <w:pPr>
                    <w:spacing w:line="360" w:lineRule="exact"/>
                    <w:jc w:val="center"/>
                    <w:rPr>
                      <w:szCs w:val="21"/>
                    </w:rPr>
                  </w:pPr>
                  <w:r>
                    <w:rPr>
                      <w:szCs w:val="21"/>
                    </w:rPr>
                    <w:t>X</w:t>
                  </w:r>
                  <w:r>
                    <w:rPr>
                      <w:rFonts w:hint="eastAsia"/>
                      <w:szCs w:val="21"/>
                    </w:rPr>
                    <w:t>（经度）</w:t>
                  </w:r>
                </w:p>
              </w:tc>
              <w:tc>
                <w:tcPr>
                  <w:tcW w:w="1129" w:type="dxa"/>
                  <w:vAlign w:val="center"/>
                </w:tcPr>
                <w:p>
                  <w:pPr>
                    <w:spacing w:line="360" w:lineRule="exact"/>
                    <w:jc w:val="center"/>
                    <w:rPr>
                      <w:szCs w:val="21"/>
                    </w:rPr>
                  </w:pPr>
                  <w:r>
                    <w:rPr>
                      <w:szCs w:val="21"/>
                    </w:rPr>
                    <w:t>Y</w:t>
                  </w:r>
                  <w:r>
                    <w:rPr>
                      <w:rFonts w:hint="eastAsia"/>
                      <w:szCs w:val="21"/>
                    </w:rPr>
                    <w:t>（纬度）</w:t>
                  </w:r>
                </w:p>
              </w:tc>
              <w:tc>
                <w:tcPr>
                  <w:tcW w:w="714" w:type="dxa"/>
                  <w:vMerge w:val="continue"/>
                  <w:vAlign w:val="center"/>
                </w:tcPr>
                <w:p>
                  <w:pPr>
                    <w:spacing w:line="200" w:lineRule="atLeast"/>
                    <w:jc w:val="center"/>
                    <w:rPr>
                      <w:szCs w:val="22"/>
                    </w:rPr>
                  </w:pPr>
                </w:p>
              </w:tc>
              <w:tc>
                <w:tcPr>
                  <w:tcW w:w="1134" w:type="dxa"/>
                  <w:vMerge w:val="continue"/>
                  <w:vAlign w:val="center"/>
                </w:tcPr>
                <w:p>
                  <w:pPr>
                    <w:spacing w:line="200" w:lineRule="atLeast"/>
                    <w:jc w:val="center"/>
                    <w:rPr>
                      <w:szCs w:val="22"/>
                    </w:rPr>
                  </w:pPr>
                </w:p>
              </w:tc>
              <w:tc>
                <w:tcPr>
                  <w:tcW w:w="709" w:type="dxa"/>
                  <w:vMerge w:val="continue"/>
                  <w:vAlign w:val="center"/>
                </w:tcPr>
                <w:p>
                  <w:pPr>
                    <w:spacing w:line="200" w:lineRule="atLeast"/>
                    <w:jc w:val="center"/>
                    <w:rPr>
                      <w:szCs w:val="22"/>
                    </w:rPr>
                  </w:pPr>
                </w:p>
              </w:tc>
              <w:tc>
                <w:tcPr>
                  <w:tcW w:w="992" w:type="dxa"/>
                  <w:vMerge w:val="continue"/>
                  <w:vAlign w:val="center"/>
                </w:tcPr>
                <w:p>
                  <w:pPr>
                    <w:spacing w:line="200" w:lineRule="atLeast"/>
                    <w:jc w:val="center"/>
                    <w:rPr>
                      <w:szCs w:val="22"/>
                    </w:rPr>
                  </w:pPr>
                </w:p>
              </w:tc>
              <w:tc>
                <w:tcPr>
                  <w:tcW w:w="709" w:type="dxa"/>
                  <w:vMerge w:val="continue"/>
                  <w:vAlign w:val="center"/>
                </w:tcPr>
                <w:p>
                  <w:pPr>
                    <w:spacing w:line="200" w:lineRule="atLeast"/>
                    <w:jc w:val="center"/>
                    <w:rPr>
                      <w:szCs w:val="22"/>
                    </w:rPr>
                  </w:pPr>
                </w:p>
              </w:tc>
              <w:tc>
                <w:tcPr>
                  <w:tcW w:w="850" w:type="dxa"/>
                  <w:vMerge w:val="continue"/>
                  <w:vAlign w:val="center"/>
                </w:tcPr>
                <w:p>
                  <w:pPr>
                    <w:spacing w:line="200" w:lineRule="atLeast"/>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5" w:hRule="atLeast"/>
              </w:trPr>
              <w:tc>
                <w:tcPr>
                  <w:tcW w:w="709" w:type="dxa"/>
                  <w:vMerge w:val="restart"/>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环境</w:t>
                  </w:r>
                </w:p>
                <w:p>
                  <w:pPr>
                    <w:adjustRightInd w:val="0"/>
                    <w:snapToGrid w:val="0"/>
                    <w:spacing w:line="400" w:lineRule="exact"/>
                    <w:jc w:val="center"/>
                    <w:rPr>
                      <w:rFonts w:hAnsi="宋体"/>
                      <w:color w:val="000000" w:themeColor="text1"/>
                      <w:szCs w:val="21"/>
                    </w:rPr>
                  </w:pPr>
                  <w:r>
                    <w:rPr>
                      <w:rFonts w:hint="eastAsia"/>
                      <w:bCs/>
                      <w:color w:val="000000" w:themeColor="text1"/>
                      <w:szCs w:val="21"/>
                    </w:rPr>
                    <w:t>空气</w:t>
                  </w: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师家寨</w:t>
                  </w:r>
                </w:p>
              </w:tc>
              <w:tc>
                <w:tcPr>
                  <w:tcW w:w="1276" w:type="dxa"/>
                  <w:vAlign w:val="center"/>
                </w:tcPr>
                <w:p>
                  <w:pPr>
                    <w:spacing w:line="360" w:lineRule="exact"/>
                    <w:jc w:val="center"/>
                    <w:rPr>
                      <w:szCs w:val="21"/>
                    </w:rPr>
                  </w:pPr>
                  <w:r>
                    <w:rPr>
                      <w:szCs w:val="21"/>
                    </w:rPr>
                    <w:t>112.714534</w:t>
                  </w:r>
                </w:p>
              </w:tc>
              <w:tc>
                <w:tcPr>
                  <w:tcW w:w="1129" w:type="dxa"/>
                  <w:vAlign w:val="center"/>
                </w:tcPr>
                <w:p>
                  <w:pPr>
                    <w:spacing w:line="360" w:lineRule="exact"/>
                    <w:jc w:val="center"/>
                    <w:rPr>
                      <w:szCs w:val="21"/>
                    </w:rPr>
                  </w:pPr>
                  <w:r>
                    <w:rPr>
                      <w:szCs w:val="21"/>
                    </w:rPr>
                    <w:t>34.623144</w:t>
                  </w:r>
                </w:p>
              </w:tc>
              <w:tc>
                <w:tcPr>
                  <w:tcW w:w="714" w:type="dxa"/>
                  <w:shd w:val="clear" w:color="auto" w:fill="auto"/>
                  <w:vAlign w:val="center"/>
                </w:tcPr>
                <w:p>
                  <w:pPr>
                    <w:spacing w:line="360" w:lineRule="exact"/>
                    <w:jc w:val="center"/>
                    <w:rPr>
                      <w:szCs w:val="21"/>
                    </w:rPr>
                  </w:pPr>
                  <w:r>
                    <w:rPr>
                      <w:rFonts w:hint="eastAsia"/>
                      <w:bCs/>
                      <w:color w:val="000000" w:themeColor="text1"/>
                      <w:szCs w:val="21"/>
                    </w:rPr>
                    <w:t>东北</w:t>
                  </w:r>
                </w:p>
              </w:tc>
              <w:tc>
                <w:tcPr>
                  <w:tcW w:w="1134"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45m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lang w:val="en-US" w:eastAsia="zh-CN"/>
                    </w:rPr>
                    <w:t>14</w:t>
                  </w:r>
                  <w:r>
                    <w:rPr>
                      <w:rFonts w:hint="eastAsia"/>
                      <w:szCs w:val="21"/>
                    </w:rPr>
                    <w:t>15</w:t>
                  </w:r>
                </w:p>
              </w:tc>
              <w:tc>
                <w:tcPr>
                  <w:tcW w:w="709" w:type="dxa"/>
                  <w:vMerge w:val="restart"/>
                  <w:shd w:val="clear" w:color="auto" w:fill="auto"/>
                  <w:vAlign w:val="center"/>
                </w:tcPr>
                <w:p>
                  <w:pPr>
                    <w:spacing w:line="360" w:lineRule="exact"/>
                    <w:jc w:val="center"/>
                    <w:rPr>
                      <w:szCs w:val="21"/>
                    </w:rPr>
                  </w:pPr>
                  <w:r>
                    <w:t>二类</w:t>
                  </w:r>
                </w:p>
              </w:tc>
              <w:tc>
                <w:tcPr>
                  <w:tcW w:w="850" w:type="dxa"/>
                  <w:vMerge w:val="restart"/>
                  <w:shd w:val="clear" w:color="auto" w:fill="auto"/>
                  <w:vAlign w:val="center"/>
                </w:tcPr>
                <w:p>
                  <w:pPr>
                    <w:spacing w:line="360" w:lineRule="exact"/>
                    <w:jc w:val="center"/>
                    <w:rPr>
                      <w:szCs w:val="21"/>
                    </w:rPr>
                  </w:pPr>
                  <w:r>
                    <w:rPr>
                      <w:szCs w:val="21"/>
                    </w:rPr>
                    <w:t>《环境空气质量标准》</w:t>
                  </w:r>
                  <w:r>
                    <w:t>（GB3095-2012）</w:t>
                  </w:r>
                  <w:r>
                    <w:rPr>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辛村</w:t>
                  </w:r>
                </w:p>
              </w:tc>
              <w:tc>
                <w:tcPr>
                  <w:tcW w:w="1276" w:type="dxa"/>
                  <w:vAlign w:val="center"/>
                </w:tcPr>
                <w:p>
                  <w:pPr>
                    <w:spacing w:line="360" w:lineRule="exact"/>
                    <w:jc w:val="center"/>
                    <w:rPr>
                      <w:szCs w:val="21"/>
                    </w:rPr>
                  </w:pPr>
                  <w:r>
                    <w:rPr>
                      <w:szCs w:val="21"/>
                    </w:rPr>
                    <w:t>112.704835</w:t>
                  </w:r>
                </w:p>
              </w:tc>
              <w:tc>
                <w:tcPr>
                  <w:tcW w:w="1129" w:type="dxa"/>
                  <w:vAlign w:val="center"/>
                </w:tcPr>
                <w:p>
                  <w:pPr>
                    <w:spacing w:line="360" w:lineRule="exact"/>
                    <w:jc w:val="center"/>
                    <w:rPr>
                      <w:szCs w:val="21"/>
                    </w:rPr>
                  </w:pPr>
                  <w:r>
                    <w:rPr>
                      <w:szCs w:val="21"/>
                    </w:rPr>
                    <w:t>34.629200</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西北</w:t>
                  </w:r>
                </w:p>
              </w:tc>
              <w:tc>
                <w:tcPr>
                  <w:tcW w:w="1134" w:type="dxa"/>
                  <w:vAlign w:val="center"/>
                </w:tcPr>
                <w:p>
                  <w:pPr>
                    <w:adjustRightInd w:val="0"/>
                    <w:snapToGrid w:val="0"/>
                    <w:spacing w:line="400" w:lineRule="exact"/>
                    <w:jc w:val="center"/>
                    <w:rPr>
                      <w:bCs/>
                      <w:color w:val="000000" w:themeColor="text1"/>
                      <w:szCs w:val="21"/>
                    </w:rPr>
                  </w:pPr>
                  <w:r>
                    <w:rPr>
                      <w:rFonts w:hint="eastAsia" w:hAnsi="宋体"/>
                      <w:color w:val="000000" w:themeColor="text1"/>
                      <w:szCs w:val="21"/>
                    </w:rPr>
                    <w:t>750m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2360</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高龙村</w:t>
                  </w:r>
                </w:p>
              </w:tc>
              <w:tc>
                <w:tcPr>
                  <w:tcW w:w="1276" w:type="dxa"/>
                  <w:vAlign w:val="center"/>
                </w:tcPr>
                <w:p>
                  <w:pPr>
                    <w:spacing w:line="360" w:lineRule="exact"/>
                    <w:jc w:val="center"/>
                    <w:rPr>
                      <w:szCs w:val="21"/>
                    </w:rPr>
                  </w:pPr>
                  <w:r>
                    <w:rPr>
                      <w:bCs/>
                      <w:szCs w:val="21"/>
                    </w:rPr>
                    <w:t>112.709770</w:t>
                  </w:r>
                </w:p>
              </w:tc>
              <w:tc>
                <w:tcPr>
                  <w:tcW w:w="1129" w:type="dxa"/>
                  <w:vAlign w:val="center"/>
                </w:tcPr>
                <w:p>
                  <w:pPr>
                    <w:spacing w:line="360" w:lineRule="exact"/>
                    <w:jc w:val="center"/>
                    <w:rPr>
                      <w:szCs w:val="21"/>
                    </w:rPr>
                  </w:pPr>
                  <w:r>
                    <w:rPr>
                      <w:bCs/>
                      <w:szCs w:val="21"/>
                    </w:rPr>
                    <w:t>34.617016</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南</w:t>
                  </w:r>
                </w:p>
              </w:tc>
              <w:tc>
                <w:tcPr>
                  <w:tcW w:w="1134"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350m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3320</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谢村</w:t>
                  </w:r>
                </w:p>
              </w:tc>
              <w:tc>
                <w:tcPr>
                  <w:tcW w:w="1276" w:type="dxa"/>
                  <w:vAlign w:val="center"/>
                </w:tcPr>
                <w:p>
                  <w:pPr>
                    <w:spacing w:line="360" w:lineRule="exact"/>
                    <w:jc w:val="center"/>
                    <w:rPr>
                      <w:szCs w:val="21"/>
                    </w:rPr>
                  </w:pPr>
                  <w:r>
                    <w:rPr>
                      <w:szCs w:val="21"/>
                    </w:rPr>
                    <w:t>112.721658</w:t>
                  </w:r>
                </w:p>
              </w:tc>
              <w:tc>
                <w:tcPr>
                  <w:tcW w:w="1129" w:type="dxa"/>
                  <w:vAlign w:val="center"/>
                </w:tcPr>
                <w:p>
                  <w:pPr>
                    <w:spacing w:line="360" w:lineRule="exact"/>
                    <w:jc w:val="center"/>
                    <w:rPr>
                      <w:szCs w:val="21"/>
                    </w:rPr>
                  </w:pPr>
                  <w:r>
                    <w:rPr>
                      <w:szCs w:val="21"/>
                    </w:rPr>
                    <w:t>34.616116</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东南</w:t>
                  </w:r>
                </w:p>
              </w:tc>
              <w:tc>
                <w:tcPr>
                  <w:tcW w:w="1134" w:type="dxa"/>
                  <w:vAlign w:val="center"/>
                </w:tcPr>
                <w:p>
                  <w:pPr>
                    <w:adjustRightInd w:val="0"/>
                    <w:snapToGrid w:val="0"/>
                    <w:spacing w:line="400" w:lineRule="exact"/>
                    <w:jc w:val="center"/>
                    <w:rPr>
                      <w:bCs/>
                      <w:color w:val="000000" w:themeColor="text1"/>
                      <w:szCs w:val="21"/>
                    </w:rPr>
                  </w:pPr>
                  <w:r>
                    <w:rPr>
                      <w:rFonts w:hint="eastAsia" w:hAnsi="宋体"/>
                      <w:color w:val="000000" w:themeColor="text1"/>
                      <w:szCs w:val="21"/>
                    </w:rPr>
                    <w:t>770m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1675</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石牛村</w:t>
                  </w:r>
                </w:p>
              </w:tc>
              <w:tc>
                <w:tcPr>
                  <w:tcW w:w="1276" w:type="dxa"/>
                  <w:vAlign w:val="center"/>
                </w:tcPr>
                <w:p>
                  <w:pPr>
                    <w:spacing w:line="360" w:lineRule="exact"/>
                    <w:jc w:val="center"/>
                    <w:rPr>
                      <w:szCs w:val="21"/>
                    </w:rPr>
                  </w:pPr>
                  <w:r>
                    <w:rPr>
                      <w:szCs w:val="21"/>
                    </w:rPr>
                    <w:t>112.688742</w:t>
                  </w:r>
                </w:p>
              </w:tc>
              <w:tc>
                <w:tcPr>
                  <w:tcW w:w="1129" w:type="dxa"/>
                  <w:vAlign w:val="center"/>
                </w:tcPr>
                <w:p>
                  <w:pPr>
                    <w:spacing w:line="360" w:lineRule="exact"/>
                    <w:jc w:val="center"/>
                    <w:rPr>
                      <w:szCs w:val="21"/>
                    </w:rPr>
                  </w:pPr>
                  <w:r>
                    <w:rPr>
                      <w:szCs w:val="21"/>
                    </w:rPr>
                    <w:t>34.624592</w:t>
                  </w:r>
                </w:p>
              </w:tc>
              <w:tc>
                <w:tcPr>
                  <w:tcW w:w="714" w:type="dxa"/>
                  <w:shd w:val="clear" w:color="auto" w:fill="auto"/>
                  <w:vAlign w:val="center"/>
                </w:tcPr>
                <w:p>
                  <w:pPr>
                    <w:spacing w:line="360" w:lineRule="exact"/>
                    <w:jc w:val="center"/>
                    <w:rPr>
                      <w:szCs w:val="21"/>
                    </w:rPr>
                  </w:pPr>
                  <w:r>
                    <w:rPr>
                      <w:rFonts w:hint="eastAsia"/>
                      <w:bCs/>
                      <w:color w:val="000000" w:themeColor="text1"/>
                      <w:szCs w:val="21"/>
                    </w:rPr>
                    <w:t>西</w:t>
                  </w:r>
                </w:p>
              </w:tc>
              <w:tc>
                <w:tcPr>
                  <w:tcW w:w="1134"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2000m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1655</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高龙镇区</w:t>
                  </w:r>
                </w:p>
              </w:tc>
              <w:tc>
                <w:tcPr>
                  <w:tcW w:w="1276" w:type="dxa"/>
                  <w:vAlign w:val="center"/>
                </w:tcPr>
                <w:p>
                  <w:pPr>
                    <w:spacing w:line="360" w:lineRule="exact"/>
                    <w:jc w:val="center"/>
                    <w:rPr>
                      <w:szCs w:val="21"/>
                    </w:rPr>
                  </w:pPr>
                  <w:r>
                    <w:rPr>
                      <w:szCs w:val="21"/>
                    </w:rPr>
                    <w:t>112.708097</w:t>
                  </w:r>
                </w:p>
              </w:tc>
              <w:tc>
                <w:tcPr>
                  <w:tcW w:w="1129" w:type="dxa"/>
                  <w:vAlign w:val="center"/>
                </w:tcPr>
                <w:p>
                  <w:pPr>
                    <w:spacing w:line="360" w:lineRule="exact"/>
                    <w:jc w:val="center"/>
                    <w:rPr>
                      <w:szCs w:val="21"/>
                    </w:rPr>
                  </w:pPr>
                  <w:r>
                    <w:rPr>
                      <w:szCs w:val="21"/>
                    </w:rPr>
                    <w:t>34.633985</w:t>
                  </w:r>
                </w:p>
              </w:tc>
              <w:tc>
                <w:tcPr>
                  <w:tcW w:w="714" w:type="dxa"/>
                  <w:shd w:val="clear" w:color="auto" w:fill="auto"/>
                  <w:vAlign w:val="center"/>
                </w:tcPr>
                <w:p>
                  <w:pPr>
                    <w:spacing w:line="360" w:lineRule="exact"/>
                    <w:jc w:val="center"/>
                    <w:rPr>
                      <w:szCs w:val="21"/>
                    </w:rPr>
                  </w:pPr>
                  <w:r>
                    <w:rPr>
                      <w:rFonts w:hint="eastAsia"/>
                      <w:bCs/>
                      <w:color w:val="000000" w:themeColor="text1"/>
                      <w:szCs w:val="21"/>
                    </w:rPr>
                    <w:t>北</w:t>
                  </w:r>
                </w:p>
              </w:tc>
              <w:tc>
                <w:tcPr>
                  <w:tcW w:w="1134"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1100m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左村</w:t>
                  </w:r>
                </w:p>
              </w:tc>
              <w:tc>
                <w:tcPr>
                  <w:tcW w:w="1276" w:type="dxa"/>
                  <w:vAlign w:val="center"/>
                </w:tcPr>
                <w:p>
                  <w:pPr>
                    <w:spacing w:line="360" w:lineRule="exact"/>
                    <w:jc w:val="center"/>
                    <w:rPr>
                      <w:szCs w:val="21"/>
                    </w:rPr>
                  </w:pPr>
                  <w:r>
                    <w:rPr>
                      <w:szCs w:val="21"/>
                    </w:rPr>
                    <w:t>112.725649</w:t>
                  </w:r>
                </w:p>
              </w:tc>
              <w:tc>
                <w:tcPr>
                  <w:tcW w:w="1129" w:type="dxa"/>
                  <w:vAlign w:val="center"/>
                </w:tcPr>
                <w:p>
                  <w:pPr>
                    <w:spacing w:line="360" w:lineRule="exact"/>
                    <w:jc w:val="center"/>
                    <w:rPr>
                      <w:szCs w:val="21"/>
                    </w:rPr>
                  </w:pPr>
                  <w:r>
                    <w:rPr>
                      <w:szCs w:val="21"/>
                    </w:rPr>
                    <w:t>34.627982</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东北</w:t>
                  </w:r>
                </w:p>
              </w:tc>
              <w:tc>
                <w:tcPr>
                  <w:tcW w:w="1134"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1100m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2230</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枣园</w:t>
                  </w:r>
                </w:p>
              </w:tc>
              <w:tc>
                <w:tcPr>
                  <w:tcW w:w="1276" w:type="dxa"/>
                  <w:vAlign w:val="center"/>
                </w:tcPr>
                <w:p>
                  <w:pPr>
                    <w:spacing w:line="360" w:lineRule="exact"/>
                    <w:jc w:val="center"/>
                    <w:rPr>
                      <w:szCs w:val="21"/>
                    </w:rPr>
                  </w:pPr>
                  <w:r>
                    <w:rPr>
                      <w:szCs w:val="21"/>
                    </w:rPr>
                    <w:t>112.717109</w:t>
                  </w:r>
                </w:p>
              </w:tc>
              <w:tc>
                <w:tcPr>
                  <w:tcW w:w="1129" w:type="dxa"/>
                  <w:vAlign w:val="center"/>
                </w:tcPr>
                <w:p>
                  <w:pPr>
                    <w:spacing w:line="360" w:lineRule="exact"/>
                    <w:jc w:val="center"/>
                    <w:rPr>
                      <w:szCs w:val="21"/>
                    </w:rPr>
                  </w:pPr>
                  <w:r>
                    <w:rPr>
                      <w:szCs w:val="21"/>
                    </w:rPr>
                    <w:t>34.634267</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北</w:t>
                  </w:r>
                </w:p>
              </w:tc>
              <w:tc>
                <w:tcPr>
                  <w:tcW w:w="1134"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1250m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1310</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atLeast"/>
              </w:trPr>
              <w:tc>
                <w:tcPr>
                  <w:tcW w:w="709" w:type="dxa"/>
                  <w:vMerge w:val="continue"/>
                  <w:vAlign w:val="center"/>
                </w:tcPr>
                <w:p>
                  <w:pPr>
                    <w:adjustRightInd w:val="0"/>
                    <w:snapToGrid w:val="0"/>
                    <w:spacing w:line="400" w:lineRule="exact"/>
                    <w:jc w:val="center"/>
                    <w:rPr>
                      <w:rFonts w:hAnsi="宋体"/>
                      <w:color w:val="000000" w:themeColor="text1"/>
                      <w:szCs w:val="21"/>
                    </w:rPr>
                  </w:pPr>
                </w:p>
              </w:tc>
              <w:tc>
                <w:tcPr>
                  <w:tcW w:w="992"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彭店寨村</w:t>
                  </w:r>
                </w:p>
              </w:tc>
              <w:tc>
                <w:tcPr>
                  <w:tcW w:w="1276" w:type="dxa"/>
                  <w:vAlign w:val="center"/>
                </w:tcPr>
                <w:p>
                  <w:pPr>
                    <w:spacing w:line="360" w:lineRule="exact"/>
                    <w:jc w:val="center"/>
                    <w:rPr>
                      <w:szCs w:val="21"/>
                    </w:rPr>
                  </w:pPr>
                  <w:r>
                    <w:rPr>
                      <w:szCs w:val="21"/>
                    </w:rPr>
                    <w:t>112.686982</w:t>
                  </w:r>
                </w:p>
              </w:tc>
              <w:tc>
                <w:tcPr>
                  <w:tcW w:w="1129" w:type="dxa"/>
                  <w:vAlign w:val="center"/>
                </w:tcPr>
                <w:p>
                  <w:pPr>
                    <w:spacing w:line="360" w:lineRule="exact"/>
                    <w:jc w:val="center"/>
                    <w:rPr>
                      <w:szCs w:val="21"/>
                    </w:rPr>
                  </w:pPr>
                  <w:r>
                    <w:rPr>
                      <w:szCs w:val="21"/>
                    </w:rPr>
                    <w:t>34.638469</w:t>
                  </w:r>
                </w:p>
              </w:tc>
              <w:tc>
                <w:tcPr>
                  <w:tcW w:w="714" w:type="dxa"/>
                  <w:shd w:val="clear" w:color="auto" w:fill="auto"/>
                  <w:vAlign w:val="center"/>
                </w:tcPr>
                <w:p>
                  <w:pPr>
                    <w:spacing w:line="360" w:lineRule="exact"/>
                    <w:jc w:val="center"/>
                    <w:rPr>
                      <w:szCs w:val="21"/>
                    </w:rPr>
                  </w:pPr>
                  <w:r>
                    <w:rPr>
                      <w:rFonts w:hint="eastAsia" w:hAnsi="宋体"/>
                      <w:color w:val="000000" w:themeColor="text1"/>
                      <w:szCs w:val="21"/>
                    </w:rPr>
                    <w:t>西北</w:t>
                  </w:r>
                </w:p>
              </w:tc>
              <w:tc>
                <w:tcPr>
                  <w:tcW w:w="1134"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2500m</w:t>
                  </w:r>
                </w:p>
              </w:tc>
              <w:tc>
                <w:tcPr>
                  <w:tcW w:w="709" w:type="dxa"/>
                  <w:vAlign w:val="center"/>
                </w:tcPr>
                <w:p>
                  <w:pPr>
                    <w:spacing w:line="360" w:lineRule="exact"/>
                    <w:jc w:val="center"/>
                    <w:rPr>
                      <w:szCs w:val="21"/>
                    </w:rPr>
                  </w:pPr>
                  <w:r>
                    <w:rPr>
                      <w:szCs w:val="21"/>
                    </w:rPr>
                    <w:t>村庄</w:t>
                  </w:r>
                </w:p>
              </w:tc>
              <w:tc>
                <w:tcPr>
                  <w:tcW w:w="992" w:type="dxa"/>
                  <w:vAlign w:val="center"/>
                </w:tcPr>
                <w:p>
                  <w:pPr>
                    <w:adjustRightInd w:val="0"/>
                    <w:snapToGrid w:val="0"/>
                    <w:spacing w:line="440" w:lineRule="exact"/>
                    <w:ind w:firstLine="23"/>
                    <w:jc w:val="center"/>
                    <w:rPr>
                      <w:szCs w:val="21"/>
                    </w:rPr>
                  </w:pPr>
                  <w:r>
                    <w:rPr>
                      <w:rFonts w:hint="eastAsia"/>
                      <w:szCs w:val="21"/>
                    </w:rPr>
                    <w:t>1950</w:t>
                  </w:r>
                </w:p>
              </w:tc>
              <w:tc>
                <w:tcPr>
                  <w:tcW w:w="709" w:type="dxa"/>
                  <w:vMerge w:val="continue"/>
                  <w:shd w:val="clear" w:color="auto" w:fill="auto"/>
                  <w:vAlign w:val="center"/>
                </w:tcPr>
                <w:p>
                  <w:pPr>
                    <w:spacing w:line="360" w:lineRule="exact"/>
                    <w:jc w:val="center"/>
                    <w:rPr>
                      <w:szCs w:val="21"/>
                    </w:rPr>
                  </w:pPr>
                </w:p>
              </w:tc>
              <w:tc>
                <w:tcPr>
                  <w:tcW w:w="850" w:type="dxa"/>
                  <w:vMerge w:val="continue"/>
                  <w:shd w:val="clear" w:color="auto" w:fill="auto"/>
                  <w:vAlign w:val="center"/>
                </w:tcPr>
                <w:p>
                  <w:pPr>
                    <w:spacing w:line="360" w:lineRule="exact"/>
                    <w:jc w:val="center"/>
                    <w:rPr>
                      <w:szCs w:val="21"/>
                    </w:rPr>
                  </w:pPr>
                </w:p>
              </w:tc>
            </w:tr>
          </w:tbl>
          <w:p>
            <w:pPr>
              <w:adjustRightInd w:val="0"/>
              <w:snapToGrid w:val="0"/>
              <w:ind w:firstLine="960" w:firstLineChars="400"/>
              <w:rPr>
                <w:rFonts w:ascii="黑体" w:eastAsia="黑体"/>
                <w:color w:val="000000" w:themeColor="text1"/>
                <w:sz w:val="24"/>
                <w:szCs w:val="24"/>
              </w:rPr>
            </w:pPr>
            <w:r>
              <w:rPr>
                <w:rFonts w:ascii="黑体" w:eastAsia="黑体"/>
                <w:color w:val="000000" w:themeColor="text1"/>
                <w:sz w:val="24"/>
                <w:szCs w:val="24"/>
              </w:rPr>
              <w:t>表</w:t>
            </w:r>
            <w:r>
              <w:rPr>
                <w:rFonts w:hint="eastAsia" w:ascii="黑体" w:eastAsia="黑体"/>
                <w:color w:val="000000" w:themeColor="text1"/>
                <w:sz w:val="24"/>
                <w:szCs w:val="24"/>
              </w:rPr>
              <w:t>1</w:t>
            </w:r>
            <w:r>
              <w:rPr>
                <w:rFonts w:hint="eastAsia" w:ascii="黑体" w:eastAsia="黑体"/>
                <w:color w:val="000000" w:themeColor="text1"/>
                <w:sz w:val="24"/>
                <w:szCs w:val="24"/>
                <w:lang w:val="en-US" w:eastAsia="zh-CN"/>
              </w:rPr>
              <w:t>1</w:t>
            </w:r>
            <w:r>
              <w:rPr>
                <w:rFonts w:hint="eastAsia" w:ascii="黑体" w:eastAsia="黑体"/>
                <w:color w:val="000000" w:themeColor="text1"/>
                <w:sz w:val="24"/>
                <w:szCs w:val="24"/>
              </w:rPr>
              <w:t xml:space="preserve">                其他</w:t>
            </w:r>
            <w:r>
              <w:rPr>
                <w:rFonts w:ascii="黑体" w:eastAsia="黑体"/>
                <w:color w:val="000000" w:themeColor="text1"/>
                <w:sz w:val="24"/>
                <w:szCs w:val="24"/>
              </w:rPr>
              <w:t>环境保护目标</w:t>
            </w:r>
          </w:p>
          <w:tbl>
            <w:tblPr>
              <w:tblStyle w:val="27"/>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20"/>
              <w:gridCol w:w="1560"/>
              <w:gridCol w:w="1562"/>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78" w:type="dxa"/>
                  <w:vAlign w:val="center"/>
                </w:tcPr>
                <w:p>
                  <w:pPr>
                    <w:adjustRightInd w:val="0"/>
                    <w:snapToGrid w:val="0"/>
                    <w:spacing w:line="400" w:lineRule="exact"/>
                    <w:jc w:val="center"/>
                    <w:rPr>
                      <w:rFonts w:ascii="宋体"/>
                      <w:color w:val="000000" w:themeColor="text1"/>
                      <w:szCs w:val="21"/>
                    </w:rPr>
                  </w:pPr>
                  <w:r>
                    <w:rPr>
                      <w:rFonts w:hint="eastAsia" w:ascii="宋体"/>
                      <w:color w:val="000000" w:themeColor="text1"/>
                      <w:szCs w:val="21"/>
                    </w:rPr>
                    <w:t>类别</w:t>
                  </w:r>
                </w:p>
              </w:tc>
              <w:tc>
                <w:tcPr>
                  <w:tcW w:w="1820" w:type="dxa"/>
                  <w:vAlign w:val="center"/>
                </w:tcPr>
                <w:p>
                  <w:pPr>
                    <w:adjustRightInd w:val="0"/>
                    <w:snapToGrid w:val="0"/>
                    <w:spacing w:line="400" w:lineRule="exact"/>
                    <w:jc w:val="center"/>
                    <w:rPr>
                      <w:bCs/>
                      <w:color w:val="000000" w:themeColor="text1"/>
                      <w:szCs w:val="21"/>
                    </w:rPr>
                  </w:pPr>
                  <w:r>
                    <w:rPr>
                      <w:rFonts w:hint="eastAsia"/>
                      <w:color w:val="000000" w:themeColor="text1"/>
                      <w:szCs w:val="21"/>
                    </w:rPr>
                    <w:t>保护目标</w:t>
                  </w:r>
                </w:p>
              </w:tc>
              <w:tc>
                <w:tcPr>
                  <w:tcW w:w="1560"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位置</w:t>
                  </w:r>
                </w:p>
              </w:tc>
              <w:tc>
                <w:tcPr>
                  <w:tcW w:w="1562"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性质</w:t>
                  </w:r>
                </w:p>
              </w:tc>
              <w:tc>
                <w:tcPr>
                  <w:tcW w:w="3393" w:type="dxa"/>
                  <w:vAlign w:val="center"/>
                </w:tcPr>
                <w:p>
                  <w:pPr>
                    <w:adjustRightInd w:val="0"/>
                    <w:snapToGrid w:val="0"/>
                    <w:spacing w:line="360" w:lineRule="exact"/>
                    <w:jc w:val="center"/>
                    <w:rPr>
                      <w:rFonts w:ascii="宋体"/>
                      <w:b/>
                      <w:color w:val="000000" w:themeColor="text1"/>
                      <w:szCs w:val="21"/>
                    </w:rPr>
                  </w:pPr>
                  <w:r>
                    <w:rPr>
                      <w:rFonts w:hint="eastAsia"/>
                      <w:bCs/>
                      <w:color w:val="000000" w:themeColor="text1"/>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78" w:type="dxa"/>
                  <w:vAlign w:val="center"/>
                </w:tcPr>
                <w:p>
                  <w:pPr>
                    <w:adjustRightInd w:val="0"/>
                    <w:snapToGrid w:val="0"/>
                    <w:spacing w:line="400" w:lineRule="exact"/>
                    <w:jc w:val="center"/>
                    <w:rPr>
                      <w:rFonts w:ascii="宋体"/>
                      <w:color w:val="000000" w:themeColor="text1"/>
                      <w:szCs w:val="21"/>
                    </w:rPr>
                  </w:pPr>
                  <w:r>
                    <w:rPr>
                      <w:rFonts w:hint="eastAsia" w:ascii="宋体"/>
                      <w:color w:val="000000" w:themeColor="text1"/>
                      <w:szCs w:val="21"/>
                    </w:rPr>
                    <w:t>声环境</w:t>
                  </w:r>
                </w:p>
              </w:tc>
              <w:tc>
                <w:tcPr>
                  <w:tcW w:w="1820"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师家寨</w:t>
                  </w:r>
                </w:p>
              </w:tc>
              <w:tc>
                <w:tcPr>
                  <w:tcW w:w="1560"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东北</w:t>
                  </w:r>
                  <w:r>
                    <w:rPr>
                      <w:rFonts w:hint="eastAsia"/>
                      <w:bCs/>
                      <w:color w:val="000000" w:themeColor="text1"/>
                      <w:szCs w:val="21"/>
                      <w:lang w:val="en-US" w:eastAsia="zh-CN"/>
                    </w:rPr>
                    <w:t>45</w:t>
                  </w:r>
                  <w:r>
                    <w:rPr>
                      <w:rFonts w:hint="eastAsia"/>
                      <w:bCs/>
                      <w:color w:val="000000" w:themeColor="text1"/>
                      <w:szCs w:val="21"/>
                    </w:rPr>
                    <w:t>m</w:t>
                  </w:r>
                </w:p>
              </w:tc>
              <w:tc>
                <w:tcPr>
                  <w:tcW w:w="1562" w:type="dxa"/>
                  <w:vAlign w:val="center"/>
                </w:tcPr>
                <w:p>
                  <w:pPr>
                    <w:adjustRightInd w:val="0"/>
                    <w:snapToGrid w:val="0"/>
                    <w:spacing w:line="400" w:lineRule="exact"/>
                    <w:jc w:val="center"/>
                    <w:rPr>
                      <w:color w:val="000000" w:themeColor="text1"/>
                      <w:szCs w:val="21"/>
                    </w:rPr>
                  </w:pPr>
                  <w:r>
                    <w:rPr>
                      <w:rFonts w:hint="eastAsia"/>
                      <w:color w:val="000000" w:themeColor="text1"/>
                      <w:szCs w:val="21"/>
                    </w:rPr>
                    <w:t>居民区</w:t>
                  </w:r>
                </w:p>
              </w:tc>
              <w:tc>
                <w:tcPr>
                  <w:tcW w:w="3393" w:type="dxa"/>
                  <w:vAlign w:val="center"/>
                </w:tcPr>
                <w:p>
                  <w:pPr>
                    <w:adjustRightInd w:val="0"/>
                    <w:snapToGrid w:val="0"/>
                    <w:spacing w:line="360" w:lineRule="exact"/>
                    <w:jc w:val="center"/>
                    <w:rPr>
                      <w:bCs/>
                      <w:color w:val="000000" w:themeColor="text1"/>
                      <w:szCs w:val="21"/>
                    </w:rPr>
                  </w:pPr>
                  <w:r>
                    <w:rPr>
                      <w:rFonts w:hint="eastAsia"/>
                      <w:bCs/>
                      <w:color w:val="000000" w:themeColor="text1"/>
                      <w:szCs w:val="21"/>
                    </w:rPr>
                    <w:t>《声环境质量标准》（GB 3096-2008）表1中2类标准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78" w:type="dxa"/>
                  <w:vAlign w:val="center"/>
                </w:tcPr>
                <w:p>
                  <w:pPr>
                    <w:adjustRightInd w:val="0"/>
                    <w:snapToGrid w:val="0"/>
                    <w:spacing w:line="400" w:lineRule="exact"/>
                    <w:jc w:val="center"/>
                    <w:rPr>
                      <w:bCs/>
                      <w:color w:val="000000" w:themeColor="text1"/>
                      <w:szCs w:val="21"/>
                    </w:rPr>
                  </w:pPr>
                  <w:r>
                    <w:rPr>
                      <w:rFonts w:hint="eastAsia"/>
                      <w:bCs/>
                      <w:color w:val="000000" w:themeColor="text1"/>
                      <w:szCs w:val="21"/>
                    </w:rPr>
                    <w:t>文物</w:t>
                  </w:r>
                </w:p>
              </w:tc>
              <w:tc>
                <w:tcPr>
                  <w:tcW w:w="1820" w:type="dxa"/>
                  <w:vAlign w:val="center"/>
                </w:tcPr>
                <w:p>
                  <w:pPr>
                    <w:adjustRightInd w:val="0"/>
                    <w:snapToGrid w:val="0"/>
                    <w:spacing w:line="400" w:lineRule="exact"/>
                    <w:jc w:val="center"/>
                    <w:rPr>
                      <w:rFonts w:hAnsi="宋体"/>
                      <w:color w:val="000000" w:themeColor="text1"/>
                      <w:szCs w:val="21"/>
                    </w:rPr>
                  </w:pPr>
                  <w:r>
                    <w:rPr>
                      <w:rFonts w:hint="eastAsia" w:hAnsi="宋体"/>
                      <w:color w:val="000000" w:themeColor="text1"/>
                      <w:szCs w:val="21"/>
                    </w:rPr>
                    <w:t>东汉陵墓南兆域</w:t>
                  </w:r>
                </w:p>
              </w:tc>
              <w:tc>
                <w:tcPr>
                  <w:tcW w:w="6515" w:type="dxa"/>
                  <w:gridSpan w:val="3"/>
                  <w:vAlign w:val="center"/>
                </w:tcPr>
                <w:p>
                  <w:pPr>
                    <w:adjustRightInd w:val="0"/>
                    <w:snapToGrid w:val="0"/>
                    <w:spacing w:line="400" w:lineRule="exact"/>
                    <w:ind w:firstLine="210" w:firstLineChars="100"/>
                    <w:rPr>
                      <w:bCs/>
                      <w:color w:val="000000" w:themeColor="text1"/>
                      <w:szCs w:val="21"/>
                    </w:rPr>
                  </w:pPr>
                  <w:r>
                    <w:rPr>
                      <w:rFonts w:hint="eastAsia"/>
                      <w:bCs/>
                      <w:color w:val="000000" w:themeColor="text1"/>
                      <w:szCs w:val="21"/>
                    </w:rPr>
                    <w:t>本项目位于</w:t>
                  </w:r>
                  <w:r>
                    <w:rPr>
                      <w:rFonts w:hint="eastAsia" w:hAnsi="宋体"/>
                      <w:color w:val="000000" w:themeColor="text1"/>
                      <w:szCs w:val="21"/>
                    </w:rPr>
                    <w:t>东汉陵墓南兆域</w:t>
                  </w:r>
                  <w:r>
                    <w:rPr>
                      <w:rFonts w:hint="eastAsia"/>
                      <w:bCs/>
                      <w:color w:val="000000" w:themeColor="text1"/>
                      <w:szCs w:val="21"/>
                    </w:rPr>
                    <w:t>建设控制地带范围内，厂区边界距离东汉陵墓南兆域保护区边界最近距离为900m（南厂界）。</w:t>
                  </w:r>
                </w:p>
              </w:tc>
            </w:tr>
          </w:tbl>
          <w:p>
            <w:pPr>
              <w:adjustRightInd w:val="0"/>
              <w:snapToGrid w:val="0"/>
              <w:spacing w:line="360" w:lineRule="auto"/>
              <w:ind w:firstLine="480" w:firstLineChars="200"/>
              <w:rPr>
                <w:rFonts w:eastAsia="黑体"/>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rPr>
          <w:rFonts w:ascii="宋体"/>
          <w:b/>
          <w:sz w:val="32"/>
        </w:rPr>
      </w:pPr>
      <w:r>
        <w:rPr>
          <w:rFonts w:hint="eastAsia" w:ascii="宋体"/>
          <w:b/>
          <w:sz w:val="32"/>
        </w:rPr>
        <w:t>评价适用标准</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39" w:hRule="atLeast"/>
        </w:trPr>
        <w:tc>
          <w:tcPr>
            <w:tcW w:w="675" w:type="dxa"/>
            <w:vAlign w:val="center"/>
          </w:tcPr>
          <w:p>
            <w:pPr>
              <w:snapToGrid w:val="0"/>
              <w:spacing w:line="288" w:lineRule="auto"/>
              <w:jc w:val="center"/>
              <w:rPr>
                <w:rFonts w:ascii="宋体"/>
                <w:b/>
                <w:bCs/>
                <w:sz w:val="28"/>
              </w:rPr>
            </w:pPr>
            <w:r>
              <w:rPr>
                <w:rFonts w:hint="eastAsia" w:ascii="宋体"/>
                <w:b/>
                <w:bCs/>
                <w:sz w:val="28"/>
              </w:rPr>
              <w:t>环</w:t>
            </w:r>
          </w:p>
          <w:p>
            <w:pPr>
              <w:snapToGrid w:val="0"/>
              <w:spacing w:line="288" w:lineRule="auto"/>
              <w:jc w:val="center"/>
              <w:rPr>
                <w:rFonts w:ascii="宋体"/>
                <w:b/>
                <w:bCs/>
                <w:sz w:val="28"/>
              </w:rPr>
            </w:pPr>
            <w:r>
              <w:rPr>
                <w:rFonts w:hint="eastAsia" w:ascii="宋体"/>
                <w:b/>
                <w:bCs/>
                <w:sz w:val="28"/>
              </w:rPr>
              <w:t>境</w:t>
            </w:r>
          </w:p>
          <w:p>
            <w:pPr>
              <w:snapToGrid w:val="0"/>
              <w:spacing w:line="288" w:lineRule="auto"/>
              <w:jc w:val="center"/>
              <w:rPr>
                <w:rFonts w:ascii="宋体"/>
                <w:b/>
                <w:bCs/>
                <w:sz w:val="28"/>
              </w:rPr>
            </w:pPr>
            <w:r>
              <w:rPr>
                <w:rFonts w:hint="eastAsia" w:ascii="宋体"/>
                <w:b/>
                <w:bCs/>
                <w:sz w:val="28"/>
              </w:rPr>
              <w:t>质</w:t>
            </w:r>
          </w:p>
          <w:p>
            <w:pPr>
              <w:snapToGrid w:val="0"/>
              <w:spacing w:line="288" w:lineRule="auto"/>
              <w:jc w:val="center"/>
              <w:rPr>
                <w:rFonts w:ascii="宋体"/>
                <w:b/>
                <w:bCs/>
                <w:sz w:val="28"/>
              </w:rPr>
            </w:pPr>
            <w:r>
              <w:rPr>
                <w:rFonts w:hint="eastAsia" w:ascii="宋体"/>
                <w:b/>
                <w:bCs/>
                <w:sz w:val="28"/>
              </w:rPr>
              <w:t>量</w:t>
            </w:r>
          </w:p>
          <w:p>
            <w:pPr>
              <w:snapToGrid w:val="0"/>
              <w:spacing w:line="288" w:lineRule="auto"/>
              <w:jc w:val="center"/>
              <w:rPr>
                <w:rFonts w:ascii="宋体"/>
                <w:b/>
                <w:bCs/>
                <w:sz w:val="28"/>
              </w:rPr>
            </w:pPr>
            <w:r>
              <w:rPr>
                <w:rFonts w:hint="eastAsia" w:ascii="宋体"/>
                <w:b/>
                <w:bCs/>
                <w:sz w:val="28"/>
              </w:rPr>
              <w:t>标</w:t>
            </w:r>
          </w:p>
          <w:p>
            <w:pPr>
              <w:snapToGrid w:val="0"/>
              <w:spacing w:line="288" w:lineRule="auto"/>
              <w:jc w:val="center"/>
              <w:rPr>
                <w:rFonts w:ascii="宋体"/>
                <w:b/>
                <w:bCs/>
                <w:sz w:val="28"/>
              </w:rPr>
            </w:pPr>
            <w:r>
              <w:rPr>
                <w:rFonts w:hint="eastAsia" w:ascii="宋体"/>
                <w:b/>
                <w:bCs/>
                <w:sz w:val="28"/>
              </w:rPr>
              <w:t>准</w:t>
            </w:r>
          </w:p>
        </w:tc>
        <w:tc>
          <w:tcPr>
            <w:tcW w:w="8895" w:type="dxa"/>
          </w:tcPr>
          <w:p>
            <w:pPr>
              <w:spacing w:line="360" w:lineRule="auto"/>
              <w:rPr>
                <w:color w:val="000000"/>
                <w:sz w:val="24"/>
                <w:szCs w:val="24"/>
              </w:rPr>
            </w:pPr>
            <w:r>
              <w:rPr>
                <w:color w:val="000000"/>
                <w:sz w:val="24"/>
                <w:szCs w:val="24"/>
              </w:rPr>
              <w:t>1、《环境空气质量标准》</w:t>
            </w:r>
            <w:r>
              <w:rPr>
                <w:rFonts w:hint="eastAsia"/>
                <w:color w:val="000000"/>
                <w:sz w:val="24"/>
                <w:szCs w:val="24"/>
              </w:rPr>
              <w:t>（</w:t>
            </w:r>
            <w:r>
              <w:rPr>
                <w:color w:val="000000"/>
                <w:sz w:val="24"/>
                <w:szCs w:val="24"/>
              </w:rPr>
              <w:t>GB3095—</w:t>
            </w:r>
            <w:r>
              <w:rPr>
                <w:rFonts w:hint="eastAsia"/>
                <w:color w:val="000000"/>
                <w:sz w:val="24"/>
                <w:szCs w:val="24"/>
              </w:rPr>
              <w:t>2012）</w:t>
            </w:r>
            <w:r>
              <w:rPr>
                <w:color w:val="000000"/>
                <w:sz w:val="24"/>
                <w:szCs w:val="24"/>
              </w:rPr>
              <w:t>二级</w:t>
            </w:r>
          </w:p>
          <w:p>
            <w:pPr>
              <w:spacing w:line="360" w:lineRule="auto"/>
              <w:ind w:firstLine="525" w:firstLineChars="250"/>
              <w:rPr>
                <w:color w:val="000000"/>
                <w:szCs w:val="21"/>
              </w:rPr>
            </w:pPr>
            <w:r>
              <w:rPr>
                <w:color w:val="000000"/>
                <w:szCs w:val="21"/>
              </w:rPr>
              <w:t>PM</w:t>
            </w:r>
            <w:r>
              <w:rPr>
                <w:color w:val="000000"/>
                <w:szCs w:val="21"/>
                <w:vertAlign w:val="subscript"/>
              </w:rPr>
              <w:t>10</w:t>
            </w:r>
            <w:r>
              <w:rPr>
                <w:color w:val="000000"/>
                <w:szCs w:val="21"/>
              </w:rPr>
              <w:t>：日平均浓度150μg/m</w:t>
            </w:r>
            <w:r>
              <w:rPr>
                <w:rFonts w:hint="eastAsia"/>
                <w:color w:val="000000"/>
                <w:szCs w:val="21"/>
                <w:vertAlign w:val="superscript"/>
              </w:rPr>
              <w:t>3</w:t>
            </w:r>
            <w:r>
              <w:rPr>
                <w:rFonts w:hint="eastAsia"/>
                <w:color w:val="000000"/>
                <w:szCs w:val="21"/>
              </w:rPr>
              <w:t>，</w:t>
            </w:r>
            <w:r>
              <w:rPr>
                <w:rFonts w:hint="eastAsia" w:hAnsi="Calibri"/>
                <w:szCs w:val="21"/>
              </w:rPr>
              <w:t>年均浓度70</w:t>
            </w:r>
            <w:r>
              <w:rPr>
                <w:color w:val="000000"/>
                <w:szCs w:val="21"/>
              </w:rPr>
              <w:t>μg/m</w:t>
            </w:r>
            <w:r>
              <w:rPr>
                <w:rFonts w:hint="eastAsia"/>
                <w:color w:val="000000"/>
                <w:szCs w:val="21"/>
                <w:vertAlign w:val="superscript"/>
              </w:rPr>
              <w:t>3</w:t>
            </w:r>
          </w:p>
          <w:p>
            <w:pPr>
              <w:spacing w:line="360" w:lineRule="auto"/>
              <w:ind w:firstLine="525" w:firstLineChars="250"/>
              <w:rPr>
                <w:color w:val="000000"/>
                <w:szCs w:val="21"/>
              </w:rPr>
            </w:pPr>
            <w:r>
              <w:rPr>
                <w:color w:val="000000"/>
                <w:szCs w:val="21"/>
              </w:rPr>
              <w:t>SO</w:t>
            </w:r>
            <w:r>
              <w:rPr>
                <w:color w:val="000000"/>
                <w:szCs w:val="21"/>
                <w:vertAlign w:val="subscript"/>
              </w:rPr>
              <w:t>2</w:t>
            </w:r>
            <w:r>
              <w:rPr>
                <w:color w:val="000000"/>
                <w:szCs w:val="21"/>
              </w:rPr>
              <w:t>：1小时平均浓度500μg/m</w:t>
            </w:r>
            <w:r>
              <w:rPr>
                <w:rFonts w:hint="eastAsia"/>
                <w:color w:val="000000"/>
                <w:szCs w:val="21"/>
                <w:vertAlign w:val="superscript"/>
              </w:rPr>
              <w:t>3</w:t>
            </w:r>
            <w:r>
              <w:rPr>
                <w:color w:val="000000"/>
                <w:szCs w:val="21"/>
              </w:rPr>
              <w:t>，日平均浓度150μg/m</w:t>
            </w:r>
            <w:r>
              <w:rPr>
                <w:rFonts w:hint="eastAsia"/>
                <w:color w:val="000000"/>
                <w:szCs w:val="21"/>
                <w:vertAlign w:val="superscript"/>
              </w:rPr>
              <w:t>3</w:t>
            </w:r>
            <w:r>
              <w:rPr>
                <w:rFonts w:hint="eastAsia"/>
                <w:color w:val="000000"/>
                <w:szCs w:val="21"/>
              </w:rPr>
              <w:t>，</w:t>
            </w:r>
            <w:r>
              <w:rPr>
                <w:rFonts w:hint="eastAsia" w:hAnsi="Calibri"/>
                <w:szCs w:val="21"/>
              </w:rPr>
              <w:t>年均浓度60</w:t>
            </w:r>
            <w:r>
              <w:rPr>
                <w:color w:val="000000"/>
                <w:szCs w:val="21"/>
              </w:rPr>
              <w:t>μg/m</w:t>
            </w:r>
            <w:r>
              <w:rPr>
                <w:rFonts w:hint="eastAsia"/>
                <w:color w:val="000000"/>
                <w:szCs w:val="21"/>
                <w:vertAlign w:val="superscript"/>
              </w:rPr>
              <w:t>3</w:t>
            </w:r>
          </w:p>
          <w:p>
            <w:pPr>
              <w:spacing w:line="360" w:lineRule="auto"/>
              <w:ind w:firstLine="525" w:firstLineChars="250"/>
              <w:rPr>
                <w:color w:val="000000"/>
                <w:szCs w:val="21"/>
              </w:rPr>
            </w:pPr>
            <w:r>
              <w:rPr>
                <w:rFonts w:hint="eastAsia"/>
                <w:color w:val="000000"/>
                <w:szCs w:val="21"/>
              </w:rPr>
              <w:t>N</w:t>
            </w:r>
            <w:r>
              <w:rPr>
                <w:color w:val="000000"/>
                <w:szCs w:val="21"/>
              </w:rPr>
              <w:t>O</w:t>
            </w:r>
            <w:r>
              <w:rPr>
                <w:color w:val="000000"/>
                <w:szCs w:val="21"/>
                <w:vertAlign w:val="subscript"/>
              </w:rPr>
              <w:t>2</w:t>
            </w:r>
            <w:r>
              <w:rPr>
                <w:color w:val="000000"/>
                <w:szCs w:val="21"/>
              </w:rPr>
              <w:t>：1小时平均浓度200μg/m</w:t>
            </w:r>
            <w:r>
              <w:rPr>
                <w:rFonts w:hint="eastAsia"/>
                <w:color w:val="000000"/>
                <w:szCs w:val="21"/>
                <w:vertAlign w:val="superscript"/>
              </w:rPr>
              <w:t>3</w:t>
            </w:r>
            <w:r>
              <w:rPr>
                <w:color w:val="000000"/>
                <w:szCs w:val="21"/>
              </w:rPr>
              <w:t>，日平均浓度80μg/m</w:t>
            </w:r>
            <w:r>
              <w:rPr>
                <w:color w:val="000000"/>
                <w:szCs w:val="21"/>
                <w:vertAlign w:val="superscript"/>
              </w:rPr>
              <w:t>3</w:t>
            </w:r>
            <w:r>
              <w:rPr>
                <w:rFonts w:hint="eastAsia"/>
                <w:color w:val="000000"/>
                <w:szCs w:val="21"/>
              </w:rPr>
              <w:t>，</w:t>
            </w:r>
            <w:r>
              <w:rPr>
                <w:rFonts w:hint="eastAsia" w:hAnsi="Calibri"/>
                <w:szCs w:val="21"/>
              </w:rPr>
              <w:t>年均浓度40</w:t>
            </w:r>
            <w:r>
              <w:rPr>
                <w:color w:val="000000"/>
                <w:szCs w:val="21"/>
              </w:rPr>
              <w:t>μg/m</w:t>
            </w:r>
            <w:r>
              <w:rPr>
                <w:color w:val="000000"/>
                <w:szCs w:val="21"/>
                <w:vertAlign w:val="superscript"/>
              </w:rPr>
              <w:t>3</w:t>
            </w:r>
          </w:p>
          <w:p>
            <w:pPr>
              <w:spacing w:line="360" w:lineRule="auto"/>
              <w:ind w:firstLine="525" w:firstLineChars="250"/>
              <w:rPr>
                <w:rFonts w:hAnsi="Calibri"/>
                <w:color w:val="000000" w:themeColor="text1"/>
                <w:szCs w:val="21"/>
              </w:rPr>
            </w:pPr>
            <w:r>
              <w:rPr>
                <w:rFonts w:hint="eastAsia" w:hAnsi="Calibri"/>
                <w:color w:val="000000" w:themeColor="text1"/>
                <w:szCs w:val="21"/>
              </w:rPr>
              <w:t>PM</w:t>
            </w:r>
            <w:r>
              <w:rPr>
                <w:rFonts w:hint="eastAsia" w:hAnsi="Calibri"/>
                <w:color w:val="000000" w:themeColor="text1"/>
                <w:szCs w:val="21"/>
                <w:vertAlign w:val="subscript"/>
              </w:rPr>
              <w:t>2.5</w:t>
            </w:r>
            <w:r>
              <w:rPr>
                <w:rFonts w:hint="eastAsia" w:hAnsi="Calibri"/>
                <w:color w:val="000000" w:themeColor="text1"/>
                <w:szCs w:val="21"/>
              </w:rPr>
              <w:t>：年均浓度35</w:t>
            </w:r>
            <w:r>
              <w:rPr>
                <w:color w:val="000000" w:themeColor="text1"/>
                <w:szCs w:val="21"/>
              </w:rPr>
              <w:t>μg/m</w:t>
            </w:r>
            <w:r>
              <w:rPr>
                <w:rFonts w:hint="eastAsia"/>
                <w:color w:val="000000" w:themeColor="text1"/>
                <w:szCs w:val="21"/>
                <w:vertAlign w:val="superscript"/>
              </w:rPr>
              <w:t>3</w:t>
            </w:r>
          </w:p>
          <w:p>
            <w:pPr>
              <w:spacing w:line="360" w:lineRule="auto"/>
              <w:ind w:firstLine="525" w:firstLineChars="250"/>
              <w:rPr>
                <w:rFonts w:hAnsi="Calibri"/>
                <w:color w:val="000000" w:themeColor="text1"/>
                <w:szCs w:val="21"/>
                <w:vertAlign w:val="superscript"/>
              </w:rPr>
            </w:pPr>
            <w:r>
              <w:rPr>
                <w:rFonts w:hint="eastAsia" w:hAnsi="Calibri"/>
                <w:color w:val="000000" w:themeColor="text1"/>
                <w:szCs w:val="21"/>
              </w:rPr>
              <w:t>CO：24h平均浓度限值4</w:t>
            </w:r>
            <w:r>
              <w:rPr>
                <w:rFonts w:hAnsi="Calibri"/>
                <w:color w:val="000000" w:themeColor="text1"/>
                <w:szCs w:val="21"/>
              </w:rPr>
              <w:t>μg/m</w:t>
            </w:r>
            <w:r>
              <w:rPr>
                <w:rFonts w:hint="eastAsia" w:hAnsi="Calibri"/>
                <w:color w:val="000000" w:themeColor="text1"/>
                <w:szCs w:val="21"/>
                <w:vertAlign w:val="superscript"/>
              </w:rPr>
              <w:t>3</w:t>
            </w:r>
            <w:r>
              <w:rPr>
                <w:rFonts w:hint="eastAsia" w:hAnsi="Calibri"/>
                <w:color w:val="000000" w:themeColor="text1"/>
                <w:szCs w:val="21"/>
              </w:rPr>
              <w:t>；</w:t>
            </w:r>
            <w:r>
              <w:rPr>
                <w:rFonts w:hAnsi="Calibri"/>
                <w:color w:val="000000" w:themeColor="text1"/>
                <w:szCs w:val="21"/>
              </w:rPr>
              <w:t>O</w:t>
            </w:r>
            <w:r>
              <w:rPr>
                <w:rFonts w:hint="eastAsia" w:hAnsi="Calibri"/>
                <w:color w:val="000000" w:themeColor="text1"/>
                <w:szCs w:val="21"/>
                <w:vertAlign w:val="subscript"/>
              </w:rPr>
              <w:t>3</w:t>
            </w:r>
            <w:r>
              <w:rPr>
                <w:rFonts w:hAnsi="Calibri"/>
                <w:color w:val="000000" w:themeColor="text1"/>
                <w:szCs w:val="21"/>
              </w:rPr>
              <w:t>：</w:t>
            </w:r>
            <w:r>
              <w:rPr>
                <w:rFonts w:hint="eastAsia" w:hAnsi="Calibri"/>
                <w:color w:val="000000" w:themeColor="text1"/>
                <w:szCs w:val="21"/>
              </w:rPr>
              <w:t>年平均浓度限值160</w:t>
            </w:r>
            <w:r>
              <w:rPr>
                <w:rFonts w:hAnsi="Calibri"/>
                <w:color w:val="000000" w:themeColor="text1"/>
                <w:szCs w:val="21"/>
              </w:rPr>
              <w:t>μg/m</w:t>
            </w:r>
            <w:r>
              <w:rPr>
                <w:rFonts w:hint="eastAsia" w:hAnsi="Calibri"/>
                <w:color w:val="000000" w:themeColor="text1"/>
                <w:szCs w:val="21"/>
                <w:vertAlign w:val="superscript"/>
              </w:rPr>
              <w:t>3</w:t>
            </w:r>
          </w:p>
          <w:p>
            <w:pPr>
              <w:spacing w:line="360" w:lineRule="auto"/>
              <w:rPr>
                <w:color w:val="000000"/>
                <w:sz w:val="24"/>
                <w:szCs w:val="24"/>
              </w:rPr>
            </w:pPr>
            <w:r>
              <w:rPr>
                <w:color w:val="000000"/>
                <w:sz w:val="24"/>
                <w:szCs w:val="24"/>
              </w:rPr>
              <w:t>2、</w:t>
            </w:r>
            <w:r>
              <w:rPr>
                <w:rFonts w:hAnsi="宋体"/>
                <w:color w:val="000000"/>
                <w:sz w:val="24"/>
                <w:szCs w:val="24"/>
              </w:rPr>
              <w:t>《声环境质量标准》</w:t>
            </w:r>
            <w:r>
              <w:rPr>
                <w:rFonts w:hint="eastAsia" w:hAnsi="宋体"/>
                <w:color w:val="000000"/>
                <w:sz w:val="24"/>
                <w:szCs w:val="24"/>
              </w:rPr>
              <w:t>（</w:t>
            </w:r>
            <w:r>
              <w:rPr>
                <w:color w:val="000000"/>
                <w:sz w:val="24"/>
                <w:szCs w:val="24"/>
              </w:rPr>
              <w:t>GB3096</w:t>
            </w:r>
            <w:r>
              <w:rPr>
                <w:rFonts w:hAnsi="宋体"/>
                <w:color w:val="000000"/>
                <w:sz w:val="24"/>
                <w:szCs w:val="24"/>
              </w:rPr>
              <w:t>－</w:t>
            </w:r>
            <w:r>
              <w:rPr>
                <w:color w:val="000000"/>
                <w:sz w:val="24"/>
                <w:szCs w:val="24"/>
              </w:rPr>
              <w:t>2008</w:t>
            </w:r>
            <w:r>
              <w:rPr>
                <w:rFonts w:hint="eastAsia"/>
                <w:color w:val="000000"/>
                <w:sz w:val="24"/>
                <w:szCs w:val="24"/>
              </w:rPr>
              <w:t>）</w:t>
            </w:r>
            <w:r>
              <w:rPr>
                <w:rFonts w:hAnsi="宋体"/>
                <w:color w:val="000000"/>
                <w:sz w:val="24"/>
                <w:szCs w:val="24"/>
              </w:rPr>
              <w:t>表</w:t>
            </w:r>
            <w:r>
              <w:rPr>
                <w:color w:val="000000"/>
                <w:sz w:val="24"/>
                <w:szCs w:val="24"/>
              </w:rPr>
              <w:t>1</w:t>
            </w:r>
            <w:r>
              <w:rPr>
                <w:rFonts w:hAnsi="宋体"/>
                <w:color w:val="000000"/>
                <w:sz w:val="24"/>
                <w:szCs w:val="24"/>
              </w:rPr>
              <w:t>中</w:t>
            </w:r>
            <w:r>
              <w:rPr>
                <w:rFonts w:hint="eastAsia" w:hAnsi="宋体"/>
                <w:color w:val="000000"/>
                <w:sz w:val="24"/>
                <w:szCs w:val="24"/>
              </w:rPr>
              <w:t>2</w:t>
            </w:r>
            <w:r>
              <w:rPr>
                <w:rFonts w:hAnsi="宋体"/>
                <w:color w:val="000000"/>
                <w:sz w:val="24"/>
                <w:szCs w:val="24"/>
              </w:rPr>
              <w:t>类</w:t>
            </w:r>
          </w:p>
          <w:p>
            <w:pPr>
              <w:spacing w:line="360" w:lineRule="auto"/>
              <w:ind w:firstLine="525" w:firstLineChars="250"/>
              <w:rPr>
                <w:color w:val="000000"/>
                <w:szCs w:val="21"/>
              </w:rPr>
            </w:pPr>
            <w:r>
              <w:rPr>
                <w:rFonts w:hint="eastAsia"/>
                <w:color w:val="000000"/>
                <w:szCs w:val="21"/>
              </w:rPr>
              <w:t>2类：</w:t>
            </w:r>
            <w:r>
              <w:rPr>
                <w:color w:val="000000"/>
                <w:szCs w:val="21"/>
              </w:rPr>
              <w:t>昼间：</w:t>
            </w:r>
            <w:r>
              <w:rPr>
                <w:rFonts w:hint="eastAsia"/>
                <w:color w:val="000000"/>
                <w:szCs w:val="21"/>
              </w:rPr>
              <w:t>60</w:t>
            </w:r>
            <w:r>
              <w:rPr>
                <w:color w:val="000000"/>
                <w:szCs w:val="21"/>
              </w:rPr>
              <w:t>dB(A)    夜间：</w:t>
            </w:r>
            <w:r>
              <w:rPr>
                <w:rFonts w:hint="eastAsia"/>
                <w:color w:val="000000"/>
                <w:szCs w:val="21"/>
              </w:rPr>
              <w:t>50</w:t>
            </w:r>
            <w:r>
              <w:rPr>
                <w:color w:val="000000"/>
                <w:szCs w:val="21"/>
              </w:rPr>
              <w:t>dB(A)</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4" w:hRule="atLeast"/>
        </w:trPr>
        <w:tc>
          <w:tcPr>
            <w:tcW w:w="675" w:type="dxa"/>
            <w:vAlign w:val="center"/>
          </w:tcPr>
          <w:p>
            <w:pPr>
              <w:snapToGrid w:val="0"/>
              <w:spacing w:line="288" w:lineRule="auto"/>
              <w:jc w:val="center"/>
              <w:rPr>
                <w:rFonts w:ascii="宋体"/>
                <w:b/>
                <w:bCs/>
                <w:sz w:val="28"/>
              </w:rPr>
            </w:pPr>
            <w:r>
              <w:rPr>
                <w:rFonts w:hint="eastAsia" w:ascii="宋体"/>
                <w:b/>
                <w:bCs/>
                <w:sz w:val="28"/>
              </w:rPr>
              <w:t>污</w:t>
            </w:r>
          </w:p>
          <w:p>
            <w:pPr>
              <w:snapToGrid w:val="0"/>
              <w:spacing w:line="288" w:lineRule="auto"/>
              <w:jc w:val="center"/>
              <w:rPr>
                <w:rFonts w:ascii="宋体"/>
                <w:b/>
                <w:bCs/>
                <w:sz w:val="28"/>
              </w:rPr>
            </w:pPr>
            <w:r>
              <w:rPr>
                <w:rFonts w:hint="eastAsia" w:ascii="宋体"/>
                <w:b/>
                <w:bCs/>
                <w:sz w:val="28"/>
              </w:rPr>
              <w:t>染</w:t>
            </w:r>
          </w:p>
          <w:p>
            <w:pPr>
              <w:snapToGrid w:val="0"/>
              <w:spacing w:line="288" w:lineRule="auto"/>
              <w:jc w:val="center"/>
              <w:rPr>
                <w:rFonts w:ascii="宋体"/>
                <w:b/>
                <w:bCs/>
                <w:sz w:val="28"/>
              </w:rPr>
            </w:pPr>
            <w:r>
              <w:rPr>
                <w:rFonts w:hint="eastAsia" w:ascii="宋体"/>
                <w:b/>
                <w:bCs/>
                <w:sz w:val="28"/>
              </w:rPr>
              <w:t>物</w:t>
            </w:r>
          </w:p>
          <w:p>
            <w:pPr>
              <w:snapToGrid w:val="0"/>
              <w:spacing w:line="288" w:lineRule="auto"/>
              <w:jc w:val="center"/>
              <w:rPr>
                <w:rFonts w:ascii="宋体"/>
                <w:b/>
                <w:bCs/>
                <w:sz w:val="28"/>
              </w:rPr>
            </w:pPr>
            <w:r>
              <w:rPr>
                <w:rFonts w:hint="eastAsia" w:ascii="宋体"/>
                <w:b/>
                <w:bCs/>
                <w:sz w:val="28"/>
              </w:rPr>
              <w:t>排</w:t>
            </w:r>
          </w:p>
          <w:p>
            <w:pPr>
              <w:snapToGrid w:val="0"/>
              <w:spacing w:line="288" w:lineRule="auto"/>
              <w:jc w:val="center"/>
              <w:rPr>
                <w:rFonts w:ascii="宋体"/>
                <w:b/>
                <w:bCs/>
                <w:sz w:val="28"/>
              </w:rPr>
            </w:pPr>
            <w:r>
              <w:rPr>
                <w:rFonts w:hint="eastAsia" w:ascii="宋体"/>
                <w:b/>
                <w:bCs/>
                <w:sz w:val="28"/>
              </w:rPr>
              <w:t>放</w:t>
            </w:r>
          </w:p>
          <w:p>
            <w:pPr>
              <w:snapToGrid w:val="0"/>
              <w:spacing w:line="288" w:lineRule="auto"/>
              <w:jc w:val="center"/>
              <w:rPr>
                <w:rFonts w:ascii="宋体"/>
                <w:b/>
                <w:bCs/>
                <w:sz w:val="28"/>
              </w:rPr>
            </w:pPr>
            <w:r>
              <w:rPr>
                <w:rFonts w:hint="eastAsia" w:ascii="宋体"/>
                <w:b/>
                <w:bCs/>
                <w:sz w:val="28"/>
              </w:rPr>
              <w:t>标</w:t>
            </w:r>
          </w:p>
          <w:p>
            <w:pPr>
              <w:snapToGrid w:val="0"/>
              <w:spacing w:line="288" w:lineRule="auto"/>
              <w:jc w:val="center"/>
              <w:rPr>
                <w:rFonts w:ascii="宋体"/>
                <w:b/>
                <w:bCs/>
                <w:sz w:val="28"/>
              </w:rPr>
            </w:pPr>
            <w:r>
              <w:rPr>
                <w:rFonts w:hint="eastAsia" w:ascii="宋体"/>
                <w:b/>
                <w:bCs/>
                <w:sz w:val="28"/>
              </w:rPr>
              <w:t>准</w:t>
            </w:r>
          </w:p>
        </w:tc>
        <w:tc>
          <w:tcPr>
            <w:tcW w:w="8895" w:type="dxa"/>
            <w:vAlign w:val="center"/>
          </w:tcPr>
          <w:p>
            <w:pPr>
              <w:snapToGrid w:val="0"/>
              <w:spacing w:line="520" w:lineRule="exact"/>
            </w:pPr>
            <w:r>
              <w:t>1、《大气污染物综合排放标准》（GB16297-1996）表2二级：</w:t>
            </w:r>
          </w:p>
          <w:p>
            <w:pPr>
              <w:snapToGrid w:val="0"/>
              <w:spacing w:line="520" w:lineRule="exact"/>
              <w:ind w:firstLine="480"/>
            </w:pPr>
            <w:r>
              <w:t>二级标准限值：颗粒物120mg/m</w:t>
            </w:r>
            <w:r>
              <w:rPr>
                <w:vertAlign w:val="superscript"/>
              </w:rPr>
              <w:t>3</w:t>
            </w:r>
            <w:r>
              <w:t>，排放速率3.5kg/h</w:t>
            </w:r>
          </w:p>
          <w:p>
            <w:pPr>
              <w:snapToGrid w:val="0"/>
              <w:spacing w:line="520" w:lineRule="exact"/>
              <w:ind w:firstLine="480"/>
            </w:pPr>
            <w:r>
              <w:t>无组织排放监控浓度限值：颗粒物1.0mg/m3</w:t>
            </w:r>
          </w:p>
          <w:p>
            <w:pPr>
              <w:snapToGrid w:val="0"/>
              <w:spacing w:line="520" w:lineRule="exact"/>
            </w:pPr>
            <w:r>
              <w:t>2、《工业企业厂界环境噪声排放标准》（GB12348-2008）标准</w:t>
            </w:r>
          </w:p>
          <w:p>
            <w:pPr>
              <w:snapToGrid w:val="0"/>
              <w:spacing w:line="520" w:lineRule="exact"/>
              <w:ind w:firstLine="480"/>
            </w:pPr>
            <w:r>
              <w:t>2类：昼间60dB（A），夜间50dB（A）</w:t>
            </w:r>
          </w:p>
          <w:p>
            <w:pPr>
              <w:spacing w:line="520" w:lineRule="exact"/>
              <w:jc w:val="left"/>
            </w:pPr>
            <w:r>
              <w:t>3、《一般工业固废贮存、处置场污染控制标准》（GB18599-2001）及修改单</w:t>
            </w:r>
          </w:p>
          <w:p>
            <w:pPr>
              <w:spacing w:line="520" w:lineRule="exact"/>
              <w:jc w:val="left"/>
            </w:pPr>
            <w:r>
              <w:t>4、《危险废物贮存污染控制标准》（GB18597-2001）及修改单</w:t>
            </w:r>
          </w:p>
          <w:p>
            <w:pPr>
              <w:pStyle w:val="10"/>
              <w:keepNext w:val="0"/>
              <w:keepLines w:val="0"/>
              <w:pageBreakBefore w:val="0"/>
              <w:widowControl w:val="0"/>
              <w:numPr>
                <w:ilvl w:val="0"/>
                <w:numId w:val="4"/>
              </w:numPr>
              <w:kinsoku/>
              <w:wordWrap/>
              <w:overflowPunct/>
              <w:topLinePunct w:val="0"/>
              <w:autoSpaceDE/>
              <w:autoSpaceDN/>
              <w:bidi w:val="0"/>
              <w:adjustRightInd/>
              <w:snapToGrid/>
              <w:spacing w:after="0" w:line="460" w:lineRule="exact"/>
              <w:ind w:left="960" w:right="0" w:rightChars="0" w:hanging="840" w:hangingChars="400"/>
              <w:jc w:val="both"/>
              <w:textAlignment w:val="auto"/>
              <w:rPr>
                <w:sz w:val="21"/>
                <w:szCs w:val="21"/>
                <w:u w:val="single"/>
              </w:rPr>
            </w:pPr>
            <w:r>
              <w:rPr>
                <w:sz w:val="21"/>
                <w:szCs w:val="21"/>
                <w:u w:val="single"/>
              </w:rPr>
              <w:t>《洛阳市</w:t>
            </w:r>
            <w:r>
              <w:rPr>
                <w:rFonts w:hint="eastAsia"/>
                <w:sz w:val="21"/>
                <w:szCs w:val="21"/>
                <w:u w:val="single"/>
              </w:rPr>
              <w:t>2020</w:t>
            </w:r>
            <w:r>
              <w:rPr>
                <w:sz w:val="21"/>
                <w:szCs w:val="21"/>
                <w:u w:val="single"/>
              </w:rPr>
              <w:t>年</w:t>
            </w:r>
            <w:r>
              <w:rPr>
                <w:rFonts w:hint="eastAsia"/>
                <w:sz w:val="21"/>
                <w:szCs w:val="21"/>
                <w:u w:val="single"/>
              </w:rPr>
              <w:t>工业污染治理专项</w:t>
            </w:r>
            <w:r>
              <w:rPr>
                <w:sz w:val="21"/>
                <w:szCs w:val="21"/>
                <w:u w:val="single"/>
              </w:rPr>
              <w:t>方案的通知》（洛环攻坚</w:t>
            </w:r>
            <w:r>
              <w:rPr>
                <w:rFonts w:hint="eastAsia"/>
                <w:sz w:val="21"/>
                <w:szCs w:val="21"/>
                <w:u w:val="single"/>
              </w:rPr>
              <w:t>办</w:t>
            </w:r>
            <w:r>
              <w:rPr>
                <w:sz w:val="21"/>
                <w:szCs w:val="21"/>
                <w:u w:val="single"/>
              </w:rPr>
              <w:t>〔20</w:t>
            </w:r>
            <w:r>
              <w:rPr>
                <w:rFonts w:hint="eastAsia"/>
                <w:sz w:val="21"/>
                <w:szCs w:val="21"/>
                <w:u w:val="single"/>
              </w:rPr>
              <w:t>20</w:t>
            </w:r>
            <w:r>
              <w:rPr>
                <w:sz w:val="21"/>
                <w:szCs w:val="21"/>
                <w:u w:val="single"/>
              </w:rPr>
              <w:t>〕1</w:t>
            </w:r>
            <w:r>
              <w:rPr>
                <w:rFonts w:hint="eastAsia"/>
                <w:sz w:val="21"/>
                <w:szCs w:val="21"/>
                <w:u w:val="single"/>
              </w:rPr>
              <w:t>4</w:t>
            </w:r>
            <w:r>
              <w:rPr>
                <w:sz w:val="21"/>
                <w:szCs w:val="21"/>
                <w:u w:val="single"/>
              </w:rPr>
              <w:t>号）</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400" w:right="0" w:rightChars="0" w:firstLine="1680" w:firstLineChars="800"/>
              <w:jc w:val="both"/>
              <w:textAlignment w:val="auto"/>
              <w:rPr>
                <w:sz w:val="21"/>
                <w:szCs w:val="21"/>
                <w:u w:val="single"/>
              </w:rPr>
            </w:pPr>
            <w:r>
              <w:rPr>
                <w:rFonts w:hint="eastAsia"/>
                <w:sz w:val="21"/>
                <w:szCs w:val="21"/>
                <w:u w:val="single"/>
                <w:lang w:eastAsia="zh-CN"/>
              </w:rPr>
              <w:t>焊接颗粒物</w:t>
            </w:r>
            <w:r>
              <w:rPr>
                <w:rFonts w:hint="eastAsia"/>
                <w:sz w:val="21"/>
                <w:szCs w:val="21"/>
                <w:u w:val="single"/>
                <w:lang w:val="en-US" w:eastAsia="zh-CN"/>
              </w:rPr>
              <w:t>10</w:t>
            </w:r>
            <w:r>
              <w:rPr>
                <w:rFonts w:eastAsiaTheme="majorEastAsia"/>
                <w:sz w:val="21"/>
                <w:szCs w:val="21"/>
                <w:u w:val="single"/>
              </w:rPr>
              <w:t>mg/m</w:t>
            </w:r>
            <w:r>
              <w:rPr>
                <w:rFonts w:eastAsiaTheme="majorEastAsia"/>
                <w:sz w:val="21"/>
                <w:szCs w:val="21"/>
                <w:u w:val="single"/>
                <w:vertAlign w:val="superscript"/>
              </w:rPr>
              <w:t>3</w:t>
            </w:r>
            <w:r>
              <w:rPr>
                <w:rFonts w:hint="eastAsia"/>
                <w:bCs/>
                <w:sz w:val="21"/>
                <w:szCs w:val="21"/>
                <w:u w:val="single"/>
              </w:rPr>
              <w:t>标准</w:t>
            </w:r>
            <w:r>
              <w:rPr>
                <w:rFonts w:hint="eastAsia"/>
                <w:bCs/>
                <w:sz w:val="21"/>
                <w:szCs w:val="21"/>
                <w:u w:val="single"/>
                <w:lang w:eastAsia="zh-CN"/>
              </w:rPr>
              <w:t>要求</w:t>
            </w:r>
            <w:r>
              <w:rPr>
                <w:rFonts w:hint="eastAsia"/>
                <w:bCs/>
                <w:sz w:val="21"/>
                <w:szCs w:val="21"/>
                <w:u w:val="single"/>
              </w:rPr>
              <w:t>。</w:t>
            </w: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4" w:hRule="atLeast"/>
        </w:trPr>
        <w:tc>
          <w:tcPr>
            <w:tcW w:w="675" w:type="dxa"/>
            <w:vAlign w:val="center"/>
          </w:tcPr>
          <w:p>
            <w:pPr>
              <w:snapToGrid w:val="0"/>
              <w:jc w:val="center"/>
              <w:rPr>
                <w:rFonts w:ascii="宋体"/>
                <w:b/>
                <w:bCs/>
                <w:sz w:val="28"/>
              </w:rPr>
            </w:pPr>
            <w:r>
              <w:rPr>
                <w:rFonts w:hint="eastAsia" w:ascii="宋体"/>
                <w:b/>
                <w:bCs/>
                <w:sz w:val="28"/>
              </w:rPr>
              <w:t>总</w:t>
            </w:r>
          </w:p>
          <w:p>
            <w:pPr>
              <w:snapToGrid w:val="0"/>
              <w:jc w:val="center"/>
              <w:rPr>
                <w:rFonts w:ascii="宋体"/>
                <w:b/>
                <w:bCs/>
                <w:sz w:val="28"/>
              </w:rPr>
            </w:pPr>
            <w:r>
              <w:rPr>
                <w:rFonts w:hint="eastAsia" w:ascii="宋体"/>
                <w:b/>
                <w:bCs/>
                <w:sz w:val="28"/>
              </w:rPr>
              <w:t>量</w:t>
            </w:r>
          </w:p>
          <w:p>
            <w:pPr>
              <w:snapToGrid w:val="0"/>
              <w:jc w:val="center"/>
              <w:rPr>
                <w:rFonts w:ascii="宋体"/>
                <w:b/>
                <w:bCs/>
                <w:sz w:val="28"/>
              </w:rPr>
            </w:pPr>
            <w:r>
              <w:rPr>
                <w:rFonts w:hint="eastAsia" w:ascii="宋体"/>
                <w:b/>
                <w:bCs/>
                <w:sz w:val="28"/>
              </w:rPr>
              <w:t>控</w:t>
            </w:r>
          </w:p>
          <w:p>
            <w:pPr>
              <w:snapToGrid w:val="0"/>
              <w:jc w:val="center"/>
              <w:rPr>
                <w:rFonts w:ascii="宋体"/>
                <w:b/>
                <w:bCs/>
                <w:sz w:val="28"/>
              </w:rPr>
            </w:pPr>
            <w:r>
              <w:rPr>
                <w:rFonts w:hint="eastAsia" w:ascii="宋体"/>
                <w:b/>
                <w:bCs/>
                <w:sz w:val="28"/>
              </w:rPr>
              <w:t>制</w:t>
            </w:r>
          </w:p>
          <w:p>
            <w:pPr>
              <w:snapToGrid w:val="0"/>
              <w:jc w:val="center"/>
              <w:rPr>
                <w:rFonts w:ascii="宋体"/>
                <w:b/>
                <w:bCs/>
                <w:sz w:val="28"/>
              </w:rPr>
            </w:pPr>
            <w:r>
              <w:rPr>
                <w:rFonts w:hint="eastAsia" w:ascii="宋体"/>
                <w:b/>
                <w:bCs/>
                <w:sz w:val="28"/>
              </w:rPr>
              <w:t>指</w:t>
            </w:r>
          </w:p>
          <w:p>
            <w:pPr>
              <w:snapToGrid w:val="0"/>
              <w:jc w:val="center"/>
              <w:rPr>
                <w:rFonts w:ascii="宋体"/>
                <w:b/>
                <w:bCs/>
                <w:sz w:val="28"/>
              </w:rPr>
            </w:pPr>
            <w:r>
              <w:rPr>
                <w:rFonts w:hint="eastAsia" w:ascii="宋体"/>
                <w:b/>
                <w:bCs/>
                <w:sz w:val="28"/>
              </w:rPr>
              <w:t>标</w:t>
            </w:r>
          </w:p>
        </w:tc>
        <w:tc>
          <w:tcPr>
            <w:tcW w:w="8895" w:type="dxa"/>
            <w:vAlign w:val="center"/>
          </w:tcPr>
          <w:p>
            <w:pPr>
              <w:spacing w:line="360" w:lineRule="auto"/>
              <w:ind w:firstLine="480" w:firstLineChars="200"/>
              <w:rPr>
                <w:sz w:val="24"/>
                <w:szCs w:val="24"/>
              </w:rPr>
            </w:pPr>
            <w:r>
              <w:rPr>
                <w:color w:val="000000" w:themeColor="text1"/>
                <w:sz w:val="24"/>
                <w:szCs w:val="24"/>
              </w:rPr>
              <w:t>根据环保部确定的污染物排放总量控制指标，结合本项目污染物特点，确定COD、</w:t>
            </w:r>
            <w:r>
              <w:rPr>
                <w:rFonts w:hint="eastAsia"/>
                <w:color w:val="000000" w:themeColor="text1"/>
                <w:sz w:val="24"/>
                <w:szCs w:val="24"/>
              </w:rPr>
              <w:t>NH</w:t>
            </w:r>
            <w:r>
              <w:rPr>
                <w:rFonts w:hint="eastAsia"/>
                <w:color w:val="000000" w:themeColor="text1"/>
                <w:sz w:val="24"/>
                <w:szCs w:val="24"/>
                <w:vertAlign w:val="subscript"/>
              </w:rPr>
              <w:t>3</w:t>
            </w:r>
            <w:r>
              <w:rPr>
                <w:rFonts w:hint="eastAsia"/>
                <w:color w:val="000000" w:themeColor="text1"/>
                <w:sz w:val="24"/>
                <w:szCs w:val="24"/>
              </w:rPr>
              <w:t>-N</w:t>
            </w:r>
            <w:r>
              <w:rPr>
                <w:color w:val="000000" w:themeColor="text1"/>
                <w:sz w:val="24"/>
                <w:szCs w:val="24"/>
              </w:rPr>
              <w:t>为本项</w:t>
            </w:r>
            <w:r>
              <w:rPr>
                <w:color w:val="000000"/>
                <w:sz w:val="24"/>
                <w:szCs w:val="24"/>
              </w:rPr>
              <w:t>目污染物总量</w:t>
            </w:r>
            <w:r>
              <w:rPr>
                <w:sz w:val="24"/>
                <w:szCs w:val="24"/>
              </w:rPr>
              <w:t>控制因子。</w:t>
            </w:r>
          </w:p>
          <w:p>
            <w:pPr>
              <w:spacing w:line="360" w:lineRule="auto"/>
              <w:ind w:firstLine="480" w:firstLineChars="200"/>
              <w:rPr>
                <w:sz w:val="24"/>
                <w:szCs w:val="24"/>
              </w:rPr>
            </w:pPr>
            <w:r>
              <w:rPr>
                <w:rFonts w:hint="eastAsia"/>
                <w:sz w:val="24"/>
                <w:szCs w:val="24"/>
                <w:u w:val="none"/>
              </w:rPr>
              <w:t>本项目总量控制指标：</w:t>
            </w:r>
            <w:r>
              <w:rPr>
                <w:rFonts w:hint="eastAsia"/>
                <w:color w:val="000000" w:themeColor="text1"/>
                <w:sz w:val="24"/>
                <w:szCs w:val="24"/>
                <w:u w:val="none"/>
              </w:rPr>
              <w:t>废水：COD0.023t/a，氨氮0.0023t/a。</w:t>
            </w:r>
            <w:r>
              <w:rPr>
                <w:rFonts w:hint="eastAsia"/>
                <w:color w:val="000000" w:themeColor="text1"/>
                <w:sz w:val="24"/>
                <w:szCs w:val="24"/>
                <w:u w:val="none"/>
                <w:lang w:eastAsia="zh-CN"/>
              </w:rPr>
              <w:t>经化粪池收集后农户肥田，不向外环境排放。</w:t>
            </w:r>
          </w:p>
        </w:tc>
      </w:tr>
    </w:tbl>
    <w:p>
      <w:pPr>
        <w:sectPr>
          <w:pgSz w:w="11906" w:h="16838"/>
          <w:pgMar w:top="1440" w:right="1134" w:bottom="1440" w:left="1418" w:header="851" w:footer="992" w:gutter="0"/>
          <w:cols w:space="425" w:num="1"/>
          <w:docGrid w:type="lines" w:linePitch="312" w:charSpace="0"/>
        </w:sectPr>
      </w:pPr>
    </w:p>
    <w:p>
      <w:pPr>
        <w:tabs>
          <w:tab w:val="left" w:pos="5760"/>
        </w:tabs>
        <w:jc w:val="left"/>
        <w:rPr>
          <w:rFonts w:ascii="宋体"/>
          <w:b/>
          <w:sz w:val="32"/>
        </w:rPr>
      </w:pPr>
      <w:r>
        <w:rPr>
          <w:rFonts w:hint="eastAsia" w:ascii="宋体"/>
          <w:b/>
          <w:sz w:val="32"/>
        </w:rPr>
        <w:t>建设项目工程分析</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rPr>
                <w:rFonts w:hAnsi="宋体"/>
                <w:b/>
                <w:sz w:val="30"/>
              </w:rPr>
            </w:pPr>
            <w:r>
              <w:rPr>
                <w:rFonts w:hAnsi="宋体"/>
                <w:b/>
                <w:sz w:val="30"/>
              </w:rPr>
              <w:t>工艺流程简述及图示：</w:t>
            </w:r>
          </w:p>
          <w:p>
            <w:pPr>
              <w:rPr>
                <w:rFonts w:hAnsi="宋体"/>
                <w:b/>
                <w:sz w:val="30"/>
              </w:rPr>
            </w:pPr>
            <w:r>
              <w:rPr>
                <w:sz w:val="24"/>
              </w:rPr>
              <w:pict>
                <v:group id="画布 739" o:spid="_x0000_s2054" o:spt="203" style="height:464.3pt;width:453.85pt;" coordorigin="-1009,1409" coordsize="9077,9284" editas="canvas">
                  <o:lock v:ext="edit"/>
                  <v:shape id="画布 739" o:spid="_x0000_s3149" o:spt="75" type="#_x0000_t75" style="position:absolute;left:-1009;top:1409;height:9284;width:9077;" filled="f" stroked="t" coordsize="21600,21600">
                    <v:fill on="f" focussize="0,0"/>
                    <v:stroke color="#FFFFFF" joinstyle="miter"/>
                    <v:imagedata o:title=""/>
                    <o:lock v:ext="edit" rotation="t" text="t" aspectratio="t"/>
                  </v:shape>
                  <v:shape id="文本框 742" o:spid="_x0000_s3150" o:spt="202" type="#_x0000_t202" style="position:absolute;left:1385;top:2289;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剪板</w:t>
                          </w:r>
                        </w:p>
                      </w:txbxContent>
                    </v:textbox>
                  </v:shape>
                  <v:shape id="文本框 744" o:spid="_x0000_s3151" o:spt="202" type="#_x0000_t202" style="position:absolute;left:3420;top:4084;height:468;width:1433;" filled="f" stroked="f" coordsize="21600,21600">
                    <v:path/>
                    <v:fill on="f" focussize="0,0"/>
                    <v:stroke on="f"/>
                    <v:imagedata o:title=""/>
                    <o:lock v:ext="edit" aspectratio="f"/>
                    <v:textbox>
                      <w:txbxContent>
                        <w:p>
                          <w:pPr>
                            <w:jc w:val="center"/>
                            <w:rPr>
                              <w:szCs w:val="21"/>
                            </w:rPr>
                          </w:pPr>
                          <w:r>
                            <w:rPr>
                              <w:rFonts w:hint="eastAsia"/>
                              <w:szCs w:val="21"/>
                            </w:rPr>
                            <w:t>不锈钢管</w:t>
                          </w:r>
                        </w:p>
                      </w:txbxContent>
                    </v:textbox>
                  </v:shape>
                  <v:rect id="_x0000_s3152" o:spid="_x0000_s3152" o:spt="1" style="position:absolute;left:404;top:9808;height:557;width:5689;" filled="f" stroked="f" coordsize="21600,21600">
                    <v:path/>
                    <v:fill on="f" focussize="0,0"/>
                    <v:stroke on="f"/>
                    <v:imagedata o:title=""/>
                    <o:lock v:ext="edit" aspectratio="f"/>
                    <v:textbox>
                      <w:txbxContent>
                        <w:p>
                          <w:pPr>
                            <w:jc w:val="center"/>
                            <w:rPr>
                              <w:rFonts w:ascii="黑体" w:hAnsi="黑体" w:eastAsia="黑体"/>
                              <w:sz w:val="24"/>
                              <w:szCs w:val="24"/>
                            </w:rPr>
                          </w:pPr>
                          <w:r>
                            <w:rPr>
                              <w:rFonts w:hint="eastAsia" w:ascii="黑体" w:hAnsi="黑体" w:eastAsia="黑体"/>
                              <w:sz w:val="24"/>
                              <w:szCs w:val="24"/>
                            </w:rPr>
                            <w:t>图1     工艺流程图</w:t>
                          </w:r>
                        </w:p>
                      </w:txbxContent>
                    </v:textbox>
                  </v:rect>
                  <v:line id="_x0000_s3153" o:spid="_x0000_s3153" o:spt="20" style="position:absolute;left:2037;top:1793;height:496;width:1;" filled="f" stroked="t" coordsize="21600,21600">
                    <v:path arrowok="t"/>
                    <v:fill on="f" focussize="0,0"/>
                    <v:stroke color="#000000" endarrow="classic"/>
                    <v:imagedata o:title=""/>
                    <o:lock v:ext="edit" aspectratio="f"/>
                  </v:line>
                  <v:shape id="文本框 744" o:spid="_x0000_s3156" o:spt="202" type="#_x0000_t202" style="position:absolute;left:1291;top:1426;height:468;width:1433;" filled="f" stroked="f" coordsize="21600,21600">
                    <v:path/>
                    <v:fill on="f" focussize="0,0"/>
                    <v:stroke on="f"/>
                    <v:imagedata o:title=""/>
                    <o:lock v:ext="edit" aspectratio="f"/>
                    <v:textbox>
                      <w:txbxContent>
                        <w:p>
                          <w:pPr>
                            <w:jc w:val="center"/>
                            <w:rPr>
                              <w:szCs w:val="21"/>
                            </w:rPr>
                          </w:pPr>
                          <w:r>
                            <w:rPr>
                              <w:rFonts w:hint="eastAsia"/>
                              <w:szCs w:val="21"/>
                            </w:rPr>
                            <w:t>不锈钢板</w:t>
                          </w:r>
                        </w:p>
                      </w:txbxContent>
                    </v:textbox>
                  </v:shape>
                  <v:line id="_x0000_s3157" o:spid="_x0000_s3157" o:spt="20" style="position:absolute;left:4003;top:4535;height:496;width:1;" filled="f" stroked="t" coordsize="21600,21600">
                    <v:path arrowok="t"/>
                    <v:fill on="f" focussize="0,0"/>
                    <v:stroke color="#000000" endarrow="classic"/>
                    <v:imagedata o:title=""/>
                    <o:lock v:ext="edit" aspectratio="f"/>
                  </v:line>
                  <v:shape id="文本框 742" o:spid="_x0000_s3158" o:spt="202" type="#_x0000_t202" style="position:absolute;left:3354;top:5015;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切割</w:t>
                          </w:r>
                        </w:p>
                      </w:txbxContent>
                    </v:textbox>
                  </v:shape>
                  <v:line id="_x0000_s3159" o:spid="_x0000_s3159" o:spt="20" style="position:absolute;left:2061;top:2796;height:496;width:1;" filled="f" stroked="t" coordsize="21600,21600">
                    <v:path arrowok="t"/>
                    <v:fill on="f" focussize="0,0"/>
                    <v:stroke color="#000000" endarrow="classic"/>
                    <v:imagedata o:title=""/>
                    <o:lock v:ext="edit" aspectratio="f"/>
                  </v:line>
                  <v:line id="_x0000_s3160" o:spid="_x0000_s3160" o:spt="20" style="position:absolute;left:4001;top:5487;flip:x;height:529;width:11;" filled="f" stroked="t" coordsize="21600,21600">
                    <v:path arrowok="t"/>
                    <v:fill on="f" focussize="0,0"/>
                    <v:stroke color="#000000" endarrow="classic"/>
                    <v:imagedata o:title=""/>
                    <o:lock v:ext="edit" aspectratio="f"/>
                  </v:line>
                  <v:shape id="_x0000_s3161" o:spid="_x0000_s3161" o:spt="32" type="#_x0000_t32" style="position:absolute;left:2151;top:5954;height:8;width:1863;" filled="f" stroked="t" coordsize="21600,21600">
                    <v:path arrowok="t"/>
                    <v:fill on="f" focussize="0,0"/>
                    <v:stroke color="#000000"/>
                    <v:imagedata o:title=""/>
                    <o:lock v:ext="edit" aspectratio="f"/>
                  </v:shape>
                  <v:line id="_x0000_s3162" o:spid="_x0000_s3162" o:spt="20" style="position:absolute;left:2111;top:4613;height:372;width:14;" filled="f" stroked="t" coordsize="21600,21600">
                    <v:path arrowok="t"/>
                    <v:fill on="f" focussize="0,0"/>
                    <v:stroke color="#000000" endarrow="classic"/>
                    <v:imagedata o:title=""/>
                    <o:lock v:ext="edit" aspectratio="f"/>
                  </v:line>
                  <v:shape id="文本框 742" o:spid="_x0000_s3163" o:spt="202" type="#_x0000_t202" style="position:absolute;left:1472;top:4129;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冲压</w:t>
                          </w:r>
                        </w:p>
                      </w:txbxContent>
                    </v:textbox>
                  </v:shape>
                  <v:shape id="文本框 742" o:spid="_x0000_s3164" o:spt="202" type="#_x0000_t202" style="position:absolute;left:1385;top:3259;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激光切割</w:t>
                          </w:r>
                        </w:p>
                      </w:txbxContent>
                    </v:textbox>
                  </v:shape>
                  <v:line id="_x0000_s3165" o:spid="_x0000_s3165" o:spt="20" style="position:absolute;left:2060;top:3733;height:396;width:14;" filled="f" stroked="t" coordsize="21600,21600">
                    <v:path arrowok="t"/>
                    <v:fill on="f" focussize="0,0"/>
                    <v:stroke color="#000000" endarrow="classic"/>
                    <v:imagedata o:title=""/>
                    <o:lock v:ext="edit" aspectratio="f"/>
                  </v:line>
                  <v:line id="_x0000_s3166" o:spid="_x0000_s3166" o:spt="20" style="position:absolute;left:2176;top:5454;height:496;width:1;" filled="f" stroked="t" coordsize="21600,21600">
                    <v:path arrowok="t"/>
                    <v:fill on="f" focussize="0,0"/>
                    <v:stroke color="#000000" endarrow="classic"/>
                    <v:imagedata o:title=""/>
                    <o:lock v:ext="edit" aspectratio="f"/>
                  </v:line>
                  <v:shape id="文本框 742" o:spid="_x0000_s3167" o:spt="202" type="#_x0000_t202" style="position:absolute;left:2396;top:6504;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焊接</w:t>
                          </w:r>
                        </w:p>
                      </w:txbxContent>
                    </v:textbox>
                  </v:shape>
                  <v:line id="_x0000_s3168" o:spid="_x0000_s3168" o:spt="20" style="position:absolute;left:3050;top:6960;height:372;width:1;" filled="f" stroked="t" coordsize="21600,21600">
                    <v:path arrowok="t"/>
                    <v:fill on="f" focussize="0,0"/>
                    <v:stroke color="#000000" endarrow="classic"/>
                    <v:imagedata o:title=""/>
                    <o:lock v:ext="edit" aspectratio="f"/>
                  </v:line>
                  <v:shape id="文本框 742" o:spid="_x0000_s3169" o:spt="202" type="#_x0000_t202" style="position:absolute;left:2447;top:8267;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组装</w:t>
                          </w:r>
                        </w:p>
                      </w:txbxContent>
                    </v:textbox>
                  </v:shape>
                  <v:line id="_x0000_s3170" o:spid="_x0000_s3170" o:spt="20" style="position:absolute;left:3085;top:8760;height:496;width:1;" filled="f" stroked="t" coordsize="21600,21600">
                    <v:path arrowok="t"/>
                    <v:fill on="f" focussize="0,0"/>
                    <v:stroke color="#000000" endarrow="classic"/>
                    <v:imagedata o:title=""/>
                    <o:lock v:ext="edit" aspectratio="f"/>
                  </v:line>
                  <v:shape id="文本框 742" o:spid="_x0000_s3171" o:spt="202" type="#_x0000_t202" style="position:absolute;left:2407;top:9235;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成品</w:t>
                          </w:r>
                        </w:p>
                      </w:txbxContent>
                    </v:textbox>
                  </v:shape>
                  <v:line id="_x0000_s3172" o:spid="_x0000_s3172" o:spt="20" style="position:absolute;left:1536;top:8499;height:1;width:893;" filled="f" stroked="t" coordsize="21600,21600">
                    <v:path arrowok="t"/>
                    <v:fill on="f" focussize="0,0"/>
                    <v:stroke color="#000000" endarrow="classic"/>
                    <v:imagedata o:title=""/>
                    <o:lock v:ext="edit" aspectratio="f"/>
                  </v:line>
                  <v:shape id="文本框 744" o:spid="_x0000_s3173" o:spt="202" type="#_x0000_t202" style="position:absolute;left:649;top:8293;height:468;width:1004;" filled="f" stroked="f" coordsize="21600,21600">
                    <v:path/>
                    <v:fill on="f" focussize="0,0"/>
                    <v:stroke on="f"/>
                    <v:imagedata o:title=""/>
                    <o:lock v:ext="edit" aspectratio="f"/>
                    <v:textbox>
                      <w:txbxContent>
                        <w:p>
                          <w:pPr>
                            <w:jc w:val="center"/>
                            <w:rPr>
                              <w:szCs w:val="21"/>
                            </w:rPr>
                          </w:pPr>
                          <w:r>
                            <w:rPr>
                              <w:rFonts w:hint="eastAsia"/>
                              <w:szCs w:val="21"/>
                            </w:rPr>
                            <w:t>配件</w:t>
                          </w:r>
                        </w:p>
                      </w:txbxContent>
                    </v:textbox>
                  </v:shape>
                  <v:line id="_x0000_s3174" o:spid="_x0000_s3174" o:spt="20" style="position:absolute;left:949;top:1920;flip:x y;height:449;width:436;" filled="f" stroked="t" coordsize="21600,21600">
                    <v:path arrowok="t"/>
                    <v:fill on="f" focussize="0,0"/>
                    <v:stroke color="#000000" dashstyle="dashDot" endarrow="classic"/>
                    <v:imagedata o:title=""/>
                    <o:lock v:ext="edit" aspectratio="f"/>
                  </v:line>
                  <v:shape id="文本框 744" o:spid="_x0000_s3175" o:spt="202" type="#_x0000_t202" style="position:absolute;left:-327;top:1692;height:468;width:1356;"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line id="_x0000_s3176" o:spid="_x0000_s3176" o:spt="20" style="position:absolute;left:932;top:2992;flip:x y;height:449;width:436;" filled="f" stroked="t" coordsize="21600,21600">
                    <v:path arrowok="t"/>
                    <v:fill on="f" focussize="0,0"/>
                    <v:stroke color="#000000" dashstyle="dashDot" endarrow="classic"/>
                    <v:imagedata o:title=""/>
                    <o:lock v:ext="edit" aspectratio="f"/>
                  </v:line>
                  <v:shape id="文本框 744" o:spid="_x0000_s3177" o:spt="202" type="#_x0000_t202" style="position:absolute;left:-962;top:2752;height:468;width:1992;" filled="f" stroked="f" coordsize="21600,21600">
                    <v:path/>
                    <v:fill on="f" focussize="0,0"/>
                    <v:stroke on="f"/>
                    <v:imagedata o:title=""/>
                    <o:lock v:ext="edit" aspectratio="f"/>
                    <v:textbox>
                      <w:txbxContent>
                        <w:p>
                          <w:pPr>
                            <w:rPr>
                              <w:szCs w:val="21"/>
                            </w:rPr>
                          </w:pPr>
                          <w:r>
                            <w:rPr>
                              <w:rFonts w:hint="eastAsia"/>
                              <w:szCs w:val="21"/>
                            </w:rPr>
                            <w:t>废气</w:t>
                          </w:r>
                          <w:r>
                            <w:rPr>
                              <w:szCs w:val="21"/>
                            </w:rPr>
                            <w:t>、</w:t>
                          </w:r>
                          <w:r>
                            <w:rPr>
                              <w:rFonts w:hint="eastAsia"/>
                              <w:szCs w:val="21"/>
                            </w:rPr>
                            <w:t>噪声、固废</w:t>
                          </w:r>
                        </w:p>
                      </w:txbxContent>
                    </v:textbox>
                  </v:shape>
                  <v:line id="_x0000_s3178" o:spid="_x0000_s3178" o:spt="20" style="position:absolute;left:4874;top:4965;flip:y;height:360;width:513;" filled="f" stroked="t" coordsize="21600,21600">
                    <v:path arrowok="t"/>
                    <v:fill on="f" focussize="0,0"/>
                    <v:stroke color="#000000" dashstyle="dashDot" endarrow="classic"/>
                    <v:imagedata o:title=""/>
                    <o:lock v:ext="edit" aspectratio="f"/>
                  </v:line>
                  <v:line id="_x0000_s3180" o:spid="_x0000_s3180" o:spt="20" style="position:absolute;left:3752;top:6436;flip:y;height:360;width:513;" filled="f" stroked="t" coordsize="21600,21600">
                    <v:path arrowok="t"/>
                    <v:fill on="f" focussize="0,0"/>
                    <v:stroke color="#000000" dashstyle="dashDot" endarrow="classic"/>
                    <v:imagedata o:title=""/>
                    <o:lock v:ext="edit" aspectratio="f"/>
                  </v:line>
                  <v:shape id="文本框 744" o:spid="_x0000_s3181" o:spt="202" type="#_x0000_t202" style="position:absolute;left:4224;top:6192;height:468;width:1266;" filled="f" stroked="f" coordsize="21600,21600">
                    <v:path/>
                    <v:fill on="f" focussize="0,0"/>
                    <v:stroke on="f"/>
                    <v:imagedata o:title=""/>
                    <o:lock v:ext="edit" aspectratio="f"/>
                    <v:textbox>
                      <w:txbxContent>
                        <w:p>
                          <w:pPr>
                            <w:rPr>
                              <w:szCs w:val="21"/>
                            </w:rPr>
                          </w:pPr>
                          <w:r>
                            <w:rPr>
                              <w:rFonts w:hint="eastAsia"/>
                              <w:szCs w:val="21"/>
                            </w:rPr>
                            <w:t>废气</w:t>
                          </w:r>
                        </w:p>
                      </w:txbxContent>
                    </v:textbox>
                  </v:shape>
                  <v:shape id="文本框 742" o:spid="_x0000_s3182" o:spt="202" type="#_x0000_t202" style="position:absolute;left:1431;top:4976;height:460;width:1440;" fillcolor="#FFFFFF" filled="t" stroked="t" coordsize="21600,21600">
                    <v:path/>
                    <v:fill on="t" color2="#FFFFFF" focussize="0,0"/>
                    <v:stroke color="#000000" joinstyle="miter"/>
                    <v:imagedata o:title=""/>
                    <o:lock v:ext="edit" aspectratio="f"/>
                    <v:textbox>
                      <w:txbxContent>
                        <w:p>
                          <w:pPr>
                            <w:jc w:val="center"/>
                          </w:pPr>
                          <w:r>
                            <w:rPr>
                              <w:rFonts w:hint="eastAsia"/>
                              <w:szCs w:val="21"/>
                            </w:rPr>
                            <w:t>折弯</w:t>
                          </w:r>
                        </w:p>
                      </w:txbxContent>
                    </v:textbox>
                  </v:shape>
                  <v:line id="_x0000_s3185" o:spid="_x0000_s3185" o:spt="20" style="position:absolute;left:3051;top:5962;flip:x;height:520;width:0;" filled="f" stroked="t" coordsize="21600,21600">
                    <v:path arrowok="t"/>
                    <v:fill on="f" focussize="0,0"/>
                    <v:stroke color="#000000" endarrow="classic"/>
                    <v:imagedata o:title=""/>
                    <o:lock v:ext="edit" aspectratio="f"/>
                  </v:line>
                  <v:shape id="文本框 744" o:spid="_x0000_s3186" o:spt="202" type="#_x0000_t202" style="position:absolute;left:5373;top:4646;height:460;width:1340;"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line id="_x0000_s3187" o:spid="_x0000_s3187" o:spt="20" style="position:absolute;left:962;top:3971;flip:x y;height:440;width:420;" filled="f" stroked="t" coordsize="21600,21600">
                    <v:path arrowok="t"/>
                    <v:fill on="f" focussize="0,0"/>
                    <v:stroke color="#000000" dashstyle="dashDot" endarrow="classic"/>
                    <v:imagedata o:title=""/>
                    <o:lock v:ext="edit" aspectratio="f"/>
                  </v:line>
                  <v:line id="_x0000_s3188" o:spid="_x0000_s3188" o:spt="20" style="position:absolute;left:937;top:4860;flip:x y;height:440;width:420;" filled="f" stroked="t" coordsize="21600,21600">
                    <v:path arrowok="t"/>
                    <v:fill on="f" focussize="0,0"/>
                    <v:stroke color="#000000" dashstyle="dashDot" endarrow="classic"/>
                    <v:imagedata o:title=""/>
                    <o:lock v:ext="edit" aspectratio="f"/>
                  </v:line>
                  <v:shape id="文本框 744" o:spid="_x0000_s3189" o:spt="202" type="#_x0000_t202" style="position:absolute;left:-287;top:3655;height:460;width:1340;"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shape id="文本框 744" o:spid="_x0000_s3190" o:spt="202" type="#_x0000_t202" style="position:absolute;left:-277;top:4494;height:460;width:1340;" filled="f" stroked="f" coordsize="21600,21600">
                    <v:path/>
                    <v:fill on="f" focussize="0,0"/>
                    <v:stroke on="f"/>
                    <v:imagedata o:title=""/>
                    <o:lock v:ext="edit" aspectratio="f"/>
                    <v:textbox>
                      <w:txbxContent>
                        <w:p>
                          <w:pPr>
                            <w:ind w:firstLine="630" w:firstLineChars="300"/>
                            <w:rPr>
                              <w:szCs w:val="21"/>
                            </w:rPr>
                          </w:pPr>
                          <w:r>
                            <w:rPr>
                              <w:rFonts w:hint="eastAsia"/>
                              <w:szCs w:val="21"/>
                            </w:rPr>
                            <w:t>噪声</w:t>
                          </w:r>
                        </w:p>
                      </w:txbxContent>
                    </v:textbox>
                  </v:shape>
                  <v:line id="_x0000_s3191" o:spid="_x0000_s3191" o:spt="20" style="position:absolute;left:3065;top:7950;height:360;width:0;" filled="f" stroked="t" coordsize="21600,21600">
                    <v:path arrowok="t"/>
                    <v:fill on="f" focussize="0,0"/>
                    <v:stroke color="#000000" endarrow="classic"/>
                    <v:imagedata o:title=""/>
                    <o:lock v:ext="edit" aspectratio="f"/>
                  </v:line>
                  <v:shape id="文本框 742" o:spid="_x0000_s3192" o:spt="202" type="#_x0000_t202" style="position:absolute;left:2387;top:7412;height:460;width:1300;"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szCs w:val="21"/>
                              <w:lang w:eastAsia="zh-CN"/>
                            </w:rPr>
                            <w:t>人工打磨</w:t>
                          </w:r>
                        </w:p>
                      </w:txbxContent>
                    </v:textbox>
                  </v:shape>
                  <v:line id="_x0000_s3193" o:spid="_x0000_s3193" o:spt="20" style="position:absolute;left:3692;top:7306;flip:y;height:360;width:500;" filled="f" stroked="t" coordsize="21600,21600">
                    <v:path arrowok="t"/>
                    <v:fill on="f" focussize="0,0"/>
                    <v:stroke color="#000000" dashstyle="dashDot" endarrow="classic"/>
                    <v:imagedata o:title=""/>
                    <o:lock v:ext="edit" aspectratio="f"/>
                  </v:line>
                  <v:shape id="文本框 744" o:spid="_x0000_s3194" o:spt="202" type="#_x0000_t202" style="position:absolute;left:4224;top:7077;height:460;width:1260;" filled="f" stroked="f" coordsize="21600,21600">
                    <v:path/>
                    <v:fill on="f" focussize="0,0"/>
                    <v:stroke on="f"/>
                    <v:imagedata o:title=""/>
                    <o:lock v:ext="edit" aspectratio="f"/>
                    <v:textbox>
                      <w:txbxContent>
                        <w:p>
                          <w:pPr>
                            <w:rPr>
                              <w:rFonts w:hint="eastAsia" w:eastAsia="宋体"/>
                              <w:szCs w:val="21"/>
                              <w:lang w:eastAsia="zh-CN"/>
                            </w:rPr>
                          </w:pPr>
                          <w:r>
                            <w:rPr>
                              <w:rFonts w:hint="eastAsia"/>
                              <w:szCs w:val="21"/>
                              <w:lang w:eastAsia="zh-CN"/>
                            </w:rPr>
                            <w:t>噪声、固废</w:t>
                          </w:r>
                        </w:p>
                      </w:txbxContent>
                    </v:textbox>
                  </v:shape>
                  <w10:wrap type="none"/>
                  <w10:anchorlock/>
                </v:group>
              </w:pict>
            </w:r>
          </w:p>
          <w:p>
            <w:pPr>
              <w:rPr>
                <w:b/>
                <w:sz w:val="24"/>
                <w:szCs w:val="24"/>
              </w:rPr>
            </w:pPr>
            <w:r>
              <w:rPr>
                <w:rFonts w:hint="eastAsia"/>
                <w:sz w:val="24"/>
                <w:szCs w:val="24"/>
              </w:rPr>
              <w:t xml:space="preserve">  </w:t>
            </w:r>
            <w:r>
              <w:rPr>
                <w:rFonts w:hint="eastAsia"/>
                <w:b/>
                <w:sz w:val="24"/>
                <w:szCs w:val="24"/>
              </w:rPr>
              <w:t>工艺流程简述：</w:t>
            </w:r>
          </w:p>
          <w:p>
            <w:pPr>
              <w:pStyle w:val="6"/>
              <w:ind w:firstLine="480"/>
              <w:rPr>
                <w:sz w:val="24"/>
                <w:szCs w:val="24"/>
                <w:u w:val="none"/>
              </w:rPr>
            </w:pPr>
            <w:r>
              <w:rPr>
                <w:sz w:val="24"/>
                <w:szCs w:val="24"/>
                <w:u w:val="none"/>
              </w:rPr>
              <w:t>外购</w:t>
            </w:r>
            <w:r>
              <w:rPr>
                <w:rFonts w:hint="eastAsia"/>
                <w:sz w:val="24"/>
                <w:szCs w:val="24"/>
                <w:u w:val="none"/>
              </w:rPr>
              <w:t>不锈钢管经切割处理，不锈钢板经剪板、切割、冲压、折弯后与不锈钢管经焊接</w:t>
            </w:r>
            <w:r>
              <w:rPr>
                <w:rFonts w:hint="eastAsia"/>
                <w:sz w:val="24"/>
                <w:szCs w:val="24"/>
                <w:u w:val="none"/>
                <w:lang w:eastAsia="zh-CN"/>
              </w:rPr>
              <w:t>，对焊接口进行人工打磨，再与零配件</w:t>
            </w:r>
            <w:r>
              <w:rPr>
                <w:rFonts w:hint="eastAsia"/>
                <w:sz w:val="24"/>
                <w:szCs w:val="24"/>
                <w:u w:val="none"/>
              </w:rPr>
              <w:t>组装即为成品。</w:t>
            </w:r>
            <w:r>
              <w:rPr>
                <w:rFonts w:hint="eastAsia"/>
                <w:sz w:val="24"/>
                <w:szCs w:val="24"/>
                <w:u w:val="none"/>
                <w:lang w:eastAsia="zh-CN"/>
              </w:rPr>
              <w:t>激光切割工段产生的颗粒物与二保焊工段产生的焊接烟尘经袋式除尘器处理；剪板、激光切割、冲压、切割工段产生废金属边料；剪板、激光切割、冲压、折弯、切割、打磨工段会产生设备噪声。</w:t>
            </w:r>
          </w:p>
          <w:p>
            <w:pPr>
              <w:pStyle w:val="6"/>
              <w:ind w:firstLine="480"/>
              <w:rPr>
                <w:sz w:val="24"/>
                <w:szCs w:val="24"/>
              </w:rPr>
            </w:pPr>
          </w:p>
          <w:p>
            <w:pPr>
              <w:pStyle w:val="6"/>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rPr>
                <w:rFonts w:ascii="宋体"/>
                <w:b/>
                <w:sz w:val="28"/>
                <w:szCs w:val="28"/>
              </w:rPr>
            </w:pPr>
            <w:r>
              <w:rPr>
                <w:rFonts w:hint="eastAsia" w:ascii="宋体"/>
                <w:b/>
                <w:sz w:val="28"/>
                <w:szCs w:val="28"/>
              </w:rPr>
              <w:t>主要污染工序：</w:t>
            </w:r>
          </w:p>
          <w:p>
            <w:pPr>
              <w:pStyle w:val="6"/>
              <w:ind w:firstLine="480"/>
              <w:rPr>
                <w:sz w:val="24"/>
                <w:szCs w:val="24"/>
              </w:rPr>
            </w:pPr>
            <w:r>
              <w:rPr>
                <w:rFonts w:hint="eastAsia"/>
                <w:sz w:val="24"/>
                <w:szCs w:val="24"/>
              </w:rPr>
              <w:t>本项目生产过程污染物主要为废气、废水、固废、噪声等，具体产污工序及污染物见下表。</w:t>
            </w:r>
          </w:p>
          <w:p>
            <w:pPr>
              <w:ind w:firstLine="600" w:firstLineChars="250"/>
              <w:rPr>
                <w:rFonts w:eastAsia="黑体"/>
                <w:sz w:val="24"/>
              </w:rPr>
            </w:pPr>
            <w:r>
              <w:rPr>
                <w:rFonts w:eastAsia="黑体"/>
                <w:sz w:val="24"/>
              </w:rPr>
              <w:t>表</w:t>
            </w:r>
            <w:r>
              <w:rPr>
                <w:rFonts w:hint="eastAsia" w:eastAsia="黑体"/>
                <w:sz w:val="24"/>
              </w:rPr>
              <w:t>1</w:t>
            </w:r>
            <w:r>
              <w:rPr>
                <w:rFonts w:hint="eastAsia" w:eastAsia="黑体"/>
                <w:sz w:val="24"/>
                <w:lang w:val="en-US" w:eastAsia="zh-CN"/>
              </w:rPr>
              <w:t>2</w:t>
            </w:r>
            <w:r>
              <w:rPr>
                <w:rFonts w:hint="eastAsia" w:eastAsia="黑体"/>
                <w:sz w:val="24"/>
              </w:rPr>
              <w:t xml:space="preserve">             本项目主要排污节点一览表</w:t>
            </w:r>
          </w:p>
          <w:tbl>
            <w:tblPr>
              <w:tblStyle w:val="27"/>
              <w:tblW w:w="87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6"/>
              <w:gridCol w:w="1935"/>
              <w:gridCol w:w="1701"/>
              <w:gridCol w:w="3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Align w:val="center"/>
                </w:tcPr>
                <w:p>
                  <w:pPr>
                    <w:snapToGrid w:val="0"/>
                    <w:spacing w:line="240" w:lineRule="atLeast"/>
                    <w:jc w:val="center"/>
                    <w:rPr>
                      <w:spacing w:val="-2"/>
                      <w:szCs w:val="21"/>
                    </w:rPr>
                  </w:pPr>
                  <w:r>
                    <w:rPr>
                      <w:rFonts w:hint="eastAsia"/>
                      <w:spacing w:val="-2"/>
                      <w:szCs w:val="21"/>
                    </w:rPr>
                    <w:t>污染类别</w:t>
                  </w:r>
                </w:p>
              </w:tc>
              <w:tc>
                <w:tcPr>
                  <w:tcW w:w="1935" w:type="dxa"/>
                  <w:vAlign w:val="center"/>
                </w:tcPr>
                <w:p>
                  <w:pPr>
                    <w:snapToGrid w:val="0"/>
                    <w:spacing w:line="240" w:lineRule="atLeast"/>
                    <w:jc w:val="center"/>
                    <w:rPr>
                      <w:spacing w:val="-2"/>
                      <w:szCs w:val="21"/>
                    </w:rPr>
                  </w:pPr>
                  <w:r>
                    <w:rPr>
                      <w:rFonts w:hint="eastAsia"/>
                      <w:spacing w:val="-2"/>
                      <w:szCs w:val="21"/>
                    </w:rPr>
                    <w:t>污染源</w:t>
                  </w:r>
                </w:p>
              </w:tc>
              <w:tc>
                <w:tcPr>
                  <w:tcW w:w="1701" w:type="dxa"/>
                  <w:vAlign w:val="center"/>
                </w:tcPr>
                <w:p>
                  <w:pPr>
                    <w:snapToGrid w:val="0"/>
                    <w:spacing w:line="240" w:lineRule="atLeast"/>
                    <w:jc w:val="center"/>
                    <w:rPr>
                      <w:spacing w:val="-2"/>
                      <w:szCs w:val="21"/>
                    </w:rPr>
                  </w:pPr>
                  <w:r>
                    <w:rPr>
                      <w:rFonts w:hint="eastAsia"/>
                      <w:spacing w:val="-2"/>
                      <w:szCs w:val="21"/>
                    </w:rPr>
                    <w:t>产生环节</w:t>
                  </w:r>
                </w:p>
              </w:tc>
              <w:tc>
                <w:tcPr>
                  <w:tcW w:w="3743" w:type="dxa"/>
                  <w:vAlign w:val="center"/>
                </w:tcPr>
                <w:p>
                  <w:pPr>
                    <w:snapToGrid w:val="0"/>
                    <w:spacing w:line="240" w:lineRule="atLeast"/>
                    <w:jc w:val="center"/>
                    <w:rPr>
                      <w:spacing w:val="-2"/>
                      <w:szCs w:val="21"/>
                    </w:rPr>
                  </w:pPr>
                  <w:r>
                    <w:rPr>
                      <w:rFonts w:hint="eastAsia"/>
                      <w:spacing w:val="-2"/>
                      <w:szCs w:val="21"/>
                    </w:rPr>
                    <w:t>污染因子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Merge w:val="restart"/>
                  <w:vAlign w:val="center"/>
                </w:tcPr>
                <w:p>
                  <w:pPr>
                    <w:snapToGrid w:val="0"/>
                    <w:spacing w:line="240" w:lineRule="atLeast"/>
                    <w:jc w:val="center"/>
                    <w:rPr>
                      <w:spacing w:val="-2"/>
                      <w:szCs w:val="21"/>
                    </w:rPr>
                  </w:pPr>
                  <w:r>
                    <w:rPr>
                      <w:rFonts w:hint="eastAsia"/>
                      <w:spacing w:val="-2"/>
                      <w:szCs w:val="21"/>
                    </w:rPr>
                    <w:t>废气</w:t>
                  </w:r>
                </w:p>
              </w:tc>
              <w:tc>
                <w:tcPr>
                  <w:tcW w:w="1935" w:type="dxa"/>
                  <w:vAlign w:val="center"/>
                </w:tcPr>
                <w:p>
                  <w:pPr>
                    <w:snapToGrid w:val="0"/>
                    <w:spacing w:line="240" w:lineRule="atLeast"/>
                    <w:jc w:val="center"/>
                    <w:rPr>
                      <w:spacing w:val="-2"/>
                      <w:szCs w:val="21"/>
                    </w:rPr>
                  </w:pPr>
                  <w:r>
                    <w:rPr>
                      <w:rFonts w:hint="eastAsia"/>
                      <w:spacing w:val="-2"/>
                      <w:szCs w:val="21"/>
                    </w:rPr>
                    <w:t>焊接烟尘</w:t>
                  </w:r>
                </w:p>
              </w:tc>
              <w:tc>
                <w:tcPr>
                  <w:tcW w:w="1701" w:type="dxa"/>
                  <w:vAlign w:val="center"/>
                </w:tcPr>
                <w:p>
                  <w:pPr>
                    <w:snapToGrid w:val="0"/>
                    <w:spacing w:line="240" w:lineRule="atLeast"/>
                    <w:jc w:val="center"/>
                    <w:rPr>
                      <w:spacing w:val="-2"/>
                      <w:szCs w:val="21"/>
                    </w:rPr>
                  </w:pPr>
                  <w:r>
                    <w:rPr>
                      <w:rFonts w:hint="eastAsia"/>
                      <w:spacing w:val="-2"/>
                      <w:szCs w:val="21"/>
                    </w:rPr>
                    <w:t>二保焊焊接工序</w:t>
                  </w:r>
                </w:p>
              </w:tc>
              <w:tc>
                <w:tcPr>
                  <w:tcW w:w="3743" w:type="dxa"/>
                  <w:vAlign w:val="center"/>
                </w:tcPr>
                <w:p>
                  <w:pPr>
                    <w:snapToGrid w:val="0"/>
                    <w:spacing w:line="240" w:lineRule="atLeast"/>
                    <w:jc w:val="center"/>
                    <w:rPr>
                      <w:spacing w:val="-2"/>
                      <w:szCs w:val="21"/>
                    </w:rPr>
                  </w:pPr>
                  <w:r>
                    <w:rPr>
                      <w:rFonts w:hint="eastAsia"/>
                      <w:spacing w:val="-2"/>
                      <w:szCs w:val="21"/>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切割烟尘</w:t>
                  </w:r>
                </w:p>
              </w:tc>
              <w:tc>
                <w:tcPr>
                  <w:tcW w:w="1701" w:type="dxa"/>
                  <w:vAlign w:val="center"/>
                </w:tcPr>
                <w:p>
                  <w:pPr>
                    <w:snapToGrid w:val="0"/>
                    <w:spacing w:line="240" w:lineRule="atLeast"/>
                    <w:jc w:val="center"/>
                    <w:rPr>
                      <w:spacing w:val="-2"/>
                      <w:szCs w:val="21"/>
                    </w:rPr>
                  </w:pPr>
                  <w:r>
                    <w:rPr>
                      <w:rFonts w:hint="eastAsia"/>
                      <w:spacing w:val="-2"/>
                      <w:szCs w:val="21"/>
                    </w:rPr>
                    <w:t>激光切割</w:t>
                  </w:r>
                </w:p>
              </w:tc>
              <w:tc>
                <w:tcPr>
                  <w:tcW w:w="3743" w:type="dxa"/>
                  <w:vAlign w:val="center"/>
                </w:tcPr>
                <w:p>
                  <w:pPr>
                    <w:snapToGrid w:val="0"/>
                    <w:spacing w:line="240" w:lineRule="atLeast"/>
                    <w:jc w:val="center"/>
                    <w:rPr>
                      <w:spacing w:val="-2"/>
                      <w:szCs w:val="21"/>
                    </w:rPr>
                  </w:pPr>
                  <w:r>
                    <w:rPr>
                      <w:rFonts w:hint="eastAsia"/>
                      <w:spacing w:val="-2"/>
                      <w:szCs w:val="21"/>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Align w:val="center"/>
                </w:tcPr>
                <w:p>
                  <w:pPr>
                    <w:snapToGrid w:val="0"/>
                    <w:spacing w:line="240" w:lineRule="atLeast"/>
                    <w:jc w:val="center"/>
                    <w:rPr>
                      <w:spacing w:val="-2"/>
                      <w:szCs w:val="21"/>
                    </w:rPr>
                  </w:pPr>
                  <w:r>
                    <w:rPr>
                      <w:rFonts w:hint="eastAsia"/>
                      <w:spacing w:val="-2"/>
                      <w:szCs w:val="21"/>
                    </w:rPr>
                    <w:t>废水</w:t>
                  </w:r>
                </w:p>
              </w:tc>
              <w:tc>
                <w:tcPr>
                  <w:tcW w:w="1935" w:type="dxa"/>
                  <w:vAlign w:val="center"/>
                </w:tcPr>
                <w:p>
                  <w:pPr>
                    <w:snapToGrid w:val="0"/>
                    <w:spacing w:line="240" w:lineRule="atLeast"/>
                    <w:jc w:val="center"/>
                    <w:rPr>
                      <w:spacing w:val="-2"/>
                      <w:szCs w:val="21"/>
                    </w:rPr>
                  </w:pPr>
                  <w:r>
                    <w:rPr>
                      <w:rFonts w:hint="eastAsia"/>
                      <w:spacing w:val="-2"/>
                      <w:szCs w:val="21"/>
                    </w:rPr>
                    <w:t>生活污水</w:t>
                  </w:r>
                </w:p>
              </w:tc>
              <w:tc>
                <w:tcPr>
                  <w:tcW w:w="1701" w:type="dxa"/>
                  <w:vAlign w:val="center"/>
                </w:tcPr>
                <w:p>
                  <w:pPr>
                    <w:snapToGrid w:val="0"/>
                    <w:spacing w:line="240" w:lineRule="atLeast"/>
                    <w:jc w:val="center"/>
                    <w:rPr>
                      <w:spacing w:val="-2"/>
                      <w:szCs w:val="21"/>
                    </w:rPr>
                  </w:pPr>
                  <w:r>
                    <w:rPr>
                      <w:rFonts w:hint="eastAsia"/>
                      <w:spacing w:val="-2"/>
                      <w:szCs w:val="21"/>
                    </w:rPr>
                    <w:t>职工生活</w:t>
                  </w:r>
                </w:p>
              </w:tc>
              <w:tc>
                <w:tcPr>
                  <w:tcW w:w="3743" w:type="dxa"/>
                  <w:vAlign w:val="center"/>
                </w:tcPr>
                <w:p>
                  <w:pPr>
                    <w:snapToGrid w:val="0"/>
                    <w:spacing w:line="240" w:lineRule="atLeast"/>
                    <w:jc w:val="center"/>
                    <w:rPr>
                      <w:spacing w:val="-2"/>
                      <w:szCs w:val="21"/>
                    </w:rPr>
                  </w:pPr>
                  <w:r>
                    <w:rPr>
                      <w:rFonts w:hint="eastAsia"/>
                      <w:spacing w:val="-2"/>
                      <w:szCs w:val="21"/>
                    </w:rPr>
                    <w:t>COD、氨氮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Align w:val="center"/>
                </w:tcPr>
                <w:p>
                  <w:pPr>
                    <w:snapToGrid w:val="0"/>
                    <w:spacing w:line="240" w:lineRule="atLeast"/>
                    <w:jc w:val="center"/>
                    <w:rPr>
                      <w:spacing w:val="-2"/>
                      <w:szCs w:val="21"/>
                    </w:rPr>
                  </w:pPr>
                  <w:r>
                    <w:rPr>
                      <w:rFonts w:hint="eastAsia"/>
                      <w:spacing w:val="-2"/>
                      <w:szCs w:val="21"/>
                    </w:rPr>
                    <w:t>噪声</w:t>
                  </w:r>
                </w:p>
              </w:tc>
              <w:tc>
                <w:tcPr>
                  <w:tcW w:w="1935" w:type="dxa"/>
                  <w:vAlign w:val="center"/>
                </w:tcPr>
                <w:p>
                  <w:pPr>
                    <w:snapToGrid w:val="0"/>
                    <w:spacing w:line="240" w:lineRule="atLeast"/>
                    <w:jc w:val="center"/>
                    <w:rPr>
                      <w:spacing w:val="-2"/>
                      <w:szCs w:val="21"/>
                    </w:rPr>
                  </w:pPr>
                  <w:r>
                    <w:rPr>
                      <w:rFonts w:hint="eastAsia"/>
                      <w:spacing w:val="-2"/>
                      <w:szCs w:val="21"/>
                    </w:rPr>
                    <w:t>设备噪声</w:t>
                  </w:r>
                </w:p>
              </w:tc>
              <w:tc>
                <w:tcPr>
                  <w:tcW w:w="1701" w:type="dxa"/>
                  <w:vAlign w:val="center"/>
                </w:tcPr>
                <w:p>
                  <w:pPr>
                    <w:snapToGrid w:val="0"/>
                    <w:spacing w:line="240" w:lineRule="atLeast"/>
                    <w:jc w:val="center"/>
                    <w:rPr>
                      <w:spacing w:val="-2"/>
                      <w:szCs w:val="21"/>
                    </w:rPr>
                  </w:pPr>
                  <w:r>
                    <w:rPr>
                      <w:rFonts w:hint="eastAsia"/>
                      <w:spacing w:val="-2"/>
                      <w:szCs w:val="21"/>
                    </w:rPr>
                    <w:t>设备运行</w:t>
                  </w:r>
                </w:p>
              </w:tc>
              <w:tc>
                <w:tcPr>
                  <w:tcW w:w="3743" w:type="dxa"/>
                  <w:vAlign w:val="center"/>
                </w:tcPr>
                <w:p>
                  <w:pPr>
                    <w:snapToGrid w:val="0"/>
                    <w:spacing w:line="240" w:lineRule="atLeast"/>
                    <w:jc w:val="center"/>
                    <w:rPr>
                      <w:spacing w:val="-2"/>
                      <w:szCs w:val="21"/>
                    </w:rPr>
                  </w:pPr>
                  <w:r>
                    <w:rPr>
                      <w:rFonts w:hint="eastAsia"/>
                      <w:spacing w:val="-2"/>
                      <w:szCs w:val="21"/>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Merge w:val="restart"/>
                  <w:vAlign w:val="center"/>
                </w:tcPr>
                <w:p>
                  <w:pPr>
                    <w:snapToGrid w:val="0"/>
                    <w:spacing w:line="240" w:lineRule="atLeast"/>
                    <w:jc w:val="center"/>
                    <w:rPr>
                      <w:spacing w:val="-2"/>
                      <w:szCs w:val="21"/>
                    </w:rPr>
                  </w:pPr>
                  <w:r>
                    <w:rPr>
                      <w:rFonts w:hint="eastAsia"/>
                      <w:spacing w:val="-2"/>
                      <w:szCs w:val="21"/>
                    </w:rPr>
                    <w:t>固体废物</w:t>
                  </w:r>
                </w:p>
              </w:tc>
              <w:tc>
                <w:tcPr>
                  <w:tcW w:w="1935" w:type="dxa"/>
                  <w:vAlign w:val="center"/>
                </w:tcPr>
                <w:p>
                  <w:pPr>
                    <w:snapToGrid w:val="0"/>
                    <w:spacing w:line="240" w:lineRule="atLeast"/>
                    <w:jc w:val="center"/>
                    <w:rPr>
                      <w:spacing w:val="-2"/>
                      <w:szCs w:val="21"/>
                    </w:rPr>
                  </w:pPr>
                  <w:r>
                    <w:rPr>
                      <w:rFonts w:hint="eastAsia"/>
                      <w:spacing w:val="-2"/>
                      <w:szCs w:val="21"/>
                    </w:rPr>
                    <w:t>机械加工区</w:t>
                  </w:r>
                </w:p>
              </w:tc>
              <w:tc>
                <w:tcPr>
                  <w:tcW w:w="1701" w:type="dxa"/>
                  <w:vAlign w:val="center"/>
                </w:tcPr>
                <w:p>
                  <w:pPr>
                    <w:snapToGrid w:val="0"/>
                    <w:spacing w:line="240" w:lineRule="atLeast"/>
                    <w:jc w:val="center"/>
                    <w:rPr>
                      <w:spacing w:val="-2"/>
                      <w:szCs w:val="21"/>
                    </w:rPr>
                  </w:pPr>
                  <w:r>
                    <w:rPr>
                      <w:rFonts w:hint="eastAsia"/>
                      <w:spacing w:val="-2"/>
                      <w:szCs w:val="21"/>
                    </w:rPr>
                    <w:t>机械加工</w:t>
                  </w:r>
                </w:p>
              </w:tc>
              <w:tc>
                <w:tcPr>
                  <w:tcW w:w="3743" w:type="dxa"/>
                  <w:vAlign w:val="center"/>
                </w:tcPr>
                <w:p>
                  <w:pPr>
                    <w:snapToGrid w:val="0"/>
                    <w:spacing w:line="240" w:lineRule="atLeast"/>
                    <w:jc w:val="center"/>
                    <w:rPr>
                      <w:spacing w:val="-2"/>
                      <w:szCs w:val="21"/>
                    </w:rPr>
                  </w:pPr>
                  <w:r>
                    <w:rPr>
                      <w:rFonts w:hint="eastAsia"/>
                      <w:spacing w:val="-2"/>
                      <w:szCs w:val="21"/>
                    </w:rPr>
                    <w:t>废边角料、废包装袋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生活垃圾</w:t>
                  </w:r>
                </w:p>
              </w:tc>
              <w:tc>
                <w:tcPr>
                  <w:tcW w:w="1701" w:type="dxa"/>
                  <w:vAlign w:val="center"/>
                </w:tcPr>
                <w:p>
                  <w:pPr>
                    <w:snapToGrid w:val="0"/>
                    <w:spacing w:line="240" w:lineRule="atLeast"/>
                    <w:jc w:val="center"/>
                    <w:rPr>
                      <w:spacing w:val="-2"/>
                      <w:szCs w:val="21"/>
                    </w:rPr>
                  </w:pPr>
                  <w:r>
                    <w:rPr>
                      <w:rFonts w:hint="eastAsia"/>
                      <w:spacing w:val="-2"/>
                      <w:szCs w:val="21"/>
                    </w:rPr>
                    <w:t>职工生活</w:t>
                  </w:r>
                </w:p>
              </w:tc>
              <w:tc>
                <w:tcPr>
                  <w:tcW w:w="3743" w:type="dxa"/>
                  <w:vAlign w:val="center"/>
                </w:tcPr>
                <w:p>
                  <w:pPr>
                    <w:snapToGrid w:val="0"/>
                    <w:spacing w:line="240" w:lineRule="atLeast"/>
                    <w:jc w:val="center"/>
                    <w:rPr>
                      <w:spacing w:val="-2"/>
                      <w:szCs w:val="21"/>
                    </w:rPr>
                  </w:pPr>
                  <w:r>
                    <w:rPr>
                      <w:rFonts w:hint="eastAsia"/>
                      <w:spacing w:val="-2"/>
                      <w:szCs w:val="21"/>
                    </w:rPr>
                    <w:t>生活垃圾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jc w:val="center"/>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机械设备</w:t>
                  </w:r>
                </w:p>
              </w:tc>
              <w:tc>
                <w:tcPr>
                  <w:tcW w:w="1701" w:type="dxa"/>
                  <w:vAlign w:val="center"/>
                </w:tcPr>
                <w:p>
                  <w:pPr>
                    <w:snapToGrid w:val="0"/>
                    <w:spacing w:line="240" w:lineRule="atLeast"/>
                    <w:jc w:val="center"/>
                    <w:rPr>
                      <w:spacing w:val="-2"/>
                      <w:szCs w:val="21"/>
                    </w:rPr>
                  </w:pPr>
                  <w:r>
                    <w:rPr>
                      <w:rFonts w:hint="eastAsia"/>
                      <w:spacing w:val="-2"/>
                      <w:szCs w:val="21"/>
                    </w:rPr>
                    <w:t>设备维护</w:t>
                  </w:r>
                </w:p>
              </w:tc>
              <w:tc>
                <w:tcPr>
                  <w:tcW w:w="3743" w:type="dxa"/>
                  <w:vAlign w:val="center"/>
                </w:tcPr>
                <w:p>
                  <w:pPr>
                    <w:snapToGrid w:val="0"/>
                    <w:spacing w:line="240" w:lineRule="atLeast"/>
                    <w:jc w:val="center"/>
                    <w:rPr>
                      <w:spacing w:val="-2"/>
                      <w:szCs w:val="21"/>
                    </w:rPr>
                  </w:pPr>
                  <w:r>
                    <w:rPr>
                      <w:rFonts w:hint="eastAsia"/>
                      <w:spacing w:val="-2"/>
                      <w:szCs w:val="21"/>
                    </w:rPr>
                    <w:t>废机油、废液压油</w:t>
                  </w:r>
                </w:p>
              </w:tc>
            </w:tr>
          </w:tbl>
          <w:p>
            <w:pPr>
              <w:spacing w:line="360" w:lineRule="auto"/>
              <w:rPr>
                <w:rFonts w:ascii="宋体"/>
                <w:b/>
                <w:sz w:val="24"/>
                <w:szCs w:val="24"/>
              </w:rPr>
            </w:pPr>
            <w:r>
              <w:rPr>
                <w:rFonts w:hint="eastAsia" w:ascii="宋体"/>
                <w:b/>
                <w:sz w:val="24"/>
                <w:szCs w:val="24"/>
              </w:rPr>
              <w:t>1废气</w:t>
            </w:r>
          </w:p>
          <w:p>
            <w:pPr>
              <w:spacing w:line="360" w:lineRule="auto"/>
              <w:rPr>
                <w:rFonts w:ascii="宋体"/>
                <w:b/>
                <w:sz w:val="24"/>
                <w:szCs w:val="24"/>
              </w:rPr>
            </w:pPr>
            <w:r>
              <w:rPr>
                <w:rFonts w:hint="eastAsia" w:ascii="宋体"/>
                <w:b/>
                <w:sz w:val="24"/>
                <w:szCs w:val="24"/>
              </w:rPr>
              <w:t>1.1焊接烟尘</w:t>
            </w:r>
          </w:p>
          <w:p>
            <w:pPr>
              <w:spacing w:line="360" w:lineRule="auto"/>
              <w:ind w:firstLine="360" w:firstLineChars="150"/>
              <w:rPr>
                <w:u w:val="single"/>
              </w:rPr>
            </w:pPr>
            <w:r>
              <w:rPr>
                <w:sz w:val="24"/>
                <w:szCs w:val="24"/>
                <w:u w:val="single"/>
              </w:rPr>
              <w:t>本项目的焊接工序在车间内进行，焊接过程产生的烟尘以无组织排放形式排放，成分以氧化铁为主，达30％~70％，其次是氧化锰、氧化硅、氧化钙等。本项目焊接工序年工作时间约</w:t>
            </w:r>
            <w:r>
              <w:rPr>
                <w:rFonts w:hint="eastAsia"/>
                <w:sz w:val="24"/>
                <w:szCs w:val="24"/>
                <w:u w:val="single"/>
                <w:lang w:val="en-US" w:eastAsia="zh-CN"/>
              </w:rPr>
              <w:t>3</w:t>
            </w:r>
            <w:r>
              <w:rPr>
                <w:rFonts w:hint="eastAsia"/>
                <w:sz w:val="24"/>
                <w:szCs w:val="24"/>
                <w:u w:val="single"/>
              </w:rPr>
              <w:t>00h（</w:t>
            </w:r>
            <w:r>
              <w:rPr>
                <w:rFonts w:hint="eastAsia"/>
                <w:sz w:val="24"/>
                <w:szCs w:val="24"/>
                <w:u w:val="single"/>
                <w:lang w:val="en-US" w:eastAsia="zh-CN"/>
              </w:rPr>
              <w:t>100</w:t>
            </w:r>
            <w:r>
              <w:rPr>
                <w:rFonts w:hint="eastAsia"/>
                <w:sz w:val="24"/>
                <w:szCs w:val="24"/>
                <w:u w:val="single"/>
              </w:rPr>
              <w:t>天，每天</w:t>
            </w:r>
            <w:r>
              <w:rPr>
                <w:rFonts w:hint="eastAsia"/>
                <w:sz w:val="24"/>
                <w:szCs w:val="24"/>
                <w:u w:val="single"/>
                <w:lang w:val="en-US" w:eastAsia="zh-CN"/>
              </w:rPr>
              <w:t>3</w:t>
            </w:r>
            <w:r>
              <w:rPr>
                <w:rFonts w:hint="eastAsia"/>
                <w:sz w:val="24"/>
                <w:szCs w:val="24"/>
                <w:u w:val="single"/>
              </w:rPr>
              <w:t>h）</w:t>
            </w:r>
            <w:r>
              <w:rPr>
                <w:sz w:val="24"/>
                <w:szCs w:val="24"/>
                <w:u w:val="single"/>
              </w:rPr>
              <w:t>，焊丝使用量约为</w:t>
            </w:r>
            <w:r>
              <w:rPr>
                <w:rFonts w:hint="eastAsia"/>
                <w:sz w:val="24"/>
                <w:szCs w:val="24"/>
                <w:u w:val="single"/>
                <w:lang w:val="en-US" w:eastAsia="zh-CN"/>
              </w:rPr>
              <w:t>1</w:t>
            </w:r>
            <w:r>
              <w:rPr>
                <w:sz w:val="24"/>
                <w:szCs w:val="24"/>
                <w:u w:val="single"/>
              </w:rPr>
              <w:t>t/a。根据《焊接车间环境污染及控制技术进展》一文中“几种焊接（切割）方法的发尘量”参数可知，二氧化碳实芯焊</w:t>
            </w:r>
            <w:r>
              <w:rPr>
                <w:color w:val="000000" w:themeColor="text1"/>
                <w:sz w:val="24"/>
                <w:szCs w:val="24"/>
                <w:u w:val="single"/>
              </w:rPr>
              <w:t>丝发尘量为5~8g/kg材料，</w:t>
            </w:r>
            <w:r>
              <w:rPr>
                <w:rFonts w:hint="eastAsia"/>
                <w:color w:val="000000" w:themeColor="text1"/>
                <w:sz w:val="24"/>
                <w:szCs w:val="24"/>
                <w:u w:val="single"/>
              </w:rPr>
              <w:t>以</w:t>
            </w:r>
            <w:r>
              <w:rPr>
                <w:color w:val="000000" w:themeColor="text1"/>
                <w:sz w:val="24"/>
                <w:szCs w:val="24"/>
                <w:u w:val="single"/>
              </w:rPr>
              <w:t>最大量8g/kg焊丝计，则</w:t>
            </w:r>
            <w:r>
              <w:rPr>
                <w:rFonts w:hint="eastAsia"/>
                <w:color w:val="000000" w:themeColor="text1"/>
                <w:sz w:val="24"/>
                <w:szCs w:val="24"/>
                <w:u w:val="single"/>
              </w:rPr>
              <w:t>本</w:t>
            </w:r>
            <w:r>
              <w:rPr>
                <w:color w:val="000000" w:themeColor="text1"/>
                <w:sz w:val="24"/>
                <w:szCs w:val="24"/>
                <w:u w:val="single"/>
              </w:rPr>
              <w:t>项目焊接烟尘产生量为</w:t>
            </w:r>
            <w:r>
              <w:rPr>
                <w:rFonts w:hint="eastAsia"/>
                <w:color w:val="000000" w:themeColor="text1"/>
                <w:sz w:val="24"/>
                <w:szCs w:val="24"/>
                <w:u w:val="single"/>
                <w:lang w:val="en-US" w:eastAsia="zh-CN"/>
              </w:rPr>
              <w:t>8</w:t>
            </w:r>
            <w:r>
              <w:rPr>
                <w:color w:val="000000" w:themeColor="text1"/>
                <w:sz w:val="24"/>
                <w:szCs w:val="24"/>
                <w:u w:val="single"/>
              </w:rPr>
              <w:t>kg/a。</w:t>
            </w:r>
            <w:r>
              <w:rPr>
                <w:rFonts w:hint="eastAsia"/>
                <w:sz w:val="24"/>
                <w:szCs w:val="24"/>
                <w:u w:val="single"/>
              </w:rPr>
              <w:t>本项目拟在</w:t>
            </w:r>
            <w:r>
              <w:rPr>
                <w:rFonts w:hint="eastAsia"/>
                <w:color w:val="000000" w:themeColor="text1"/>
                <w:sz w:val="24"/>
                <w:szCs w:val="24"/>
                <w:u w:val="single"/>
              </w:rPr>
              <w:t>车间内均单独设施焊接区，使得焊接区形成微负压</w:t>
            </w:r>
            <w:r>
              <w:rPr>
                <w:rFonts w:hint="eastAsia"/>
                <w:color w:val="000000" w:themeColor="text1"/>
                <w:sz w:val="24"/>
                <w:szCs w:val="24"/>
                <w:u w:val="single"/>
                <w:lang w:eastAsia="zh-CN"/>
              </w:rPr>
              <w:t>，设置</w:t>
            </w:r>
            <w:r>
              <w:rPr>
                <w:rFonts w:hint="eastAsia"/>
                <w:color w:val="000000" w:themeColor="text1"/>
                <w:sz w:val="24"/>
                <w:szCs w:val="24"/>
                <w:u w:val="single"/>
                <w:lang w:val="en-US" w:eastAsia="zh-CN"/>
              </w:rPr>
              <w:t>2个焊接台面，</w:t>
            </w:r>
            <w:r>
              <w:rPr>
                <w:rFonts w:hint="eastAsia"/>
                <w:color w:val="000000" w:themeColor="text1"/>
                <w:sz w:val="24"/>
                <w:szCs w:val="24"/>
                <w:u w:val="single"/>
              </w:rPr>
              <w:t>工作台面上方设置集气罩，收集效率80%，使焊接过程产生的烟尘分别经集气罩收集再</w:t>
            </w:r>
            <w:r>
              <w:rPr>
                <w:sz w:val="24"/>
                <w:u w:val="single"/>
              </w:rPr>
              <w:t>经</w:t>
            </w:r>
            <w:r>
              <w:rPr>
                <w:rFonts w:hint="eastAsia"/>
                <w:sz w:val="24"/>
                <w:u w:val="single"/>
              </w:rPr>
              <w:t>除尘效率9</w:t>
            </w:r>
            <w:r>
              <w:rPr>
                <w:rFonts w:hint="eastAsia"/>
                <w:sz w:val="24"/>
                <w:u w:val="single"/>
                <w:lang w:val="en-US" w:eastAsia="zh-CN"/>
              </w:rPr>
              <w:t>5</w:t>
            </w:r>
            <w:r>
              <w:rPr>
                <w:rFonts w:hint="eastAsia"/>
                <w:sz w:val="24"/>
                <w:u w:val="single"/>
              </w:rPr>
              <w:t>%的</w:t>
            </w:r>
            <w:r>
              <w:rPr>
                <w:sz w:val="24"/>
                <w:u w:val="single"/>
              </w:rPr>
              <w:t>袋式除尘器处理后</w:t>
            </w:r>
            <w:r>
              <w:rPr>
                <w:rFonts w:hint="eastAsia"/>
                <w:color w:val="000000" w:themeColor="text1"/>
                <w:sz w:val="24"/>
                <w:szCs w:val="24"/>
                <w:u w:val="single"/>
              </w:rPr>
              <w:t>排放。</w:t>
            </w:r>
          </w:p>
          <w:p>
            <w:pPr>
              <w:spacing w:line="360" w:lineRule="auto"/>
              <w:ind w:firstLine="360" w:firstLineChars="150"/>
              <w:rPr>
                <w:color w:val="000000" w:themeColor="text1"/>
                <w:sz w:val="24"/>
                <w:szCs w:val="24"/>
                <w:u w:val="single"/>
              </w:rPr>
            </w:pPr>
            <w:r>
              <w:rPr>
                <w:rFonts w:hint="eastAsia"/>
                <w:sz w:val="24"/>
                <w:szCs w:val="24"/>
                <w:u w:val="single"/>
              </w:rPr>
              <w:t>本项目不锈钢板材使用激光切割机对工件进行切割下料，切割过程中将产生少量的烟尘，切割时产生的烟尘量按切割原材料量的</w:t>
            </w:r>
            <w:r>
              <w:rPr>
                <w:rFonts w:hint="eastAsia"/>
                <w:sz w:val="24"/>
                <w:szCs w:val="24"/>
                <w:u w:val="single"/>
                <w:lang w:val="en-US" w:eastAsia="zh-CN"/>
              </w:rPr>
              <w:t>0.</w:t>
            </w:r>
            <w:r>
              <w:rPr>
                <w:rFonts w:hint="eastAsia"/>
                <w:sz w:val="24"/>
                <w:szCs w:val="24"/>
                <w:u w:val="single"/>
              </w:rPr>
              <w:t>1‰计，不锈钢板材用量为</w:t>
            </w:r>
            <w:r>
              <w:rPr>
                <w:rFonts w:hint="eastAsia"/>
                <w:sz w:val="24"/>
                <w:szCs w:val="24"/>
                <w:u w:val="single"/>
                <w:lang w:val="en-US" w:eastAsia="zh-CN"/>
              </w:rPr>
              <w:t>4</w:t>
            </w:r>
            <w:r>
              <w:rPr>
                <w:rFonts w:hint="eastAsia"/>
                <w:sz w:val="24"/>
                <w:szCs w:val="24"/>
                <w:u w:val="single"/>
              </w:rPr>
              <w:t>00t/a，</w:t>
            </w:r>
            <w:r>
              <w:rPr>
                <w:sz w:val="24"/>
                <w:szCs w:val="24"/>
                <w:u w:val="single"/>
              </w:rPr>
              <w:t>年工作时间约</w:t>
            </w:r>
            <w:r>
              <w:rPr>
                <w:rFonts w:hint="eastAsia"/>
                <w:sz w:val="24"/>
                <w:szCs w:val="24"/>
                <w:u w:val="single"/>
                <w:lang w:val="en-US" w:eastAsia="zh-CN"/>
              </w:rPr>
              <w:t>3</w:t>
            </w:r>
            <w:r>
              <w:rPr>
                <w:rFonts w:hint="eastAsia"/>
                <w:sz w:val="24"/>
                <w:szCs w:val="24"/>
                <w:u w:val="single"/>
              </w:rPr>
              <w:t>00h（</w:t>
            </w:r>
            <w:r>
              <w:rPr>
                <w:rFonts w:hint="eastAsia"/>
                <w:sz w:val="24"/>
                <w:szCs w:val="24"/>
                <w:u w:val="single"/>
                <w:lang w:val="en-US" w:eastAsia="zh-CN"/>
              </w:rPr>
              <w:t>300</w:t>
            </w:r>
            <w:r>
              <w:rPr>
                <w:rFonts w:hint="eastAsia"/>
                <w:sz w:val="24"/>
                <w:szCs w:val="24"/>
                <w:u w:val="single"/>
              </w:rPr>
              <w:t>天，每天</w:t>
            </w:r>
            <w:r>
              <w:rPr>
                <w:rFonts w:hint="eastAsia"/>
                <w:sz w:val="24"/>
                <w:szCs w:val="24"/>
                <w:u w:val="single"/>
                <w:lang w:val="en-US" w:eastAsia="zh-CN"/>
              </w:rPr>
              <w:t>1</w:t>
            </w:r>
            <w:r>
              <w:rPr>
                <w:rFonts w:hint="eastAsia"/>
                <w:sz w:val="24"/>
                <w:szCs w:val="24"/>
                <w:u w:val="single"/>
              </w:rPr>
              <w:t>h）</w:t>
            </w:r>
            <w:r>
              <w:rPr>
                <w:rFonts w:hint="eastAsia"/>
                <w:sz w:val="24"/>
                <w:szCs w:val="24"/>
                <w:u w:val="single"/>
                <w:lang w:eastAsia="zh-CN"/>
              </w:rPr>
              <w:t>，</w:t>
            </w:r>
            <w:r>
              <w:rPr>
                <w:rFonts w:hint="eastAsia"/>
                <w:color w:val="000000" w:themeColor="text1"/>
                <w:sz w:val="24"/>
                <w:szCs w:val="24"/>
                <w:u w:val="single"/>
              </w:rPr>
              <w:t>激光切割机产生的切割烟尘经下方集气管收集后</w:t>
            </w:r>
            <w:r>
              <w:rPr>
                <w:sz w:val="24"/>
                <w:u w:val="single"/>
              </w:rPr>
              <w:t>经</w:t>
            </w:r>
            <w:r>
              <w:rPr>
                <w:rFonts w:hint="eastAsia"/>
                <w:sz w:val="24"/>
                <w:u w:val="single"/>
              </w:rPr>
              <w:t>除尘效率9</w:t>
            </w:r>
            <w:r>
              <w:rPr>
                <w:rFonts w:hint="eastAsia"/>
                <w:sz w:val="24"/>
                <w:u w:val="single"/>
                <w:lang w:val="en-US" w:eastAsia="zh-CN"/>
              </w:rPr>
              <w:t>5</w:t>
            </w:r>
            <w:r>
              <w:rPr>
                <w:rFonts w:hint="eastAsia"/>
                <w:sz w:val="24"/>
                <w:u w:val="single"/>
              </w:rPr>
              <w:t>%的</w:t>
            </w:r>
            <w:r>
              <w:rPr>
                <w:sz w:val="24"/>
                <w:u w:val="single"/>
              </w:rPr>
              <w:t>袋式除尘器处理</w:t>
            </w:r>
            <w:r>
              <w:rPr>
                <w:rFonts w:hint="eastAsia"/>
                <w:color w:val="000000" w:themeColor="text1"/>
                <w:sz w:val="24"/>
                <w:szCs w:val="24"/>
                <w:u w:val="single"/>
              </w:rPr>
              <w:t>后排放。</w:t>
            </w:r>
          </w:p>
          <w:p>
            <w:pPr>
              <w:pStyle w:val="6"/>
              <w:spacing w:line="240" w:lineRule="auto"/>
              <w:ind w:firstLine="1200" w:firstLineChars="500"/>
            </w:pPr>
            <w:r>
              <w:rPr>
                <w:rFonts w:eastAsia="黑体"/>
                <w:sz w:val="24"/>
                <w:szCs w:val="24"/>
              </w:rPr>
              <w:t>表</w:t>
            </w:r>
            <w:r>
              <w:rPr>
                <w:rFonts w:hint="eastAsia" w:eastAsia="黑体"/>
                <w:sz w:val="24"/>
                <w:szCs w:val="24"/>
              </w:rPr>
              <w:t>1</w:t>
            </w:r>
            <w:r>
              <w:rPr>
                <w:rFonts w:hint="eastAsia" w:eastAsia="黑体"/>
                <w:sz w:val="24"/>
                <w:szCs w:val="24"/>
                <w:lang w:val="en-US" w:eastAsia="zh-CN"/>
              </w:rPr>
              <w:t>3</w:t>
            </w:r>
            <w:r>
              <w:rPr>
                <w:rFonts w:hint="eastAsia" w:eastAsia="黑体"/>
                <w:sz w:val="24"/>
                <w:szCs w:val="24"/>
              </w:rPr>
              <w:t xml:space="preserve">          焊接、激光切割工序运行参数一览表</w:t>
            </w:r>
          </w:p>
          <w:tbl>
            <w:tblPr>
              <w:tblStyle w:val="28"/>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245"/>
              <w:gridCol w:w="1209"/>
              <w:gridCol w:w="1592"/>
              <w:gridCol w:w="197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76" w:type="dxa"/>
                  <w:vAlign w:val="center"/>
                </w:tcPr>
                <w:p>
                  <w:pPr>
                    <w:jc w:val="center"/>
                    <w:rPr>
                      <w:color w:val="000000" w:themeColor="text1"/>
                      <w:szCs w:val="21"/>
                    </w:rPr>
                  </w:pPr>
                  <w:r>
                    <w:rPr>
                      <w:rFonts w:hint="eastAsia"/>
                      <w:color w:val="000000" w:themeColor="text1"/>
                      <w:szCs w:val="21"/>
                    </w:rPr>
                    <w:t>工序</w:t>
                  </w:r>
                </w:p>
              </w:tc>
              <w:tc>
                <w:tcPr>
                  <w:tcW w:w="1245" w:type="dxa"/>
                  <w:vAlign w:val="center"/>
                </w:tcPr>
                <w:p>
                  <w:pPr>
                    <w:jc w:val="center"/>
                    <w:rPr>
                      <w:color w:val="000000" w:themeColor="text1"/>
                      <w:szCs w:val="21"/>
                    </w:rPr>
                  </w:pPr>
                  <w:r>
                    <w:rPr>
                      <w:rFonts w:hint="eastAsia"/>
                      <w:color w:val="000000" w:themeColor="text1"/>
                      <w:szCs w:val="21"/>
                    </w:rPr>
                    <w:t>运行时间</w:t>
                  </w:r>
                </w:p>
              </w:tc>
              <w:tc>
                <w:tcPr>
                  <w:tcW w:w="1209" w:type="dxa"/>
                  <w:vAlign w:val="center"/>
                </w:tcPr>
                <w:p>
                  <w:pPr>
                    <w:pStyle w:val="6"/>
                    <w:spacing w:line="240" w:lineRule="auto"/>
                    <w:ind w:firstLine="0" w:firstLineChars="0"/>
                    <w:jc w:val="center"/>
                    <w:rPr>
                      <w:sz w:val="21"/>
                      <w:szCs w:val="21"/>
                    </w:rPr>
                  </w:pPr>
                  <w:r>
                    <w:rPr>
                      <w:rFonts w:hint="eastAsia"/>
                      <w:sz w:val="21"/>
                      <w:szCs w:val="21"/>
                    </w:rPr>
                    <w:t>风量</w:t>
                  </w:r>
                </w:p>
              </w:tc>
              <w:tc>
                <w:tcPr>
                  <w:tcW w:w="1592" w:type="dxa"/>
                  <w:vAlign w:val="center"/>
                </w:tcPr>
                <w:p>
                  <w:pPr>
                    <w:pStyle w:val="6"/>
                    <w:spacing w:line="240" w:lineRule="auto"/>
                    <w:ind w:firstLine="0" w:firstLineChars="0"/>
                    <w:jc w:val="center"/>
                    <w:rPr>
                      <w:sz w:val="21"/>
                      <w:szCs w:val="21"/>
                    </w:rPr>
                  </w:pPr>
                  <w:r>
                    <w:rPr>
                      <w:rFonts w:hint="eastAsia"/>
                      <w:sz w:val="21"/>
                      <w:szCs w:val="21"/>
                    </w:rPr>
                    <w:t>焊接台面面积</w:t>
                  </w:r>
                </w:p>
              </w:tc>
              <w:tc>
                <w:tcPr>
                  <w:tcW w:w="1977" w:type="dxa"/>
                  <w:vAlign w:val="center"/>
                </w:tcPr>
                <w:p>
                  <w:pPr>
                    <w:pStyle w:val="6"/>
                    <w:spacing w:line="240" w:lineRule="auto"/>
                    <w:ind w:firstLine="0" w:firstLineChars="0"/>
                    <w:jc w:val="center"/>
                    <w:rPr>
                      <w:sz w:val="21"/>
                      <w:szCs w:val="21"/>
                    </w:rPr>
                  </w:pPr>
                  <w:r>
                    <w:rPr>
                      <w:rFonts w:hint="eastAsia"/>
                      <w:sz w:val="21"/>
                      <w:szCs w:val="21"/>
                    </w:rPr>
                    <w:t>排放口编号</w:t>
                  </w:r>
                </w:p>
              </w:tc>
              <w:tc>
                <w:tcPr>
                  <w:tcW w:w="1721" w:type="dxa"/>
                  <w:vAlign w:val="center"/>
                </w:tcPr>
                <w:p>
                  <w:pPr>
                    <w:pStyle w:val="6"/>
                    <w:spacing w:line="240" w:lineRule="auto"/>
                    <w:ind w:firstLine="0" w:firstLineChars="0"/>
                    <w:jc w:val="center"/>
                    <w:rPr>
                      <w:sz w:val="21"/>
                      <w:szCs w:val="21"/>
                    </w:rPr>
                  </w:pPr>
                  <w:r>
                    <w:rPr>
                      <w:rFonts w:hint="eastAsia"/>
                      <w:sz w:val="21"/>
                      <w:szCs w:val="21"/>
                    </w:rPr>
                    <w:t>台面边缘风速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76" w:type="dxa"/>
                  <w:vAlign w:val="center"/>
                </w:tcPr>
                <w:p>
                  <w:pPr>
                    <w:jc w:val="center"/>
                    <w:rPr>
                      <w:color w:val="000000" w:themeColor="text1"/>
                      <w:szCs w:val="21"/>
                    </w:rPr>
                  </w:pPr>
                  <w:r>
                    <w:rPr>
                      <w:rFonts w:hint="eastAsia"/>
                      <w:color w:val="000000" w:themeColor="text1"/>
                      <w:szCs w:val="21"/>
                    </w:rPr>
                    <w:t>焊 接</w:t>
                  </w:r>
                </w:p>
              </w:tc>
              <w:tc>
                <w:tcPr>
                  <w:tcW w:w="1245" w:type="dxa"/>
                  <w:vAlign w:val="center"/>
                </w:tcPr>
                <w:p>
                  <w:pPr>
                    <w:pStyle w:val="6"/>
                    <w:spacing w:line="240" w:lineRule="auto"/>
                    <w:ind w:firstLine="0" w:firstLineChars="0"/>
                    <w:jc w:val="center"/>
                    <w:rPr>
                      <w:sz w:val="21"/>
                      <w:szCs w:val="21"/>
                    </w:rPr>
                  </w:pPr>
                  <w:r>
                    <w:rPr>
                      <w:rFonts w:hint="eastAsia"/>
                      <w:sz w:val="21"/>
                      <w:szCs w:val="21"/>
                      <w:lang w:val="en-US" w:eastAsia="zh-CN"/>
                    </w:rPr>
                    <w:t>3</w:t>
                  </w:r>
                  <w:r>
                    <w:rPr>
                      <w:rFonts w:hint="eastAsia"/>
                      <w:sz w:val="21"/>
                      <w:szCs w:val="21"/>
                    </w:rPr>
                    <w:t>00h/a</w:t>
                  </w:r>
                </w:p>
              </w:tc>
              <w:tc>
                <w:tcPr>
                  <w:tcW w:w="1209" w:type="dxa"/>
                  <w:vAlign w:val="center"/>
                </w:tcPr>
                <w:p>
                  <w:pPr>
                    <w:pStyle w:val="6"/>
                    <w:spacing w:line="240" w:lineRule="auto"/>
                    <w:ind w:firstLine="0" w:firstLineChars="0"/>
                    <w:jc w:val="center"/>
                    <w:rPr>
                      <w:sz w:val="21"/>
                      <w:szCs w:val="21"/>
                    </w:rPr>
                  </w:pPr>
                  <w:r>
                    <w:rPr>
                      <w:rFonts w:hint="eastAsia"/>
                      <w:sz w:val="21"/>
                      <w:szCs w:val="21"/>
                      <w:lang w:val="en-US" w:eastAsia="zh-CN"/>
                    </w:rPr>
                    <w:t>70</w:t>
                  </w:r>
                  <w:r>
                    <w:rPr>
                      <w:rFonts w:hint="eastAsia"/>
                      <w:sz w:val="21"/>
                      <w:szCs w:val="21"/>
                    </w:rPr>
                    <w:t>00m</w:t>
                  </w:r>
                  <w:r>
                    <w:rPr>
                      <w:rFonts w:hint="eastAsia"/>
                      <w:sz w:val="21"/>
                      <w:szCs w:val="21"/>
                      <w:vertAlign w:val="superscript"/>
                    </w:rPr>
                    <w:t>3</w:t>
                  </w:r>
                  <w:r>
                    <w:rPr>
                      <w:rFonts w:hint="eastAsia"/>
                      <w:sz w:val="21"/>
                      <w:szCs w:val="21"/>
                    </w:rPr>
                    <w:t>/h</w:t>
                  </w:r>
                </w:p>
              </w:tc>
              <w:tc>
                <w:tcPr>
                  <w:tcW w:w="1592" w:type="dxa"/>
                  <w:vAlign w:val="center"/>
                </w:tcPr>
                <w:p>
                  <w:pPr>
                    <w:pStyle w:val="6"/>
                    <w:spacing w:line="240" w:lineRule="auto"/>
                    <w:ind w:firstLine="0" w:firstLineChars="0"/>
                    <w:jc w:val="center"/>
                    <w:rPr>
                      <w:sz w:val="21"/>
                      <w:szCs w:val="21"/>
                    </w:rPr>
                  </w:pPr>
                  <w:r>
                    <w:rPr>
                      <w:rFonts w:hint="eastAsia"/>
                      <w:sz w:val="21"/>
                      <w:szCs w:val="21"/>
                      <w:lang w:val="en-US" w:eastAsia="zh-CN"/>
                    </w:rPr>
                    <w:t>6</w:t>
                  </w:r>
                  <w:r>
                    <w:rPr>
                      <w:rFonts w:hint="eastAsia"/>
                      <w:sz w:val="21"/>
                      <w:szCs w:val="21"/>
                    </w:rPr>
                    <w:t>m</w:t>
                  </w:r>
                  <w:r>
                    <w:rPr>
                      <w:rFonts w:hint="eastAsia"/>
                      <w:sz w:val="21"/>
                      <w:szCs w:val="21"/>
                      <w:vertAlign w:val="superscript"/>
                    </w:rPr>
                    <w:t>2</w:t>
                  </w:r>
                </w:p>
              </w:tc>
              <w:tc>
                <w:tcPr>
                  <w:tcW w:w="1977" w:type="dxa"/>
                  <w:vMerge w:val="restart"/>
                  <w:vAlign w:val="center"/>
                </w:tcPr>
                <w:p>
                  <w:pPr>
                    <w:pStyle w:val="6"/>
                    <w:spacing w:line="240" w:lineRule="auto"/>
                    <w:ind w:firstLine="0" w:firstLineChars="0"/>
                    <w:jc w:val="center"/>
                    <w:rPr>
                      <w:sz w:val="21"/>
                      <w:szCs w:val="21"/>
                    </w:rPr>
                  </w:pPr>
                  <w:r>
                    <w:rPr>
                      <w:rFonts w:hint="eastAsia"/>
                      <w:sz w:val="21"/>
                      <w:szCs w:val="21"/>
                    </w:rPr>
                    <w:t>排气筒P1</w:t>
                  </w:r>
                </w:p>
              </w:tc>
              <w:tc>
                <w:tcPr>
                  <w:tcW w:w="1721" w:type="dxa"/>
                  <w:vAlign w:val="center"/>
                </w:tcPr>
                <w:p>
                  <w:pPr>
                    <w:pStyle w:val="6"/>
                    <w:spacing w:line="240" w:lineRule="auto"/>
                    <w:ind w:firstLine="0" w:firstLineChars="0"/>
                    <w:jc w:val="center"/>
                    <w:rPr>
                      <w:sz w:val="21"/>
                      <w:szCs w:val="21"/>
                    </w:rPr>
                  </w:pPr>
                  <w:r>
                    <w:rPr>
                      <w:rFonts w:hint="eastAsia"/>
                      <w:sz w:val="21"/>
                      <w:szCs w:val="21"/>
                    </w:rPr>
                    <w:t>0.3</w:t>
                  </w:r>
                  <w:r>
                    <w:rPr>
                      <w:rFonts w:hint="eastAsia"/>
                      <w:sz w:val="21"/>
                      <w:szCs w:val="21"/>
                      <w:lang w:val="en-US" w:eastAsia="zh-CN"/>
                    </w:rPr>
                    <w:t>2</w:t>
                  </w:r>
                  <w:r>
                    <w:rPr>
                      <w:rFonts w:hint="eastAsia"/>
                      <w:sz w:val="21"/>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76" w:type="dxa"/>
                  <w:vAlign w:val="center"/>
                </w:tcPr>
                <w:p>
                  <w:pPr>
                    <w:jc w:val="center"/>
                    <w:rPr>
                      <w:color w:val="000000" w:themeColor="text1"/>
                      <w:szCs w:val="21"/>
                    </w:rPr>
                  </w:pPr>
                  <w:r>
                    <w:rPr>
                      <w:rFonts w:hint="eastAsia"/>
                      <w:color w:val="000000" w:themeColor="text1"/>
                      <w:szCs w:val="21"/>
                    </w:rPr>
                    <w:t>激光切割</w:t>
                  </w:r>
                </w:p>
              </w:tc>
              <w:tc>
                <w:tcPr>
                  <w:tcW w:w="1245" w:type="dxa"/>
                  <w:vAlign w:val="center"/>
                </w:tcPr>
                <w:p>
                  <w:pPr>
                    <w:pStyle w:val="6"/>
                    <w:spacing w:line="240" w:lineRule="auto"/>
                    <w:ind w:firstLine="0" w:firstLineChars="0"/>
                    <w:jc w:val="center"/>
                    <w:rPr>
                      <w:sz w:val="21"/>
                      <w:szCs w:val="21"/>
                    </w:rPr>
                  </w:pPr>
                  <w:r>
                    <w:rPr>
                      <w:rFonts w:hint="eastAsia"/>
                      <w:sz w:val="21"/>
                      <w:szCs w:val="21"/>
                      <w:u w:val="single"/>
                      <w:lang w:val="en-US" w:eastAsia="zh-CN"/>
                    </w:rPr>
                    <w:t>3</w:t>
                  </w:r>
                  <w:r>
                    <w:rPr>
                      <w:rFonts w:hint="eastAsia"/>
                      <w:sz w:val="21"/>
                      <w:szCs w:val="21"/>
                      <w:u w:val="single"/>
                    </w:rPr>
                    <w:t>00h/a</w:t>
                  </w:r>
                </w:p>
              </w:tc>
              <w:tc>
                <w:tcPr>
                  <w:tcW w:w="1209" w:type="dxa"/>
                  <w:vAlign w:val="center"/>
                </w:tcPr>
                <w:p>
                  <w:pPr>
                    <w:pStyle w:val="6"/>
                    <w:spacing w:line="240" w:lineRule="auto"/>
                    <w:ind w:firstLine="0" w:firstLineChars="0"/>
                    <w:jc w:val="center"/>
                    <w:rPr>
                      <w:sz w:val="21"/>
                      <w:szCs w:val="21"/>
                    </w:rPr>
                  </w:pPr>
                  <w:r>
                    <w:rPr>
                      <w:rFonts w:hint="eastAsia"/>
                      <w:sz w:val="21"/>
                      <w:szCs w:val="21"/>
                    </w:rPr>
                    <w:t>1000m</w:t>
                  </w:r>
                  <w:r>
                    <w:rPr>
                      <w:rFonts w:hint="eastAsia"/>
                      <w:sz w:val="21"/>
                      <w:szCs w:val="21"/>
                      <w:vertAlign w:val="superscript"/>
                    </w:rPr>
                    <w:t>3</w:t>
                  </w:r>
                  <w:r>
                    <w:rPr>
                      <w:rFonts w:hint="eastAsia"/>
                      <w:sz w:val="21"/>
                      <w:szCs w:val="21"/>
                    </w:rPr>
                    <w:t>/h</w:t>
                  </w:r>
                </w:p>
              </w:tc>
              <w:tc>
                <w:tcPr>
                  <w:tcW w:w="1592" w:type="dxa"/>
                  <w:vAlign w:val="center"/>
                </w:tcPr>
                <w:p>
                  <w:pPr>
                    <w:pStyle w:val="6"/>
                    <w:spacing w:line="240" w:lineRule="auto"/>
                    <w:ind w:firstLine="0" w:firstLineChars="0"/>
                    <w:jc w:val="center"/>
                    <w:rPr>
                      <w:sz w:val="21"/>
                      <w:szCs w:val="21"/>
                    </w:rPr>
                  </w:pPr>
                  <w:r>
                    <w:rPr>
                      <w:rFonts w:hint="eastAsia"/>
                      <w:sz w:val="21"/>
                      <w:szCs w:val="21"/>
                    </w:rPr>
                    <w:t>/</w:t>
                  </w:r>
                </w:p>
              </w:tc>
              <w:tc>
                <w:tcPr>
                  <w:tcW w:w="1977" w:type="dxa"/>
                  <w:vMerge w:val="continue"/>
                  <w:vAlign w:val="center"/>
                </w:tcPr>
                <w:p>
                  <w:pPr>
                    <w:pStyle w:val="6"/>
                    <w:spacing w:line="240" w:lineRule="auto"/>
                    <w:ind w:firstLine="0" w:firstLineChars="0"/>
                    <w:jc w:val="center"/>
                    <w:rPr>
                      <w:sz w:val="21"/>
                      <w:szCs w:val="21"/>
                    </w:rPr>
                  </w:pPr>
                </w:p>
              </w:tc>
              <w:tc>
                <w:tcPr>
                  <w:tcW w:w="1721" w:type="dxa"/>
                  <w:vAlign w:val="center"/>
                </w:tcPr>
                <w:p>
                  <w:pPr>
                    <w:pStyle w:val="6"/>
                    <w:spacing w:line="240" w:lineRule="auto"/>
                    <w:ind w:firstLine="0" w:firstLineChars="0"/>
                    <w:jc w:val="center"/>
                    <w:rPr>
                      <w:sz w:val="21"/>
                      <w:szCs w:val="21"/>
                    </w:rPr>
                  </w:pPr>
                  <w:r>
                    <w:rPr>
                      <w:rFonts w:hint="eastAsia"/>
                      <w:sz w:val="21"/>
                      <w:szCs w:val="21"/>
                    </w:rPr>
                    <w:t>/</w:t>
                  </w:r>
                </w:p>
              </w:tc>
            </w:tr>
          </w:tbl>
          <w:p>
            <w:pPr>
              <w:pStyle w:val="6"/>
              <w:spacing w:line="240" w:lineRule="auto"/>
              <w:ind w:firstLine="1080" w:firstLineChars="450"/>
              <w:rPr>
                <w:rFonts w:eastAsia="黑体"/>
                <w:sz w:val="24"/>
                <w:szCs w:val="24"/>
              </w:rPr>
            </w:pPr>
            <w:r>
              <w:rPr>
                <w:rFonts w:eastAsia="黑体"/>
                <w:sz w:val="24"/>
                <w:szCs w:val="24"/>
              </w:rPr>
              <w:t>表</w:t>
            </w:r>
            <w:r>
              <w:rPr>
                <w:rFonts w:hint="eastAsia" w:eastAsia="黑体"/>
                <w:sz w:val="24"/>
                <w:szCs w:val="24"/>
              </w:rPr>
              <w:t>1</w:t>
            </w:r>
            <w:r>
              <w:rPr>
                <w:rFonts w:hint="eastAsia" w:eastAsia="黑体"/>
                <w:sz w:val="24"/>
                <w:szCs w:val="24"/>
                <w:lang w:val="en-US" w:eastAsia="zh-CN"/>
              </w:rPr>
              <w:t>4</w:t>
            </w:r>
            <w:r>
              <w:rPr>
                <w:rFonts w:hint="eastAsia" w:eastAsia="黑体"/>
                <w:sz w:val="24"/>
                <w:szCs w:val="24"/>
              </w:rPr>
              <w:t xml:space="preserve">              焊接、激光切割粉尘产生及排放情况一览表</w:t>
            </w:r>
          </w:p>
          <w:tbl>
            <w:tblPr>
              <w:tblStyle w:val="28"/>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65"/>
              <w:gridCol w:w="1125"/>
              <w:gridCol w:w="968"/>
              <w:gridCol w:w="1217"/>
              <w:gridCol w:w="1094"/>
              <w:gridCol w:w="126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162" w:type="dxa"/>
                  <w:gridSpan w:val="2"/>
                  <w:vAlign w:val="center"/>
                </w:tcPr>
                <w:p>
                  <w:pPr>
                    <w:jc w:val="center"/>
                    <w:rPr>
                      <w:rFonts w:eastAsiaTheme="majorEastAsia"/>
                      <w:color w:val="000000" w:themeColor="text1"/>
                      <w:szCs w:val="21"/>
                    </w:rPr>
                  </w:pPr>
                  <w:r>
                    <w:rPr>
                      <w:rFonts w:eastAsiaTheme="majorEastAsia"/>
                      <w:color w:val="000000" w:themeColor="text1"/>
                      <w:szCs w:val="21"/>
                    </w:rPr>
                    <w:t>工序</w:t>
                  </w:r>
                </w:p>
              </w:tc>
              <w:tc>
                <w:tcPr>
                  <w:tcW w:w="2093" w:type="dxa"/>
                  <w:gridSpan w:val="2"/>
                  <w:vAlign w:val="center"/>
                </w:tcPr>
                <w:p>
                  <w:pPr>
                    <w:pStyle w:val="6"/>
                    <w:spacing w:line="240" w:lineRule="auto"/>
                    <w:ind w:firstLine="0" w:firstLineChars="0"/>
                    <w:jc w:val="center"/>
                    <w:rPr>
                      <w:rFonts w:eastAsiaTheme="majorEastAsia"/>
                      <w:sz w:val="21"/>
                      <w:szCs w:val="21"/>
                    </w:rPr>
                  </w:pPr>
                  <w:r>
                    <w:rPr>
                      <w:rFonts w:eastAsiaTheme="majorEastAsia"/>
                      <w:sz w:val="21"/>
                      <w:szCs w:val="21"/>
                    </w:rPr>
                    <w:t>产生量t/a</w:t>
                  </w:r>
                </w:p>
              </w:tc>
              <w:tc>
                <w:tcPr>
                  <w:tcW w:w="1217"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产生浓度mg/m</w:t>
                  </w:r>
                  <w:r>
                    <w:rPr>
                      <w:rFonts w:eastAsiaTheme="majorEastAsia"/>
                      <w:sz w:val="21"/>
                      <w:szCs w:val="21"/>
                      <w:vertAlign w:val="superscript"/>
                    </w:rPr>
                    <w:t>3</w:t>
                  </w:r>
                </w:p>
              </w:tc>
              <w:tc>
                <w:tcPr>
                  <w:tcW w:w="1094"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排放量</w:t>
                  </w:r>
                </w:p>
                <w:p>
                  <w:pPr>
                    <w:pStyle w:val="6"/>
                    <w:spacing w:line="240" w:lineRule="auto"/>
                    <w:ind w:firstLine="0" w:firstLineChars="0"/>
                    <w:jc w:val="center"/>
                    <w:rPr>
                      <w:rFonts w:eastAsiaTheme="majorEastAsia"/>
                      <w:sz w:val="21"/>
                      <w:szCs w:val="21"/>
                    </w:rPr>
                  </w:pPr>
                  <w:r>
                    <w:rPr>
                      <w:rFonts w:eastAsiaTheme="majorEastAsia"/>
                      <w:sz w:val="21"/>
                      <w:szCs w:val="21"/>
                    </w:rPr>
                    <w:t>t/a</w:t>
                  </w:r>
                </w:p>
              </w:tc>
              <w:tc>
                <w:tcPr>
                  <w:tcW w:w="126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排放速率</w:t>
                  </w:r>
                </w:p>
                <w:p>
                  <w:pPr>
                    <w:pStyle w:val="6"/>
                    <w:spacing w:line="240" w:lineRule="auto"/>
                    <w:ind w:firstLine="0" w:firstLineChars="0"/>
                    <w:jc w:val="center"/>
                    <w:rPr>
                      <w:rFonts w:eastAsiaTheme="majorEastAsia"/>
                      <w:sz w:val="21"/>
                      <w:szCs w:val="21"/>
                    </w:rPr>
                  </w:pPr>
                  <w:r>
                    <w:rPr>
                      <w:rFonts w:eastAsiaTheme="majorEastAsia"/>
                      <w:sz w:val="21"/>
                      <w:szCs w:val="21"/>
                    </w:rPr>
                    <w:t>kg/h</w:t>
                  </w:r>
                </w:p>
              </w:tc>
              <w:tc>
                <w:tcPr>
                  <w:tcW w:w="113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排放浓度mg/m</w:t>
                  </w:r>
                  <w:r>
                    <w:rPr>
                      <w:rFonts w:eastAsiaTheme="majorEastAsia"/>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97" w:type="dxa"/>
                  <w:vMerge w:val="restart"/>
                  <w:vAlign w:val="center"/>
                </w:tcPr>
                <w:p>
                  <w:pPr>
                    <w:jc w:val="center"/>
                    <w:rPr>
                      <w:rFonts w:eastAsiaTheme="majorEastAsia"/>
                      <w:color w:val="000000" w:themeColor="text1"/>
                      <w:szCs w:val="21"/>
                    </w:rPr>
                  </w:pPr>
                  <w:r>
                    <w:rPr>
                      <w:rFonts w:eastAsiaTheme="majorEastAsia"/>
                      <w:color w:val="000000" w:themeColor="text1"/>
                      <w:szCs w:val="21"/>
                    </w:rPr>
                    <w:t>有组织</w:t>
                  </w: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焊接</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lang w:val="en-US" w:eastAsia="zh-CN"/>
                    </w:rPr>
                    <w:t>064</w:t>
                  </w:r>
                </w:p>
              </w:tc>
              <w:tc>
                <w:tcPr>
                  <w:tcW w:w="968"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w:t>
                  </w:r>
                  <w:r>
                    <w:rPr>
                      <w:rFonts w:hint="eastAsia" w:eastAsiaTheme="majorEastAsia"/>
                      <w:sz w:val="21"/>
                      <w:szCs w:val="21"/>
                      <w:lang w:val="en-US" w:eastAsia="zh-CN"/>
                    </w:rPr>
                    <w:t>0464</w:t>
                  </w:r>
                </w:p>
              </w:tc>
              <w:tc>
                <w:tcPr>
                  <w:tcW w:w="1217" w:type="dxa"/>
                  <w:vMerge w:val="restart"/>
                  <w:vAlign w:val="center"/>
                </w:tcPr>
                <w:p>
                  <w:pPr>
                    <w:pStyle w:val="6"/>
                    <w:spacing w:line="240" w:lineRule="auto"/>
                    <w:ind w:firstLine="0" w:firstLineChars="0"/>
                    <w:jc w:val="center"/>
                    <w:rPr>
                      <w:rFonts w:hint="eastAsia" w:eastAsiaTheme="majorEastAsia"/>
                      <w:sz w:val="21"/>
                      <w:szCs w:val="21"/>
                      <w:lang w:eastAsia="zh-CN"/>
                    </w:rPr>
                  </w:pPr>
                  <w:r>
                    <w:rPr>
                      <w:rFonts w:hint="eastAsia" w:eastAsiaTheme="majorEastAsia"/>
                      <w:sz w:val="21"/>
                      <w:szCs w:val="21"/>
                      <w:lang w:val="en-US" w:eastAsia="zh-CN"/>
                    </w:rPr>
                    <w:t>133</w:t>
                  </w:r>
                </w:p>
              </w:tc>
              <w:tc>
                <w:tcPr>
                  <w:tcW w:w="1094"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lang w:val="en-US" w:eastAsia="zh-CN"/>
                    </w:rPr>
                    <w:t>023</w:t>
                  </w:r>
                </w:p>
              </w:tc>
              <w:tc>
                <w:tcPr>
                  <w:tcW w:w="1262"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lang w:val="en-US" w:eastAsia="zh-CN"/>
                    </w:rPr>
                    <w:t>078</w:t>
                  </w:r>
                </w:p>
              </w:tc>
              <w:tc>
                <w:tcPr>
                  <w:tcW w:w="1132" w:type="dxa"/>
                  <w:vMerge w:val="restart"/>
                  <w:vAlign w:val="center"/>
                </w:tcPr>
                <w:p>
                  <w:pPr>
                    <w:pStyle w:val="6"/>
                    <w:spacing w:line="240" w:lineRule="auto"/>
                    <w:ind w:firstLine="0" w:firstLineChars="0"/>
                    <w:jc w:val="center"/>
                    <w:rPr>
                      <w:rFonts w:hint="eastAsia" w:eastAsiaTheme="majorEastAsia"/>
                      <w:sz w:val="21"/>
                      <w:szCs w:val="21"/>
                      <w:lang w:eastAsia="zh-CN"/>
                    </w:rPr>
                  </w:pPr>
                  <w:r>
                    <w:rPr>
                      <w:rFonts w:hint="eastAsia" w:eastAsiaTheme="majorEastAsia"/>
                      <w:sz w:val="21"/>
                      <w:szCs w:val="21"/>
                      <w:lang w:val="en-US" w:eastAsia="zh-CN"/>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897" w:type="dxa"/>
                  <w:vMerge w:val="continue"/>
                  <w:vAlign w:val="center"/>
                </w:tcPr>
                <w:p>
                  <w:pPr>
                    <w:jc w:val="center"/>
                    <w:rPr>
                      <w:rFonts w:eastAsiaTheme="majorEastAsia"/>
                      <w:color w:val="000000" w:themeColor="text1"/>
                      <w:szCs w:val="21"/>
                    </w:rPr>
                  </w:pP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激光切割</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w:t>
                  </w:r>
                  <w:r>
                    <w:rPr>
                      <w:rFonts w:hint="eastAsia" w:eastAsiaTheme="majorEastAsia"/>
                      <w:sz w:val="21"/>
                      <w:szCs w:val="21"/>
                      <w:lang w:val="en-US" w:eastAsia="zh-CN"/>
                    </w:rPr>
                    <w:t>04</w:t>
                  </w:r>
                </w:p>
              </w:tc>
              <w:tc>
                <w:tcPr>
                  <w:tcW w:w="968" w:type="dxa"/>
                  <w:vMerge w:val="continue"/>
                  <w:vAlign w:val="center"/>
                </w:tcPr>
                <w:p>
                  <w:pPr>
                    <w:pStyle w:val="6"/>
                    <w:spacing w:line="240" w:lineRule="auto"/>
                    <w:ind w:firstLine="0" w:firstLineChars="0"/>
                    <w:jc w:val="center"/>
                    <w:rPr>
                      <w:rFonts w:eastAsiaTheme="majorEastAsia"/>
                      <w:sz w:val="21"/>
                      <w:szCs w:val="21"/>
                    </w:rPr>
                  </w:pPr>
                </w:p>
              </w:tc>
              <w:tc>
                <w:tcPr>
                  <w:tcW w:w="1217" w:type="dxa"/>
                  <w:vMerge w:val="continue"/>
                  <w:vAlign w:val="center"/>
                </w:tcPr>
                <w:p>
                  <w:pPr>
                    <w:pStyle w:val="6"/>
                    <w:spacing w:line="240" w:lineRule="auto"/>
                    <w:ind w:firstLine="0" w:firstLineChars="0"/>
                    <w:jc w:val="center"/>
                    <w:rPr>
                      <w:rFonts w:eastAsiaTheme="majorEastAsia"/>
                      <w:sz w:val="21"/>
                      <w:szCs w:val="21"/>
                    </w:rPr>
                  </w:pPr>
                </w:p>
              </w:tc>
              <w:tc>
                <w:tcPr>
                  <w:tcW w:w="1094" w:type="dxa"/>
                  <w:vMerge w:val="continue"/>
                  <w:vAlign w:val="center"/>
                </w:tcPr>
                <w:p>
                  <w:pPr>
                    <w:pStyle w:val="6"/>
                    <w:spacing w:line="240" w:lineRule="auto"/>
                    <w:ind w:firstLine="0" w:firstLineChars="0"/>
                    <w:jc w:val="center"/>
                    <w:rPr>
                      <w:rFonts w:eastAsiaTheme="majorEastAsia"/>
                      <w:sz w:val="21"/>
                      <w:szCs w:val="21"/>
                    </w:rPr>
                  </w:pPr>
                </w:p>
              </w:tc>
              <w:tc>
                <w:tcPr>
                  <w:tcW w:w="1262" w:type="dxa"/>
                  <w:vMerge w:val="continue"/>
                  <w:vAlign w:val="center"/>
                </w:tcPr>
                <w:p>
                  <w:pPr>
                    <w:pStyle w:val="6"/>
                    <w:spacing w:line="240" w:lineRule="auto"/>
                    <w:ind w:firstLine="0" w:firstLineChars="0"/>
                    <w:jc w:val="center"/>
                    <w:rPr>
                      <w:rFonts w:eastAsiaTheme="majorEastAsia"/>
                      <w:sz w:val="21"/>
                      <w:szCs w:val="21"/>
                    </w:rPr>
                  </w:pPr>
                </w:p>
              </w:tc>
              <w:tc>
                <w:tcPr>
                  <w:tcW w:w="1132" w:type="dxa"/>
                  <w:vMerge w:val="continue"/>
                  <w:vAlign w:val="center"/>
                </w:tcPr>
                <w:p>
                  <w:pPr>
                    <w:pStyle w:val="6"/>
                    <w:spacing w:line="240" w:lineRule="auto"/>
                    <w:ind w:firstLine="0" w:firstLineChars="0"/>
                    <w:jc w:val="center"/>
                    <w:rPr>
                      <w:rFonts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97" w:type="dxa"/>
                  <w:vAlign w:val="center"/>
                </w:tcPr>
                <w:p>
                  <w:pPr>
                    <w:jc w:val="center"/>
                    <w:rPr>
                      <w:rFonts w:eastAsiaTheme="majorEastAsia"/>
                      <w:color w:val="000000" w:themeColor="text1"/>
                      <w:szCs w:val="21"/>
                    </w:rPr>
                  </w:pPr>
                  <w:r>
                    <w:rPr>
                      <w:rFonts w:eastAsiaTheme="majorEastAsia"/>
                      <w:color w:val="000000" w:themeColor="text1"/>
                      <w:szCs w:val="21"/>
                    </w:rPr>
                    <w:t>无组织</w:t>
                  </w: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焊接</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0.00</w:t>
                  </w:r>
                  <w:r>
                    <w:rPr>
                      <w:rFonts w:hint="eastAsia" w:eastAsiaTheme="majorEastAsia"/>
                      <w:sz w:val="21"/>
                      <w:szCs w:val="21"/>
                      <w:lang w:val="en-US" w:eastAsia="zh-CN"/>
                    </w:rPr>
                    <w:t>16</w:t>
                  </w:r>
                </w:p>
              </w:tc>
              <w:tc>
                <w:tcPr>
                  <w:tcW w:w="968"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217"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094"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0.00</w:t>
                  </w:r>
                  <w:r>
                    <w:rPr>
                      <w:rFonts w:hint="eastAsia" w:eastAsiaTheme="majorEastAsia"/>
                      <w:sz w:val="21"/>
                      <w:szCs w:val="21"/>
                      <w:lang w:val="en-US" w:eastAsia="zh-CN"/>
                    </w:rPr>
                    <w:t>16</w:t>
                  </w:r>
                </w:p>
              </w:tc>
              <w:tc>
                <w:tcPr>
                  <w:tcW w:w="126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13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r>
          </w:tbl>
          <w:p>
            <w:pPr>
              <w:spacing w:line="360" w:lineRule="auto"/>
              <w:ind w:firstLine="480" w:firstLineChars="200"/>
              <w:rPr>
                <w:color w:val="000000" w:themeColor="text1"/>
                <w:sz w:val="24"/>
                <w:szCs w:val="24"/>
              </w:rPr>
            </w:pPr>
            <w:r>
              <w:rPr>
                <w:rFonts w:hint="eastAsia"/>
                <w:bCs/>
                <w:sz w:val="24"/>
                <w:szCs w:val="24"/>
              </w:rPr>
              <w:t>由上表可知，本项目焊接及激光切割过程产生的粉尘经袋式除尘器处理后经15m高排气筒排放，排放浓度及速率满足《大气污染物综合排放标准》（GB16297-1996）表2二级标准</w:t>
            </w:r>
            <w:r>
              <w:rPr>
                <w:rFonts w:hint="eastAsia"/>
                <w:sz w:val="24"/>
                <w:szCs w:val="24"/>
                <w:lang w:eastAsia="zh-CN"/>
              </w:rPr>
              <w:t>，同时</w:t>
            </w:r>
            <w:r>
              <w:rPr>
                <w:rFonts w:hint="eastAsia"/>
                <w:bCs/>
                <w:sz w:val="24"/>
                <w:szCs w:val="24"/>
                <w:lang w:eastAsia="zh-CN"/>
              </w:rPr>
              <w:t>满足</w:t>
            </w:r>
            <w:r>
              <w:rPr>
                <w:sz w:val="24"/>
                <w:szCs w:val="24"/>
              </w:rPr>
              <w:t>洛环攻坚</w:t>
            </w:r>
            <w:r>
              <w:rPr>
                <w:rFonts w:hint="eastAsia"/>
                <w:sz w:val="24"/>
                <w:szCs w:val="24"/>
              </w:rPr>
              <w:t>办</w:t>
            </w:r>
            <w:r>
              <w:rPr>
                <w:sz w:val="24"/>
                <w:szCs w:val="24"/>
              </w:rPr>
              <w:t>〔20</w:t>
            </w:r>
            <w:r>
              <w:rPr>
                <w:rFonts w:hint="eastAsia"/>
                <w:sz w:val="24"/>
                <w:szCs w:val="24"/>
              </w:rPr>
              <w:t>20</w:t>
            </w:r>
            <w:r>
              <w:rPr>
                <w:sz w:val="24"/>
                <w:szCs w:val="24"/>
              </w:rPr>
              <w:t>〕1</w:t>
            </w:r>
            <w:r>
              <w:rPr>
                <w:rFonts w:hint="eastAsia"/>
                <w:sz w:val="24"/>
                <w:szCs w:val="24"/>
              </w:rPr>
              <w:t>4</w:t>
            </w:r>
            <w:r>
              <w:rPr>
                <w:sz w:val="24"/>
                <w:szCs w:val="24"/>
              </w:rPr>
              <w:t>号</w:t>
            </w:r>
            <w:r>
              <w:rPr>
                <w:rFonts w:hint="eastAsia"/>
                <w:sz w:val="24"/>
                <w:szCs w:val="24"/>
                <w:lang w:eastAsia="zh-CN"/>
              </w:rPr>
              <w:t>颗粒物</w:t>
            </w:r>
            <w:r>
              <w:rPr>
                <w:rFonts w:hint="eastAsia"/>
                <w:sz w:val="24"/>
                <w:szCs w:val="24"/>
                <w:lang w:val="en-US" w:eastAsia="zh-CN"/>
              </w:rPr>
              <w:t>10</w:t>
            </w:r>
            <w:r>
              <w:rPr>
                <w:rFonts w:eastAsiaTheme="majorEastAsia"/>
                <w:sz w:val="24"/>
                <w:szCs w:val="24"/>
              </w:rPr>
              <w:t>mg/m</w:t>
            </w:r>
            <w:r>
              <w:rPr>
                <w:rFonts w:eastAsiaTheme="majorEastAsia"/>
                <w:sz w:val="24"/>
                <w:szCs w:val="24"/>
                <w:vertAlign w:val="superscript"/>
              </w:rPr>
              <w:t>3</w:t>
            </w:r>
            <w:r>
              <w:rPr>
                <w:rFonts w:hint="eastAsia"/>
                <w:bCs/>
                <w:sz w:val="24"/>
                <w:szCs w:val="24"/>
              </w:rPr>
              <w:t>标准</w:t>
            </w:r>
            <w:r>
              <w:rPr>
                <w:rFonts w:hint="eastAsia"/>
                <w:bCs/>
                <w:sz w:val="24"/>
                <w:szCs w:val="24"/>
                <w:lang w:eastAsia="zh-CN"/>
              </w:rPr>
              <w:t>要求</w:t>
            </w:r>
            <w:r>
              <w:rPr>
                <w:rFonts w:hint="eastAsia"/>
                <w:bCs/>
                <w:sz w:val="24"/>
                <w:szCs w:val="24"/>
              </w:rPr>
              <w:t>。</w:t>
            </w:r>
          </w:p>
          <w:p>
            <w:pPr>
              <w:spacing w:line="360" w:lineRule="auto"/>
              <w:rPr>
                <w:sz w:val="24"/>
                <w:szCs w:val="24"/>
              </w:rPr>
            </w:pPr>
            <w:r>
              <w:rPr>
                <w:b/>
                <w:sz w:val="24"/>
                <w:szCs w:val="24"/>
              </w:rPr>
              <w:t>2 废水</w:t>
            </w:r>
          </w:p>
          <w:p>
            <w:pPr>
              <w:widowControl/>
              <w:spacing w:line="360" w:lineRule="auto"/>
              <w:ind w:firstLine="360" w:firstLineChars="150"/>
              <w:rPr>
                <w:color w:val="FF0000"/>
                <w:kern w:val="0"/>
                <w:sz w:val="24"/>
                <w:szCs w:val="24"/>
              </w:rPr>
            </w:pPr>
            <w:r>
              <w:rPr>
                <w:rFonts w:hint="eastAsia"/>
                <w:sz w:val="24"/>
                <w:szCs w:val="24"/>
              </w:rPr>
              <w:t>本项目职工定员10人，均不在厂区住宿，年工作300d。</w:t>
            </w:r>
            <w:r>
              <w:rPr>
                <w:rFonts w:hint="eastAsia"/>
                <w:bCs/>
                <w:sz w:val="24"/>
                <w:szCs w:val="24"/>
              </w:rPr>
              <w:t>无食无宿生活用水量按40L</w:t>
            </w:r>
            <w:r>
              <w:rPr>
                <w:sz w:val="24"/>
                <w:szCs w:val="24"/>
              </w:rPr>
              <w:t>/</w:t>
            </w:r>
            <w:r>
              <w:rPr>
                <w:rFonts w:hAnsi="宋体"/>
                <w:sz w:val="24"/>
                <w:szCs w:val="24"/>
              </w:rPr>
              <w:t>人</w:t>
            </w:r>
            <w:r>
              <w:rPr>
                <w:rFonts w:hint="eastAsia"/>
                <w:sz w:val="24"/>
                <w:szCs w:val="24"/>
              </w:rPr>
              <w:t>·</w:t>
            </w:r>
            <w:r>
              <w:rPr>
                <w:sz w:val="24"/>
                <w:szCs w:val="24"/>
              </w:rPr>
              <w:t>d</w:t>
            </w:r>
            <w:r>
              <w:rPr>
                <w:rFonts w:hint="eastAsia"/>
                <w:sz w:val="24"/>
                <w:szCs w:val="24"/>
              </w:rPr>
              <w:t>，本项目生活用水量为120</w:t>
            </w:r>
            <w:r>
              <w:rPr>
                <w:rFonts w:hint="eastAsia" w:hAnsi="宋体"/>
                <w:bCs/>
                <w:sz w:val="24"/>
                <w:szCs w:val="24"/>
              </w:rPr>
              <w:t>m</w:t>
            </w:r>
            <w:r>
              <w:rPr>
                <w:rFonts w:hint="eastAsia" w:hAnsi="宋体"/>
                <w:bCs/>
                <w:sz w:val="24"/>
                <w:szCs w:val="24"/>
                <w:vertAlign w:val="superscript"/>
              </w:rPr>
              <w:t>3</w:t>
            </w:r>
            <w:r>
              <w:rPr>
                <w:rFonts w:hint="eastAsia" w:hAnsi="宋体"/>
                <w:bCs/>
                <w:sz w:val="24"/>
                <w:szCs w:val="24"/>
              </w:rPr>
              <w:t>/a（0.4</w:t>
            </w:r>
            <w:r>
              <w:rPr>
                <w:rFonts w:hint="eastAsia"/>
                <w:kern w:val="0"/>
                <w:sz w:val="24"/>
                <w:szCs w:val="24"/>
              </w:rPr>
              <w:t>m</w:t>
            </w:r>
            <w:r>
              <w:rPr>
                <w:rFonts w:hint="eastAsia"/>
                <w:kern w:val="0"/>
                <w:sz w:val="24"/>
                <w:szCs w:val="24"/>
                <w:vertAlign w:val="superscript"/>
              </w:rPr>
              <w:t>3</w:t>
            </w:r>
            <w:r>
              <w:rPr>
                <w:rFonts w:hint="eastAsia"/>
                <w:kern w:val="0"/>
                <w:sz w:val="24"/>
                <w:szCs w:val="24"/>
              </w:rPr>
              <w:t>/d</w:t>
            </w:r>
            <w:r>
              <w:rPr>
                <w:rFonts w:hint="eastAsia" w:hAnsi="宋体"/>
                <w:bCs/>
                <w:sz w:val="24"/>
                <w:szCs w:val="24"/>
              </w:rPr>
              <w:t>），</w:t>
            </w:r>
            <w:r>
              <w:rPr>
                <w:rFonts w:hint="eastAsia"/>
                <w:sz w:val="24"/>
                <w:szCs w:val="24"/>
              </w:rPr>
              <w:t>则</w:t>
            </w:r>
            <w:r>
              <w:rPr>
                <w:rFonts w:hint="eastAsia" w:hAnsi="宋体"/>
                <w:bCs/>
                <w:sz w:val="24"/>
                <w:szCs w:val="24"/>
              </w:rPr>
              <w:t>生活污水产生量为96m</w:t>
            </w:r>
            <w:r>
              <w:rPr>
                <w:rFonts w:hint="eastAsia" w:hAnsi="宋体"/>
                <w:bCs/>
                <w:sz w:val="24"/>
                <w:szCs w:val="24"/>
                <w:vertAlign w:val="superscript"/>
              </w:rPr>
              <w:t>3</w:t>
            </w:r>
            <w:r>
              <w:rPr>
                <w:rFonts w:hint="eastAsia" w:hAnsi="宋体"/>
                <w:bCs/>
                <w:sz w:val="24"/>
                <w:szCs w:val="24"/>
              </w:rPr>
              <w:t>/a（0.32</w:t>
            </w:r>
            <w:r>
              <w:rPr>
                <w:rFonts w:hint="eastAsia"/>
                <w:kern w:val="0"/>
                <w:sz w:val="24"/>
                <w:szCs w:val="24"/>
              </w:rPr>
              <w:t>m</w:t>
            </w:r>
            <w:r>
              <w:rPr>
                <w:rFonts w:hint="eastAsia"/>
                <w:kern w:val="0"/>
                <w:sz w:val="24"/>
                <w:szCs w:val="24"/>
                <w:vertAlign w:val="superscript"/>
              </w:rPr>
              <w:t>3</w:t>
            </w:r>
            <w:r>
              <w:rPr>
                <w:rFonts w:hint="eastAsia"/>
                <w:kern w:val="0"/>
                <w:sz w:val="24"/>
                <w:szCs w:val="24"/>
              </w:rPr>
              <w:t>/d，</w:t>
            </w:r>
            <w:r>
              <w:rPr>
                <w:rFonts w:hint="eastAsia" w:hAnsi="宋体"/>
                <w:sz w:val="24"/>
                <w:szCs w:val="24"/>
              </w:rPr>
              <w:t>产污系数按80%计</w:t>
            </w:r>
            <w:r>
              <w:rPr>
                <w:rFonts w:hint="eastAsia" w:hAnsi="宋体"/>
                <w:bCs/>
                <w:sz w:val="24"/>
                <w:szCs w:val="24"/>
              </w:rPr>
              <w:t>）。依托厂区内现有化粪池进行收集，</w:t>
            </w:r>
            <w:r>
              <w:rPr>
                <w:sz w:val="24"/>
                <w:szCs w:val="24"/>
              </w:rPr>
              <w:t xml:space="preserve">类比同类生活污水水质：COD </w:t>
            </w:r>
            <w:r>
              <w:rPr>
                <w:rFonts w:hint="eastAsia"/>
                <w:sz w:val="24"/>
                <w:szCs w:val="24"/>
              </w:rPr>
              <w:t>30</w:t>
            </w:r>
            <w:r>
              <w:rPr>
                <w:sz w:val="24"/>
                <w:szCs w:val="24"/>
              </w:rPr>
              <w:t>0</w:t>
            </w:r>
            <w:r>
              <w:rPr>
                <w:bCs/>
                <w:sz w:val="24"/>
                <w:szCs w:val="24"/>
              </w:rPr>
              <w:t>mg/L、NH</w:t>
            </w:r>
            <w:r>
              <w:rPr>
                <w:bCs/>
                <w:sz w:val="24"/>
                <w:szCs w:val="24"/>
                <w:vertAlign w:val="subscript"/>
              </w:rPr>
              <w:t>3</w:t>
            </w:r>
            <w:r>
              <w:rPr>
                <w:bCs/>
                <w:sz w:val="24"/>
                <w:szCs w:val="24"/>
              </w:rPr>
              <w:t>-N</w:t>
            </w:r>
            <w:r>
              <w:rPr>
                <w:rFonts w:hint="eastAsia"/>
                <w:bCs/>
                <w:sz w:val="24"/>
                <w:szCs w:val="24"/>
              </w:rPr>
              <w:t>25</w:t>
            </w:r>
            <w:r>
              <w:rPr>
                <w:bCs/>
                <w:sz w:val="24"/>
                <w:szCs w:val="24"/>
              </w:rPr>
              <w:t>mg/L</w:t>
            </w:r>
            <w:r>
              <w:rPr>
                <w:rFonts w:hint="eastAsia"/>
                <w:bCs/>
                <w:sz w:val="24"/>
                <w:szCs w:val="24"/>
              </w:rPr>
              <w:t>，</w:t>
            </w:r>
            <w:r>
              <w:rPr>
                <w:rFonts w:hint="eastAsia"/>
                <w:kern w:val="0"/>
                <w:sz w:val="24"/>
                <w:szCs w:val="24"/>
              </w:rPr>
              <w:t>COD、氨氮产生量分别为0.0288t/a、0.0024t/a。</w:t>
            </w:r>
            <w:r>
              <w:rPr>
                <w:rFonts w:hint="eastAsia" w:hAnsi="宋体"/>
                <w:bCs/>
                <w:sz w:val="24"/>
                <w:szCs w:val="24"/>
              </w:rPr>
              <w:t>化粪池对</w:t>
            </w:r>
            <w:r>
              <w:rPr>
                <w:rFonts w:hint="eastAsia"/>
                <w:kern w:val="0"/>
                <w:sz w:val="24"/>
                <w:szCs w:val="24"/>
              </w:rPr>
              <w:t>COD、氨氮的处理效率以20%、3%计，生活污水经化粪池处理后COD、氨氮浓度分别为240</w:t>
            </w:r>
            <w:r>
              <w:rPr>
                <w:bCs/>
                <w:sz w:val="24"/>
                <w:szCs w:val="24"/>
              </w:rPr>
              <w:t>mg/L</w:t>
            </w:r>
            <w:r>
              <w:rPr>
                <w:rFonts w:hint="eastAsia"/>
                <w:bCs/>
                <w:sz w:val="24"/>
                <w:szCs w:val="24"/>
              </w:rPr>
              <w:t>、24.25</w:t>
            </w:r>
            <w:r>
              <w:rPr>
                <w:bCs/>
                <w:sz w:val="24"/>
                <w:szCs w:val="24"/>
              </w:rPr>
              <w:t>mg/L</w:t>
            </w:r>
            <w:r>
              <w:rPr>
                <w:rFonts w:hint="eastAsia"/>
                <w:bCs/>
                <w:sz w:val="24"/>
                <w:szCs w:val="24"/>
              </w:rPr>
              <w:t>，</w:t>
            </w:r>
            <w:r>
              <w:rPr>
                <w:rFonts w:hint="eastAsia"/>
                <w:kern w:val="0"/>
                <w:sz w:val="24"/>
                <w:szCs w:val="24"/>
              </w:rPr>
              <w:t>COD、氨氮排放量分别为0.023t/a、0.0023t/a，</w:t>
            </w:r>
            <w:r>
              <w:rPr>
                <w:rFonts w:hint="eastAsia" w:hAnsi="宋体"/>
                <w:bCs/>
                <w:sz w:val="24"/>
                <w:szCs w:val="24"/>
              </w:rPr>
              <w:t>本项目生活污水经化粪池收集后定期用于周围农户肥田。</w:t>
            </w:r>
          </w:p>
          <w:p>
            <w:pPr>
              <w:widowControl/>
              <w:spacing w:line="360" w:lineRule="auto"/>
              <w:rPr>
                <w:kern w:val="0"/>
                <w:sz w:val="24"/>
                <w:szCs w:val="24"/>
              </w:rPr>
            </w:pPr>
            <w:r>
              <w:rPr>
                <w:rFonts w:hint="eastAsia"/>
                <w:b/>
                <w:sz w:val="24"/>
                <w:szCs w:val="24"/>
              </w:rPr>
              <w:t>3噪声</w:t>
            </w:r>
          </w:p>
          <w:p>
            <w:pPr>
              <w:widowControl/>
              <w:spacing w:line="360" w:lineRule="auto"/>
              <w:ind w:firstLine="480" w:firstLineChars="200"/>
              <w:rPr>
                <w:sz w:val="24"/>
                <w:szCs w:val="24"/>
              </w:rPr>
            </w:pPr>
            <w:r>
              <w:rPr>
                <w:sz w:val="24"/>
                <w:szCs w:val="24"/>
              </w:rPr>
              <w:t>本项目噪声源主要是</w:t>
            </w:r>
            <w:r>
              <w:rPr>
                <w:rFonts w:hint="eastAsia"/>
                <w:sz w:val="24"/>
                <w:szCs w:val="24"/>
              </w:rPr>
              <w:t>激光切割机、切割机、剪板机、冲床、折弯机、空压机等</w:t>
            </w:r>
            <w:r>
              <w:rPr>
                <w:sz w:val="24"/>
                <w:szCs w:val="24"/>
              </w:rPr>
              <w:t>机械设备，声源声级值在7</w:t>
            </w:r>
            <w:r>
              <w:rPr>
                <w:rFonts w:hint="eastAsia"/>
                <w:sz w:val="24"/>
                <w:szCs w:val="24"/>
              </w:rPr>
              <w:t>5</w:t>
            </w:r>
            <w:r>
              <w:rPr>
                <w:sz w:val="24"/>
                <w:szCs w:val="24"/>
              </w:rPr>
              <w:t>～</w:t>
            </w:r>
            <w:r>
              <w:rPr>
                <w:rFonts w:hint="eastAsia"/>
                <w:sz w:val="24"/>
                <w:szCs w:val="24"/>
              </w:rPr>
              <w:t>88</w:t>
            </w:r>
            <w:r>
              <w:rPr>
                <w:sz w:val="24"/>
                <w:szCs w:val="24"/>
              </w:rPr>
              <w:t>dB（A）之间</w:t>
            </w:r>
            <w:r>
              <w:rPr>
                <w:rFonts w:hint="eastAsia"/>
                <w:sz w:val="24"/>
                <w:szCs w:val="24"/>
              </w:rPr>
              <w:t>，项目仅昼间生产</w:t>
            </w:r>
            <w:r>
              <w:rPr>
                <w:sz w:val="24"/>
                <w:szCs w:val="24"/>
              </w:rPr>
              <w:t>。</w:t>
            </w:r>
            <w:r>
              <w:rPr>
                <w:rFonts w:hint="eastAsia"/>
                <w:kern w:val="0"/>
                <w:sz w:val="24"/>
                <w:szCs w:val="24"/>
              </w:rPr>
              <w:t>噪声源强及拟采取的治理措施见下表。</w:t>
            </w:r>
          </w:p>
          <w:p>
            <w:pPr>
              <w:adjustRightInd w:val="0"/>
              <w:snapToGrid w:val="0"/>
              <w:ind w:firstLine="1080" w:firstLineChars="450"/>
              <w:rPr>
                <w:rFonts w:ascii="黑体" w:eastAsia="黑体"/>
                <w:sz w:val="24"/>
              </w:rPr>
            </w:pPr>
            <w:r>
              <w:rPr>
                <w:rFonts w:eastAsia="黑体"/>
                <w:sz w:val="24"/>
              </w:rPr>
              <w:t>表</w:t>
            </w:r>
            <w:r>
              <w:rPr>
                <w:rFonts w:hint="eastAsia" w:eastAsia="黑体"/>
                <w:sz w:val="24"/>
              </w:rPr>
              <w:t>1</w:t>
            </w:r>
            <w:r>
              <w:rPr>
                <w:rFonts w:hint="eastAsia" w:eastAsia="黑体"/>
                <w:sz w:val="24"/>
                <w:lang w:val="en-US" w:eastAsia="zh-CN"/>
              </w:rPr>
              <w:t>5</w:t>
            </w:r>
            <w:r>
              <w:rPr>
                <w:rFonts w:hint="eastAsia" w:eastAsia="黑体"/>
                <w:sz w:val="24"/>
              </w:rPr>
              <w:t xml:space="preserve">                </w:t>
            </w:r>
            <w:r>
              <w:rPr>
                <w:rFonts w:hint="eastAsia" w:ascii="黑体" w:eastAsia="黑体"/>
                <w:sz w:val="24"/>
                <w:szCs w:val="24"/>
              </w:rPr>
              <w:t>设备声源参数            单位：</w:t>
            </w:r>
            <w:r>
              <w:rPr>
                <w:rFonts w:eastAsia="黑体"/>
                <w:sz w:val="24"/>
              </w:rPr>
              <w:t>dB(A)</w:t>
            </w:r>
          </w:p>
          <w:tbl>
            <w:tblPr>
              <w:tblStyle w:val="27"/>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884"/>
              <w:gridCol w:w="1563"/>
              <w:gridCol w:w="1340"/>
              <w:gridCol w:w="214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adjustRightInd w:val="0"/>
                    <w:snapToGrid w:val="0"/>
                    <w:spacing w:line="360" w:lineRule="exact"/>
                    <w:jc w:val="center"/>
                    <w:rPr>
                      <w:color w:val="000000" w:themeColor="text1"/>
                      <w:szCs w:val="21"/>
                    </w:rPr>
                  </w:pPr>
                  <w:r>
                    <w:rPr>
                      <w:color w:val="000000" w:themeColor="text1"/>
                      <w:szCs w:val="21"/>
                    </w:rPr>
                    <w:t>主要高噪设备</w:t>
                  </w:r>
                </w:p>
              </w:tc>
              <w:tc>
                <w:tcPr>
                  <w:tcW w:w="884" w:type="dxa"/>
                </w:tcPr>
                <w:p>
                  <w:pPr>
                    <w:spacing w:line="360" w:lineRule="exact"/>
                    <w:jc w:val="center"/>
                    <w:rPr>
                      <w:bCs/>
                      <w:color w:val="000000" w:themeColor="text1"/>
                      <w:szCs w:val="21"/>
                    </w:rPr>
                  </w:pPr>
                  <w:r>
                    <w:rPr>
                      <w:rFonts w:hint="eastAsia"/>
                      <w:bCs/>
                      <w:color w:val="000000" w:themeColor="text1"/>
                      <w:szCs w:val="21"/>
                    </w:rPr>
                    <w:t>数量</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声源声级值</w:t>
                  </w:r>
                </w:p>
              </w:tc>
              <w:tc>
                <w:tcPr>
                  <w:tcW w:w="1340" w:type="dxa"/>
                </w:tcPr>
                <w:p>
                  <w:pPr>
                    <w:spacing w:line="360" w:lineRule="exact"/>
                    <w:jc w:val="center"/>
                    <w:rPr>
                      <w:bCs/>
                      <w:color w:val="000000" w:themeColor="text1"/>
                      <w:szCs w:val="21"/>
                    </w:rPr>
                  </w:pPr>
                  <w:r>
                    <w:rPr>
                      <w:rFonts w:hint="eastAsia"/>
                      <w:bCs/>
                      <w:color w:val="000000" w:themeColor="text1"/>
                      <w:szCs w:val="21"/>
                    </w:rPr>
                    <w:t>工作方式</w:t>
                  </w:r>
                </w:p>
              </w:tc>
              <w:tc>
                <w:tcPr>
                  <w:tcW w:w="2149" w:type="dxa"/>
                  <w:vAlign w:val="center"/>
                </w:tcPr>
                <w:p>
                  <w:pPr>
                    <w:spacing w:line="360" w:lineRule="exact"/>
                    <w:jc w:val="center"/>
                    <w:rPr>
                      <w:bCs/>
                      <w:color w:val="000000" w:themeColor="text1"/>
                      <w:szCs w:val="21"/>
                    </w:rPr>
                  </w:pPr>
                  <w:r>
                    <w:rPr>
                      <w:color w:val="000000" w:themeColor="text1"/>
                      <w:szCs w:val="21"/>
                    </w:rPr>
                    <w:t>减噪措施</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激光切割机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80</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折弯机</w:t>
                  </w:r>
                </w:p>
              </w:tc>
              <w:tc>
                <w:tcPr>
                  <w:tcW w:w="884" w:type="dxa"/>
                  <w:vAlign w:val="center"/>
                </w:tcPr>
                <w:p>
                  <w:pPr>
                    <w:jc w:val="center"/>
                    <w:rPr>
                      <w:szCs w:val="21"/>
                    </w:rPr>
                  </w:pPr>
                  <w:r>
                    <w:rPr>
                      <w:rFonts w:hint="eastAsia"/>
                      <w:szCs w:val="21"/>
                    </w:rPr>
                    <w:t>2</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7</w:t>
                  </w:r>
                  <w:r>
                    <w:rPr>
                      <w:rFonts w:hint="eastAsia"/>
                      <w:color w:val="000000" w:themeColor="text1"/>
                      <w:szCs w:val="21"/>
                    </w:rPr>
                    <w:t>5</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color w:val="000000"/>
                      <w:szCs w:val="21"/>
                    </w:rPr>
                  </w:pPr>
                  <w:r>
                    <w:rPr>
                      <w:rFonts w:hint="eastAsia"/>
                      <w:color w:val="000000"/>
                      <w:szCs w:val="21"/>
                    </w:rPr>
                    <w:t>冲床</w:t>
                  </w:r>
                </w:p>
              </w:tc>
              <w:tc>
                <w:tcPr>
                  <w:tcW w:w="884" w:type="dxa"/>
                  <w:vAlign w:val="center"/>
                </w:tcPr>
                <w:p>
                  <w:pPr>
                    <w:jc w:val="center"/>
                    <w:rPr>
                      <w:szCs w:val="21"/>
                    </w:rPr>
                  </w:pPr>
                  <w:r>
                    <w:rPr>
                      <w:rFonts w:hint="eastAsia"/>
                      <w:szCs w:val="21"/>
                    </w:rPr>
                    <w:t>2</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86</w:t>
                  </w:r>
                </w:p>
              </w:tc>
              <w:tc>
                <w:tcPr>
                  <w:tcW w:w="1340" w:type="dxa"/>
                </w:tcPr>
                <w:p>
                  <w:pPr>
                    <w:spacing w:line="360" w:lineRule="exact"/>
                    <w:jc w:val="center"/>
                    <w:rPr>
                      <w:bCs/>
                      <w:color w:val="000000" w:themeColor="text1"/>
                      <w:szCs w:val="21"/>
                    </w:rPr>
                  </w:pPr>
                  <w:r>
                    <w:rPr>
                      <w:rFonts w:hint="eastAsia"/>
                      <w:bCs/>
                      <w:color w:val="000000" w:themeColor="text1"/>
                      <w:szCs w:val="21"/>
                    </w:rPr>
                    <w:t>间断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szCs w:val="21"/>
                    </w:rPr>
                    <w:t>空压机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88</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color w:val="000000" w:themeColor="text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剪板机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83</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color w:val="000000" w:themeColor="text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切割机</w:t>
                  </w:r>
                </w:p>
              </w:tc>
              <w:tc>
                <w:tcPr>
                  <w:tcW w:w="884" w:type="dxa"/>
                  <w:vAlign w:val="center"/>
                </w:tcPr>
                <w:p>
                  <w:pPr>
                    <w:spacing w:line="360" w:lineRule="exact"/>
                    <w:jc w:val="center"/>
                    <w:rPr>
                      <w:bCs/>
                      <w:color w:val="000000" w:themeColor="text1"/>
                      <w:szCs w:val="21"/>
                    </w:rPr>
                  </w:pPr>
                  <w:r>
                    <w:rPr>
                      <w:rFonts w:hint="eastAsia"/>
                      <w:bCs/>
                      <w:color w:val="000000" w:themeColor="text1"/>
                      <w:szCs w:val="21"/>
                    </w:rPr>
                    <w:t>1台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82</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bl>
          <w:p>
            <w:pPr>
              <w:widowControl/>
              <w:spacing w:line="360" w:lineRule="auto"/>
              <w:rPr>
                <w:rFonts w:hAnsi="宋体"/>
                <w:b/>
                <w:sz w:val="24"/>
                <w:szCs w:val="24"/>
              </w:rPr>
            </w:pPr>
            <w:r>
              <w:rPr>
                <w:rFonts w:hint="eastAsia" w:hAnsi="宋体"/>
                <w:b/>
                <w:sz w:val="24"/>
                <w:szCs w:val="24"/>
              </w:rPr>
              <w:t xml:space="preserve">4 </w:t>
            </w:r>
            <w:r>
              <w:rPr>
                <w:rFonts w:hAnsi="宋体"/>
                <w:b/>
                <w:sz w:val="24"/>
                <w:szCs w:val="24"/>
              </w:rPr>
              <w:t>固体废物</w:t>
            </w:r>
          </w:p>
          <w:p>
            <w:pPr>
              <w:widowControl/>
              <w:spacing w:line="360" w:lineRule="auto"/>
              <w:ind w:firstLine="480" w:firstLineChars="200"/>
              <w:rPr>
                <w:sz w:val="24"/>
                <w:szCs w:val="24"/>
              </w:rPr>
            </w:pPr>
            <w:r>
              <w:rPr>
                <w:sz w:val="24"/>
                <w:szCs w:val="24"/>
              </w:rPr>
              <w:t>本项目产生的固体废物主要为职工生活垃圾、</w:t>
            </w:r>
            <w:r>
              <w:rPr>
                <w:rFonts w:hint="eastAsia"/>
                <w:sz w:val="24"/>
                <w:szCs w:val="24"/>
              </w:rPr>
              <w:t>废</w:t>
            </w:r>
            <w:r>
              <w:rPr>
                <w:sz w:val="24"/>
                <w:szCs w:val="24"/>
              </w:rPr>
              <w:t>边角料</w:t>
            </w:r>
            <w:r>
              <w:rPr>
                <w:rFonts w:hint="eastAsia"/>
                <w:sz w:val="24"/>
                <w:szCs w:val="24"/>
              </w:rPr>
              <w:t>、废机油、</w:t>
            </w:r>
            <w:r>
              <w:rPr>
                <w:rFonts w:hint="eastAsia"/>
                <w:sz w:val="24"/>
                <w:szCs w:val="24"/>
                <w:lang w:eastAsia="zh-CN"/>
              </w:rPr>
              <w:t>废液压油、</w:t>
            </w:r>
            <w:r>
              <w:rPr>
                <w:rFonts w:hint="eastAsia"/>
                <w:sz w:val="24"/>
                <w:szCs w:val="24"/>
              </w:rPr>
              <w:t>废包装袋</w:t>
            </w:r>
            <w:r>
              <w:rPr>
                <w:rFonts w:hint="eastAsia"/>
                <w:sz w:val="24"/>
                <w:szCs w:val="24"/>
                <w:lang w:eastAsia="zh-CN"/>
              </w:rPr>
              <w:t>、袋式除尘器收集的粉尘</w:t>
            </w:r>
            <w:r>
              <w:rPr>
                <w:rFonts w:hint="eastAsia"/>
                <w:sz w:val="24"/>
                <w:szCs w:val="24"/>
              </w:rPr>
              <w:t>等。</w:t>
            </w:r>
            <w:r>
              <w:rPr>
                <w:sz w:val="24"/>
                <w:szCs w:val="24"/>
              </w:rPr>
              <w:t>本项目固废产生及</w:t>
            </w:r>
            <w:r>
              <w:rPr>
                <w:rFonts w:hint="eastAsia"/>
                <w:sz w:val="24"/>
                <w:szCs w:val="24"/>
              </w:rPr>
              <w:t>存放</w:t>
            </w:r>
            <w:r>
              <w:rPr>
                <w:sz w:val="24"/>
                <w:szCs w:val="24"/>
              </w:rPr>
              <w:t>处理处置方式见</w:t>
            </w:r>
            <w:r>
              <w:rPr>
                <w:rFonts w:hint="eastAsia"/>
                <w:sz w:val="24"/>
                <w:szCs w:val="24"/>
              </w:rPr>
              <w:t>下表</w:t>
            </w:r>
            <w:r>
              <w:rPr>
                <w:sz w:val="24"/>
                <w:szCs w:val="24"/>
              </w:rPr>
              <w:t>。</w:t>
            </w:r>
          </w:p>
          <w:p>
            <w:pPr>
              <w:widowControl/>
              <w:adjustRightInd w:val="0"/>
              <w:snapToGrid w:val="0"/>
              <w:ind w:firstLine="1080" w:firstLineChars="450"/>
              <w:jc w:val="left"/>
              <w:rPr>
                <w:rFonts w:ascii="黑体" w:hAnsi="黑体" w:eastAsia="黑体"/>
                <w:kern w:val="0"/>
                <w:sz w:val="24"/>
              </w:rPr>
            </w:pPr>
            <w:r>
              <w:rPr>
                <w:rFonts w:ascii="黑体" w:hAnsi="黑体" w:eastAsia="黑体"/>
                <w:kern w:val="0"/>
                <w:sz w:val="24"/>
              </w:rPr>
              <w:t>表</w:t>
            </w:r>
            <w:r>
              <w:rPr>
                <w:rFonts w:hint="eastAsia" w:ascii="黑体" w:hAnsi="黑体" w:eastAsia="黑体"/>
                <w:kern w:val="0"/>
                <w:sz w:val="24"/>
              </w:rPr>
              <w:t>1</w:t>
            </w:r>
            <w:r>
              <w:rPr>
                <w:rFonts w:hint="eastAsia" w:ascii="黑体" w:hAnsi="黑体" w:eastAsia="黑体"/>
                <w:kern w:val="0"/>
                <w:sz w:val="24"/>
                <w:lang w:val="en-US" w:eastAsia="zh-CN"/>
              </w:rPr>
              <w:t>6</w:t>
            </w:r>
            <w:r>
              <w:rPr>
                <w:rFonts w:hint="eastAsia" w:ascii="黑体" w:hAnsi="黑体" w:eastAsia="黑体"/>
                <w:kern w:val="0"/>
                <w:sz w:val="24"/>
              </w:rPr>
              <w:t xml:space="preserve">               </w:t>
            </w:r>
            <w:r>
              <w:rPr>
                <w:rFonts w:ascii="黑体" w:hAnsi="黑体" w:eastAsia="黑体"/>
                <w:kern w:val="0"/>
                <w:sz w:val="24"/>
              </w:rPr>
              <w:t>固废产生量及处置方式一览表</w:t>
            </w:r>
          </w:p>
          <w:tbl>
            <w:tblPr>
              <w:tblStyle w:val="27"/>
              <w:tblW w:w="90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6"/>
              <w:gridCol w:w="1915"/>
              <w:gridCol w:w="1155"/>
              <w:gridCol w:w="1109"/>
              <w:gridCol w:w="2660"/>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序号</w:t>
                  </w:r>
                </w:p>
              </w:tc>
              <w:tc>
                <w:tcPr>
                  <w:tcW w:w="1915" w:type="dxa"/>
                  <w:vAlign w:val="center"/>
                </w:tcPr>
                <w:p>
                  <w:pPr>
                    <w:jc w:val="center"/>
                    <w:rPr>
                      <w:szCs w:val="21"/>
                    </w:rPr>
                  </w:pPr>
                  <w:r>
                    <w:rPr>
                      <w:szCs w:val="21"/>
                    </w:rPr>
                    <w:t>污染物名称</w:t>
                  </w:r>
                </w:p>
              </w:tc>
              <w:tc>
                <w:tcPr>
                  <w:tcW w:w="1155" w:type="dxa"/>
                  <w:vAlign w:val="center"/>
                </w:tcPr>
                <w:p>
                  <w:pPr>
                    <w:jc w:val="center"/>
                    <w:rPr>
                      <w:szCs w:val="21"/>
                    </w:rPr>
                  </w:pPr>
                  <w:r>
                    <w:rPr>
                      <w:szCs w:val="21"/>
                    </w:rPr>
                    <w:t>数量</w:t>
                  </w:r>
                </w:p>
              </w:tc>
              <w:tc>
                <w:tcPr>
                  <w:tcW w:w="1109" w:type="dxa"/>
                  <w:vAlign w:val="center"/>
                </w:tcPr>
                <w:p>
                  <w:pPr>
                    <w:jc w:val="center"/>
                    <w:rPr>
                      <w:szCs w:val="21"/>
                    </w:rPr>
                  </w:pPr>
                  <w:r>
                    <w:rPr>
                      <w:szCs w:val="21"/>
                    </w:rPr>
                    <w:t>性质</w:t>
                  </w:r>
                </w:p>
              </w:tc>
              <w:tc>
                <w:tcPr>
                  <w:tcW w:w="2660" w:type="dxa"/>
                  <w:vAlign w:val="center"/>
                </w:tcPr>
                <w:p>
                  <w:pPr>
                    <w:jc w:val="center"/>
                    <w:rPr>
                      <w:szCs w:val="21"/>
                    </w:rPr>
                  </w:pPr>
                  <w:r>
                    <w:rPr>
                      <w:szCs w:val="21"/>
                    </w:rPr>
                    <w:t>处置方式</w:t>
                  </w:r>
                </w:p>
              </w:tc>
              <w:tc>
                <w:tcPr>
                  <w:tcW w:w="1559" w:type="dxa"/>
                  <w:vAlign w:val="center"/>
                </w:tcPr>
                <w:p>
                  <w:pPr>
                    <w:jc w:val="center"/>
                    <w:rPr>
                      <w:szCs w:val="21"/>
                    </w:rPr>
                  </w:pPr>
                  <w:r>
                    <w:rPr>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1</w:t>
                  </w:r>
                </w:p>
              </w:tc>
              <w:tc>
                <w:tcPr>
                  <w:tcW w:w="1915" w:type="dxa"/>
                  <w:vAlign w:val="center"/>
                </w:tcPr>
                <w:p>
                  <w:pPr>
                    <w:jc w:val="center"/>
                    <w:rPr>
                      <w:szCs w:val="21"/>
                    </w:rPr>
                  </w:pPr>
                  <w:r>
                    <w:rPr>
                      <w:szCs w:val="21"/>
                    </w:rPr>
                    <w:t>生活垃圾</w:t>
                  </w:r>
                </w:p>
              </w:tc>
              <w:tc>
                <w:tcPr>
                  <w:tcW w:w="1155" w:type="dxa"/>
                  <w:vAlign w:val="center"/>
                </w:tcPr>
                <w:p>
                  <w:pPr>
                    <w:jc w:val="center"/>
                    <w:rPr>
                      <w:szCs w:val="21"/>
                    </w:rPr>
                  </w:pPr>
                  <w:r>
                    <w:rPr>
                      <w:rFonts w:hint="eastAsia"/>
                      <w:szCs w:val="21"/>
                    </w:rPr>
                    <w:t>1.5</w:t>
                  </w:r>
                  <w:r>
                    <w:rPr>
                      <w:szCs w:val="21"/>
                    </w:rPr>
                    <w:t>t/a</w:t>
                  </w:r>
                </w:p>
              </w:tc>
              <w:tc>
                <w:tcPr>
                  <w:tcW w:w="1109" w:type="dxa"/>
                  <w:vAlign w:val="center"/>
                </w:tcPr>
                <w:p>
                  <w:pPr>
                    <w:jc w:val="center"/>
                    <w:rPr>
                      <w:szCs w:val="21"/>
                    </w:rPr>
                  </w:pPr>
                  <w:r>
                    <w:rPr>
                      <w:szCs w:val="21"/>
                    </w:rPr>
                    <w:t>一般固废</w:t>
                  </w:r>
                </w:p>
              </w:tc>
              <w:tc>
                <w:tcPr>
                  <w:tcW w:w="2660" w:type="dxa"/>
                  <w:vAlign w:val="center"/>
                </w:tcPr>
                <w:p>
                  <w:pPr>
                    <w:rPr>
                      <w:szCs w:val="21"/>
                    </w:rPr>
                  </w:pPr>
                  <w:r>
                    <w:rPr>
                      <w:szCs w:val="21"/>
                    </w:rPr>
                    <w:t>环卫部门清运至生活垃圾填埋场</w:t>
                  </w:r>
                </w:p>
              </w:tc>
              <w:tc>
                <w:tcPr>
                  <w:tcW w:w="1559" w:type="dxa"/>
                  <w:vAlign w:val="center"/>
                </w:tcPr>
                <w:p>
                  <w:pPr>
                    <w:jc w:val="center"/>
                    <w:rPr>
                      <w:szCs w:val="21"/>
                    </w:rPr>
                  </w:pPr>
                  <w:r>
                    <w:rPr>
                      <w:szCs w:val="21"/>
                    </w:rPr>
                    <w:t>按0.5kg/(人•天)计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2</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1155" w:type="dxa"/>
                  <w:vAlign w:val="center"/>
                </w:tcPr>
                <w:p>
                  <w:pPr>
                    <w:widowControl/>
                    <w:autoSpaceDE w:val="0"/>
                    <w:autoSpaceDN w:val="0"/>
                    <w:adjustRightInd w:val="0"/>
                    <w:snapToGrid w:val="0"/>
                    <w:jc w:val="center"/>
                    <w:rPr>
                      <w:color w:val="000000"/>
                      <w:kern w:val="0"/>
                      <w:szCs w:val="21"/>
                    </w:rPr>
                  </w:pPr>
                  <w:r>
                    <w:rPr>
                      <w:rFonts w:hint="eastAsia" w:hAnsi="宋体"/>
                      <w:color w:val="000000"/>
                      <w:kern w:val="0"/>
                      <w:szCs w:val="21"/>
                      <w:lang w:val="en-US" w:eastAsia="zh-CN"/>
                    </w:rPr>
                    <w:t>2</w:t>
                  </w:r>
                  <w:r>
                    <w:rPr>
                      <w:rFonts w:hint="eastAsia"/>
                      <w:color w:val="000000"/>
                      <w:kern w:val="0"/>
                      <w:szCs w:val="21"/>
                    </w:rPr>
                    <w:t>t/a</w:t>
                  </w:r>
                </w:p>
              </w:tc>
              <w:tc>
                <w:tcPr>
                  <w:tcW w:w="1109" w:type="dxa"/>
                  <w:vMerge w:val="restart"/>
                  <w:vAlign w:val="center"/>
                </w:tcPr>
                <w:p>
                  <w:pPr>
                    <w:jc w:val="center"/>
                    <w:rPr>
                      <w:szCs w:val="21"/>
                    </w:rPr>
                  </w:pPr>
                  <w:r>
                    <w:rPr>
                      <w:szCs w:val="21"/>
                    </w:rPr>
                    <w:t>一般工业固废</w:t>
                  </w:r>
                </w:p>
              </w:tc>
              <w:tc>
                <w:tcPr>
                  <w:tcW w:w="2660" w:type="dxa"/>
                  <w:vAlign w:val="center"/>
                </w:tcPr>
                <w:p>
                  <w:pPr>
                    <w:rPr>
                      <w:szCs w:val="21"/>
                    </w:rPr>
                  </w:pPr>
                  <w:r>
                    <w:rPr>
                      <w:rFonts w:hint="eastAsia"/>
                      <w:szCs w:val="21"/>
                    </w:rPr>
                    <w:t>固废堆场</w:t>
                  </w:r>
                  <w:r>
                    <w:rPr>
                      <w:szCs w:val="21"/>
                    </w:rPr>
                    <w:t>暂存</w:t>
                  </w:r>
                  <w:r>
                    <w:rPr>
                      <w:rFonts w:hint="eastAsia"/>
                      <w:szCs w:val="21"/>
                    </w:rPr>
                    <w:t>后</w:t>
                  </w:r>
                  <w:r>
                    <w:rPr>
                      <w:szCs w:val="21"/>
                    </w:rPr>
                    <w:t>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val="en-US" w:eastAsia="zh-CN"/>
                    </w:rPr>
                  </w:pPr>
                  <w:r>
                    <w:rPr>
                      <w:rFonts w:hint="eastAsia"/>
                      <w:szCs w:val="21"/>
                      <w:lang w:val="en-US" w:eastAsia="zh-CN"/>
                    </w:rPr>
                    <w:t>3</w:t>
                  </w:r>
                </w:p>
              </w:tc>
              <w:tc>
                <w:tcPr>
                  <w:tcW w:w="1915" w:type="dxa"/>
                  <w:vAlign w:val="center"/>
                </w:tcPr>
                <w:p>
                  <w:pPr>
                    <w:widowControl/>
                    <w:autoSpaceDE w:val="0"/>
                    <w:autoSpaceDN w:val="0"/>
                    <w:adjustRightInd w:val="0"/>
                    <w:snapToGrid w:val="0"/>
                    <w:jc w:val="center"/>
                    <w:rPr>
                      <w:rFonts w:hint="eastAsia" w:eastAsia="宋体"/>
                      <w:color w:val="000000"/>
                      <w:kern w:val="0"/>
                      <w:szCs w:val="21"/>
                      <w:u w:val="single"/>
                      <w:lang w:eastAsia="zh-CN"/>
                    </w:rPr>
                  </w:pPr>
                  <w:r>
                    <w:rPr>
                      <w:rFonts w:hint="eastAsia"/>
                      <w:color w:val="000000"/>
                      <w:kern w:val="0"/>
                      <w:szCs w:val="21"/>
                      <w:u w:val="single"/>
                      <w:lang w:eastAsia="zh-CN"/>
                    </w:rPr>
                    <w:t>袋式除尘器收集的粉尘</w:t>
                  </w:r>
                </w:p>
              </w:tc>
              <w:tc>
                <w:tcPr>
                  <w:tcW w:w="1155" w:type="dxa"/>
                  <w:vAlign w:val="center"/>
                </w:tcPr>
                <w:p>
                  <w:pPr>
                    <w:widowControl/>
                    <w:autoSpaceDE w:val="0"/>
                    <w:autoSpaceDN w:val="0"/>
                    <w:adjustRightInd w:val="0"/>
                    <w:snapToGrid w:val="0"/>
                    <w:jc w:val="center"/>
                    <w:rPr>
                      <w:rFonts w:hint="eastAsia" w:hAnsi="宋体"/>
                      <w:color w:val="000000"/>
                      <w:kern w:val="0"/>
                      <w:szCs w:val="21"/>
                      <w:u w:val="single"/>
                      <w:lang w:val="en-US" w:eastAsia="zh-CN"/>
                    </w:rPr>
                  </w:pPr>
                  <w:r>
                    <w:rPr>
                      <w:rFonts w:hint="eastAsia" w:hAnsi="宋体"/>
                      <w:color w:val="000000"/>
                      <w:kern w:val="0"/>
                      <w:szCs w:val="21"/>
                      <w:u w:val="single"/>
                      <w:lang w:val="en-US" w:eastAsia="zh-CN"/>
                    </w:rPr>
                    <w:t>0.063t/a</w:t>
                  </w:r>
                </w:p>
              </w:tc>
              <w:tc>
                <w:tcPr>
                  <w:tcW w:w="1109" w:type="dxa"/>
                  <w:vMerge w:val="continue"/>
                  <w:vAlign w:val="center"/>
                </w:tcPr>
                <w:p>
                  <w:pPr>
                    <w:jc w:val="center"/>
                    <w:rPr>
                      <w:szCs w:val="21"/>
                    </w:rPr>
                  </w:pPr>
                </w:p>
              </w:tc>
              <w:tc>
                <w:tcPr>
                  <w:tcW w:w="2660" w:type="dxa"/>
                  <w:vAlign w:val="center"/>
                </w:tcPr>
                <w:p>
                  <w:pPr>
                    <w:rPr>
                      <w:rFonts w:hint="eastAsia"/>
                      <w:szCs w:val="21"/>
                    </w:rPr>
                  </w:pPr>
                  <w:r>
                    <w:rPr>
                      <w:rFonts w:hint="eastAsia"/>
                      <w:szCs w:val="21"/>
                    </w:rPr>
                    <w:t>固废堆场</w:t>
                  </w:r>
                  <w:r>
                    <w:rPr>
                      <w:szCs w:val="21"/>
                    </w:rPr>
                    <w:t>暂存</w:t>
                  </w:r>
                  <w:r>
                    <w:rPr>
                      <w:rFonts w:hint="eastAsia"/>
                      <w:szCs w:val="21"/>
                    </w:rPr>
                    <w:t>后</w:t>
                  </w:r>
                  <w:r>
                    <w:rPr>
                      <w:szCs w:val="21"/>
                    </w:rPr>
                    <w:t>外售</w:t>
                  </w:r>
                </w:p>
              </w:tc>
              <w:tc>
                <w:tcPr>
                  <w:tcW w:w="1559" w:type="dxa"/>
                  <w:vAlign w:val="center"/>
                </w:tcPr>
                <w:p>
                  <w:pPr>
                    <w:jc w:val="center"/>
                    <w:rPr>
                      <w:rFonts w:hint="eastAsia"/>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eastAsia="zh-CN"/>
                    </w:rPr>
                  </w:pPr>
                  <w:r>
                    <w:rPr>
                      <w:rFonts w:hint="eastAsia"/>
                      <w:szCs w:val="21"/>
                      <w:lang w:val="en-US" w:eastAsia="zh-CN"/>
                    </w:rPr>
                    <w:t>4</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115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0.1t/a</w:t>
                  </w:r>
                </w:p>
              </w:tc>
              <w:tc>
                <w:tcPr>
                  <w:tcW w:w="1109" w:type="dxa"/>
                  <w:vMerge w:val="continue"/>
                  <w:vAlign w:val="center"/>
                </w:tcPr>
                <w:p>
                  <w:pPr>
                    <w:jc w:val="center"/>
                    <w:rPr>
                      <w:szCs w:val="21"/>
                    </w:rPr>
                  </w:pPr>
                </w:p>
              </w:tc>
              <w:tc>
                <w:tcPr>
                  <w:tcW w:w="2660" w:type="dxa"/>
                  <w:vAlign w:val="center"/>
                </w:tcPr>
                <w:p>
                  <w:pPr>
                    <w:rPr>
                      <w:szCs w:val="21"/>
                    </w:rPr>
                  </w:pPr>
                  <w:r>
                    <w:rPr>
                      <w:rFonts w:hint="eastAsia"/>
                      <w:szCs w:val="21"/>
                    </w:rPr>
                    <w:t>车间固废堆场</w:t>
                  </w:r>
                  <w:r>
                    <w:rPr>
                      <w:szCs w:val="21"/>
                    </w:rPr>
                    <w:t>暂存</w:t>
                  </w:r>
                  <w:r>
                    <w:rPr>
                      <w:rFonts w:hint="eastAsia"/>
                      <w:szCs w:val="21"/>
                    </w:rPr>
                    <w:t>后外售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eastAsia="zh-CN"/>
                    </w:rPr>
                  </w:pPr>
                  <w:r>
                    <w:rPr>
                      <w:rFonts w:hint="eastAsia"/>
                      <w:szCs w:val="21"/>
                      <w:lang w:val="en-US" w:eastAsia="zh-CN"/>
                    </w:rPr>
                    <w:t>5</w:t>
                  </w:r>
                </w:p>
              </w:tc>
              <w:tc>
                <w:tcPr>
                  <w:tcW w:w="1915" w:type="dxa"/>
                  <w:vAlign w:val="center"/>
                </w:tcPr>
                <w:p>
                  <w:pPr>
                    <w:jc w:val="center"/>
                    <w:rPr>
                      <w:szCs w:val="21"/>
                    </w:rPr>
                  </w:pPr>
                  <w:r>
                    <w:rPr>
                      <w:szCs w:val="21"/>
                    </w:rPr>
                    <w:t>废</w:t>
                  </w:r>
                  <w:r>
                    <w:rPr>
                      <w:rFonts w:hint="eastAsia"/>
                      <w:szCs w:val="21"/>
                    </w:rPr>
                    <w:t>机油</w:t>
                  </w:r>
                </w:p>
              </w:tc>
              <w:tc>
                <w:tcPr>
                  <w:tcW w:w="1155" w:type="dxa"/>
                  <w:vAlign w:val="center"/>
                </w:tcPr>
                <w:p>
                  <w:pPr>
                    <w:jc w:val="center"/>
                    <w:rPr>
                      <w:szCs w:val="21"/>
                    </w:rPr>
                  </w:pPr>
                  <w:r>
                    <w:rPr>
                      <w:rFonts w:hint="eastAsia"/>
                      <w:szCs w:val="21"/>
                    </w:rPr>
                    <w:t>0.01t/a</w:t>
                  </w:r>
                </w:p>
              </w:tc>
              <w:tc>
                <w:tcPr>
                  <w:tcW w:w="1109" w:type="dxa"/>
                  <w:vAlign w:val="center"/>
                </w:tcPr>
                <w:p>
                  <w:pPr>
                    <w:jc w:val="center"/>
                    <w:rPr>
                      <w:rFonts w:hint="eastAsia" w:eastAsia="宋体"/>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szCs w:val="21"/>
                    </w:rPr>
                  </w:pPr>
                  <w:r>
                    <w:rPr>
                      <w:rFonts w:hint="eastAsia"/>
                      <w:szCs w:val="21"/>
                    </w:rPr>
                    <w:t>900-249-08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szCs w:val="21"/>
                      <w:lang w:val="en-US" w:eastAsia="zh-CN"/>
                    </w:rPr>
                  </w:pPr>
                  <w:r>
                    <w:rPr>
                      <w:rFonts w:hint="eastAsia"/>
                      <w:szCs w:val="21"/>
                      <w:lang w:val="en-US" w:eastAsia="zh-CN"/>
                    </w:rPr>
                    <w:t>6</w:t>
                  </w:r>
                </w:p>
              </w:tc>
              <w:tc>
                <w:tcPr>
                  <w:tcW w:w="1915" w:type="dxa"/>
                  <w:vAlign w:val="center"/>
                </w:tcPr>
                <w:p>
                  <w:pPr>
                    <w:jc w:val="center"/>
                    <w:rPr>
                      <w:szCs w:val="21"/>
                    </w:rPr>
                  </w:pPr>
                  <w:r>
                    <w:rPr>
                      <w:szCs w:val="21"/>
                    </w:rPr>
                    <w:t>废</w:t>
                  </w:r>
                  <w:r>
                    <w:rPr>
                      <w:rFonts w:hint="eastAsia"/>
                      <w:szCs w:val="21"/>
                      <w:lang w:eastAsia="zh-CN"/>
                    </w:rPr>
                    <w:t>液压</w:t>
                  </w:r>
                  <w:r>
                    <w:rPr>
                      <w:rFonts w:hint="eastAsia"/>
                      <w:szCs w:val="21"/>
                    </w:rPr>
                    <w:t>油</w:t>
                  </w:r>
                </w:p>
              </w:tc>
              <w:tc>
                <w:tcPr>
                  <w:tcW w:w="1155" w:type="dxa"/>
                  <w:vAlign w:val="center"/>
                </w:tcPr>
                <w:p>
                  <w:pPr>
                    <w:jc w:val="center"/>
                    <w:rPr>
                      <w:rFonts w:hint="eastAsia"/>
                      <w:szCs w:val="21"/>
                    </w:rPr>
                  </w:pPr>
                  <w:r>
                    <w:rPr>
                      <w:rFonts w:hint="eastAsia"/>
                      <w:szCs w:val="21"/>
                    </w:rPr>
                    <w:t>0.01t/a</w:t>
                  </w:r>
                </w:p>
              </w:tc>
              <w:tc>
                <w:tcPr>
                  <w:tcW w:w="1109" w:type="dxa"/>
                  <w:vAlign w:val="center"/>
                </w:tcPr>
                <w:p>
                  <w:pPr>
                    <w:jc w:val="center"/>
                    <w:rPr>
                      <w:rFonts w:hint="eastAsia"/>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rFonts w:hint="eastAsia"/>
                      <w:szCs w:val="21"/>
                    </w:rPr>
                  </w:pPr>
                  <w:r>
                    <w:rPr>
                      <w:rFonts w:hint="eastAsia"/>
                      <w:szCs w:val="21"/>
                    </w:rPr>
                    <w:t>900-249-08</w:t>
                  </w:r>
                </w:p>
              </w:tc>
            </w:tr>
          </w:tbl>
          <w:p>
            <w:pPr>
              <w:widowControl/>
              <w:spacing w:line="360" w:lineRule="auto"/>
              <w:ind w:firstLine="480" w:firstLineChars="200"/>
              <w:rPr>
                <w:sz w:val="24"/>
                <w:szCs w:val="24"/>
              </w:rPr>
            </w:pPr>
            <w:r>
              <w:rPr>
                <w:rFonts w:hint="eastAsia"/>
                <w:sz w:val="24"/>
                <w:szCs w:val="24"/>
              </w:rPr>
              <w:t>（1）本项目劳动定员10人，</w:t>
            </w:r>
            <w:r>
              <w:rPr>
                <w:sz w:val="24"/>
                <w:szCs w:val="24"/>
              </w:rPr>
              <w:t>生活垃圾产生量</w:t>
            </w:r>
            <w:r>
              <w:rPr>
                <w:rFonts w:hint="eastAsia"/>
                <w:sz w:val="24"/>
                <w:szCs w:val="24"/>
              </w:rPr>
              <w:t>以0.5kg/（人</w:t>
            </w:r>
            <w:r>
              <w:rPr>
                <w:sz w:val="24"/>
                <w:szCs w:val="24"/>
              </w:rPr>
              <w:t>·</w:t>
            </w:r>
            <w:r>
              <w:rPr>
                <w:rFonts w:hint="eastAsia"/>
                <w:sz w:val="24"/>
                <w:szCs w:val="24"/>
              </w:rPr>
              <w:t>d）计，则生活垃圾产生量为1.5</w:t>
            </w:r>
            <w:r>
              <w:rPr>
                <w:sz w:val="24"/>
                <w:szCs w:val="24"/>
              </w:rPr>
              <w:t>t/a，经垃圾</w:t>
            </w:r>
            <w:r>
              <w:rPr>
                <w:rFonts w:hint="eastAsia"/>
                <w:sz w:val="24"/>
                <w:szCs w:val="24"/>
              </w:rPr>
              <w:t>桶</w:t>
            </w:r>
            <w:r>
              <w:rPr>
                <w:sz w:val="24"/>
                <w:szCs w:val="24"/>
              </w:rPr>
              <w:t>集中收集后</w:t>
            </w:r>
            <w:r>
              <w:rPr>
                <w:rFonts w:hint="eastAsia"/>
                <w:sz w:val="24"/>
                <w:szCs w:val="24"/>
              </w:rPr>
              <w:t>由环卫部门清运至生活垃圾填埋场</w:t>
            </w:r>
            <w:r>
              <w:rPr>
                <w:sz w:val="24"/>
                <w:szCs w:val="24"/>
              </w:rPr>
              <w:t>。</w:t>
            </w:r>
          </w:p>
          <w:p>
            <w:pPr>
              <w:widowControl/>
              <w:spacing w:line="360" w:lineRule="auto"/>
              <w:ind w:firstLine="480" w:firstLineChars="200"/>
              <w:rPr>
                <w:sz w:val="24"/>
                <w:szCs w:val="24"/>
              </w:rPr>
            </w:pPr>
            <w:r>
              <w:rPr>
                <w:rFonts w:hint="eastAsia"/>
                <w:sz w:val="24"/>
                <w:szCs w:val="24"/>
              </w:rPr>
              <w:t>（2）本项目在金属加工过程中会产生边角料，产生量约为</w:t>
            </w:r>
            <w:r>
              <w:rPr>
                <w:rFonts w:hint="eastAsia"/>
                <w:sz w:val="24"/>
                <w:szCs w:val="24"/>
                <w:lang w:val="en-US" w:eastAsia="zh-CN"/>
              </w:rPr>
              <w:t>2</w:t>
            </w:r>
            <w:r>
              <w:rPr>
                <w:rFonts w:hint="eastAsia"/>
                <w:sz w:val="24"/>
                <w:szCs w:val="24"/>
              </w:rPr>
              <w:t>t/a。经固废堆场暂存后外售。</w:t>
            </w:r>
            <w:r>
              <w:rPr>
                <w:rFonts w:hint="eastAsia"/>
                <w:sz w:val="24"/>
                <w:szCs w:val="24"/>
                <w:lang w:eastAsia="zh-CN"/>
              </w:rPr>
              <w:t>本项目袋式除尘器收集的粉尘</w:t>
            </w:r>
            <w:r>
              <w:rPr>
                <w:rFonts w:hint="eastAsia"/>
                <w:sz w:val="24"/>
                <w:szCs w:val="24"/>
                <w:lang w:val="en-US" w:eastAsia="zh-CN"/>
              </w:rPr>
              <w:t>0.025t/a</w:t>
            </w:r>
            <w:r>
              <w:rPr>
                <w:rFonts w:hint="eastAsia"/>
                <w:sz w:val="24"/>
                <w:szCs w:val="24"/>
                <w:lang w:eastAsia="zh-CN"/>
              </w:rPr>
              <w:t>，厂区暂存后定期外售。</w:t>
            </w:r>
          </w:p>
          <w:p>
            <w:pPr>
              <w:widowControl/>
              <w:spacing w:line="360" w:lineRule="auto"/>
              <w:ind w:firstLine="480" w:firstLineChars="200"/>
              <w:rPr>
                <w:sz w:val="24"/>
                <w:szCs w:val="24"/>
              </w:rPr>
            </w:pPr>
            <w:r>
              <w:rPr>
                <w:rFonts w:hint="eastAsia"/>
                <w:sz w:val="24"/>
                <w:szCs w:val="24"/>
              </w:rPr>
              <w:t>（3）本项目不锈钢包装产生的废包装袋，产生量约为0.1t/a，车间内10m</w:t>
            </w:r>
            <w:r>
              <w:rPr>
                <w:rFonts w:hint="eastAsia"/>
                <w:sz w:val="24"/>
                <w:szCs w:val="24"/>
                <w:vertAlign w:val="superscript"/>
              </w:rPr>
              <w:t>2</w:t>
            </w:r>
            <w:r>
              <w:rPr>
                <w:rFonts w:hint="eastAsia"/>
                <w:sz w:val="24"/>
                <w:szCs w:val="24"/>
              </w:rPr>
              <w:t>固废堆场暂存后外售。</w:t>
            </w:r>
          </w:p>
          <w:p>
            <w:pPr>
              <w:widowControl/>
              <w:spacing w:line="360" w:lineRule="auto"/>
              <w:ind w:firstLine="480" w:firstLineChars="200"/>
              <w:rPr>
                <w:sz w:val="24"/>
                <w:szCs w:val="24"/>
              </w:rPr>
            </w:pPr>
            <w:r>
              <w:rPr>
                <w:rFonts w:hint="eastAsia"/>
                <w:sz w:val="24"/>
                <w:szCs w:val="24"/>
              </w:rPr>
              <w:t>（4）</w:t>
            </w:r>
            <w:r>
              <w:rPr>
                <w:sz w:val="24"/>
                <w:szCs w:val="24"/>
              </w:rPr>
              <w:t>本项目生产过程中产生的</w:t>
            </w:r>
            <w:r>
              <w:rPr>
                <w:rFonts w:hint="eastAsia"/>
                <w:sz w:val="24"/>
                <w:szCs w:val="24"/>
              </w:rPr>
              <w:t>危险废物</w:t>
            </w:r>
            <w:r>
              <w:rPr>
                <w:sz w:val="24"/>
                <w:szCs w:val="24"/>
              </w:rPr>
              <w:t>主要是</w:t>
            </w:r>
            <w:r>
              <w:rPr>
                <w:rFonts w:hint="eastAsia"/>
                <w:sz w:val="24"/>
                <w:szCs w:val="24"/>
              </w:rPr>
              <w:t>废机油</w:t>
            </w:r>
            <w:r>
              <w:rPr>
                <w:rFonts w:hint="eastAsia"/>
                <w:sz w:val="24"/>
                <w:szCs w:val="24"/>
                <w:lang w:eastAsia="zh-CN"/>
              </w:rPr>
              <w:t>、废液压油</w:t>
            </w:r>
            <w:r>
              <w:rPr>
                <w:rFonts w:hint="eastAsia"/>
                <w:sz w:val="24"/>
                <w:szCs w:val="24"/>
              </w:rPr>
              <w:t>，使用容器盛装存放于危险废物暂存区，定期交由具有资质的</w:t>
            </w:r>
            <w:r>
              <w:rPr>
                <w:sz w:val="24"/>
                <w:szCs w:val="24"/>
              </w:rPr>
              <w:t>单位</w:t>
            </w:r>
            <w:r>
              <w:rPr>
                <w:rFonts w:hint="eastAsia"/>
                <w:sz w:val="24"/>
                <w:szCs w:val="24"/>
              </w:rPr>
              <w:t>进行处置。</w:t>
            </w: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3"/>
              <w:rPr>
                <w:sz w:val="24"/>
                <w:szCs w:val="24"/>
              </w:rPr>
            </w:pPr>
          </w:p>
          <w:p/>
          <w:p>
            <w:pPr>
              <w:widowControl/>
              <w:spacing w:line="360" w:lineRule="auto"/>
              <w:rPr>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spacing w:line="500" w:lineRule="exact"/>
        <w:rPr>
          <w:rFonts w:ascii="宋体"/>
          <w:b/>
          <w:sz w:val="32"/>
        </w:rPr>
      </w:pPr>
      <w:r>
        <w:rPr>
          <w:rFonts w:hint="eastAsia" w:ascii="宋体"/>
          <w:b/>
          <w:sz w:val="32"/>
        </w:rPr>
        <w:t>项目主要污染物产生及预计排放情况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50"/>
        <w:gridCol w:w="1716"/>
        <w:gridCol w:w="1261"/>
        <w:gridCol w:w="1362"/>
        <w:gridCol w:w="136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Merge w:val="restart"/>
            <w:vAlign w:val="center"/>
          </w:tcPr>
          <w:p>
            <w:pPr>
              <w:adjustRightInd w:val="0"/>
              <w:snapToGrid w:val="0"/>
              <w:spacing w:line="240" w:lineRule="atLeast"/>
              <w:ind w:left="-108" w:right="-108"/>
              <w:jc w:val="center"/>
              <w:rPr>
                <w:b/>
                <w:bCs/>
                <w:sz w:val="24"/>
                <w:szCs w:val="24"/>
              </w:rPr>
            </w:pPr>
            <w:r>
              <w:rPr>
                <w:b/>
                <w:bCs/>
                <w:sz w:val="24"/>
                <w:szCs w:val="24"/>
              </w:rPr>
              <w:t>内容</w:t>
            </w:r>
          </w:p>
          <w:p>
            <w:pPr>
              <w:adjustRightInd w:val="0"/>
              <w:snapToGrid w:val="0"/>
              <w:spacing w:line="240" w:lineRule="atLeast"/>
              <w:ind w:left="-107" w:leftChars="-51"/>
              <w:jc w:val="center"/>
              <w:rPr>
                <w:b/>
                <w:bCs/>
                <w:sz w:val="24"/>
                <w:szCs w:val="24"/>
              </w:rPr>
            </w:pPr>
            <w:r>
              <w:rPr>
                <w:b/>
                <w:bCs/>
                <w:sz w:val="24"/>
                <w:szCs w:val="24"/>
              </w:rPr>
              <w:t>类型</w:t>
            </w:r>
          </w:p>
        </w:tc>
        <w:tc>
          <w:tcPr>
            <w:tcW w:w="1550" w:type="dxa"/>
            <w:vMerge w:val="restart"/>
            <w:vAlign w:val="center"/>
          </w:tcPr>
          <w:p>
            <w:pPr>
              <w:adjustRightInd w:val="0"/>
              <w:snapToGrid w:val="0"/>
              <w:spacing w:line="240" w:lineRule="atLeast"/>
              <w:jc w:val="center"/>
              <w:rPr>
                <w:b/>
                <w:bCs/>
                <w:sz w:val="24"/>
                <w:szCs w:val="24"/>
              </w:rPr>
            </w:pPr>
            <w:r>
              <w:rPr>
                <w:b/>
                <w:bCs/>
                <w:sz w:val="24"/>
                <w:szCs w:val="24"/>
              </w:rPr>
              <w:t>排放源</w:t>
            </w:r>
          </w:p>
          <w:p>
            <w:pPr>
              <w:adjustRightInd w:val="0"/>
              <w:snapToGrid w:val="0"/>
              <w:spacing w:line="240" w:lineRule="atLeast"/>
              <w:jc w:val="center"/>
              <w:rPr>
                <w:b/>
                <w:bCs/>
                <w:sz w:val="24"/>
                <w:szCs w:val="24"/>
              </w:rPr>
            </w:pPr>
            <w:r>
              <w:rPr>
                <w:b/>
                <w:bCs/>
                <w:sz w:val="24"/>
                <w:szCs w:val="24"/>
              </w:rPr>
              <w:t>(编号)</w:t>
            </w:r>
          </w:p>
        </w:tc>
        <w:tc>
          <w:tcPr>
            <w:tcW w:w="1716" w:type="dxa"/>
            <w:vMerge w:val="restart"/>
            <w:vAlign w:val="center"/>
          </w:tcPr>
          <w:p>
            <w:pPr>
              <w:adjustRightInd w:val="0"/>
              <w:snapToGrid w:val="0"/>
              <w:spacing w:line="240" w:lineRule="atLeast"/>
              <w:ind w:right="-108"/>
              <w:jc w:val="center"/>
              <w:rPr>
                <w:b/>
                <w:bCs/>
                <w:sz w:val="24"/>
                <w:szCs w:val="24"/>
              </w:rPr>
            </w:pPr>
            <w:r>
              <w:rPr>
                <w:b/>
                <w:bCs/>
                <w:sz w:val="24"/>
                <w:szCs w:val="24"/>
              </w:rPr>
              <w:t>污染物</w:t>
            </w:r>
          </w:p>
          <w:p>
            <w:pPr>
              <w:adjustRightInd w:val="0"/>
              <w:snapToGrid w:val="0"/>
              <w:spacing w:line="240" w:lineRule="atLeast"/>
              <w:jc w:val="center"/>
              <w:rPr>
                <w:b/>
                <w:bCs/>
                <w:sz w:val="24"/>
                <w:szCs w:val="24"/>
              </w:rPr>
            </w:pPr>
            <w:r>
              <w:rPr>
                <w:b/>
                <w:bCs/>
                <w:sz w:val="24"/>
                <w:szCs w:val="24"/>
              </w:rPr>
              <w:t>名称</w:t>
            </w:r>
          </w:p>
        </w:tc>
        <w:tc>
          <w:tcPr>
            <w:tcW w:w="2623" w:type="dxa"/>
            <w:gridSpan w:val="2"/>
            <w:vAlign w:val="center"/>
          </w:tcPr>
          <w:p>
            <w:pPr>
              <w:adjustRightInd w:val="0"/>
              <w:snapToGrid w:val="0"/>
              <w:spacing w:line="240" w:lineRule="atLeast"/>
              <w:jc w:val="center"/>
              <w:rPr>
                <w:b/>
                <w:bCs/>
                <w:sz w:val="24"/>
                <w:szCs w:val="24"/>
              </w:rPr>
            </w:pPr>
            <w:r>
              <w:rPr>
                <w:b/>
                <w:bCs/>
                <w:sz w:val="24"/>
                <w:szCs w:val="24"/>
              </w:rPr>
              <w:t>产生浓度及产生量</w:t>
            </w:r>
          </w:p>
        </w:tc>
        <w:tc>
          <w:tcPr>
            <w:tcW w:w="2728" w:type="dxa"/>
            <w:gridSpan w:val="2"/>
            <w:vAlign w:val="center"/>
          </w:tcPr>
          <w:p>
            <w:pPr>
              <w:tabs>
                <w:tab w:val="left" w:pos="5760"/>
              </w:tabs>
              <w:adjustRightInd w:val="0"/>
              <w:snapToGrid w:val="0"/>
              <w:spacing w:line="240" w:lineRule="atLeast"/>
              <w:jc w:val="center"/>
              <w:rPr>
                <w:b/>
                <w:bCs/>
                <w:sz w:val="24"/>
                <w:szCs w:val="24"/>
              </w:rPr>
            </w:pPr>
            <w:r>
              <w:rPr>
                <w:b/>
                <w:bCs/>
                <w:sz w:val="24"/>
                <w:szCs w:val="24"/>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Merge w:val="continue"/>
            <w:vAlign w:val="center"/>
          </w:tcPr>
          <w:p>
            <w:pPr>
              <w:adjustRightInd w:val="0"/>
              <w:snapToGrid w:val="0"/>
              <w:spacing w:line="240" w:lineRule="atLeast"/>
              <w:ind w:left="-108"/>
              <w:jc w:val="center"/>
              <w:rPr>
                <w:b/>
                <w:bCs/>
                <w:sz w:val="24"/>
                <w:szCs w:val="24"/>
              </w:rPr>
            </w:pPr>
          </w:p>
        </w:tc>
        <w:tc>
          <w:tcPr>
            <w:tcW w:w="1550" w:type="dxa"/>
            <w:vMerge w:val="continue"/>
            <w:vAlign w:val="center"/>
          </w:tcPr>
          <w:p>
            <w:pPr>
              <w:adjustRightInd w:val="0"/>
              <w:snapToGrid w:val="0"/>
              <w:spacing w:line="240" w:lineRule="atLeast"/>
              <w:jc w:val="center"/>
              <w:rPr>
                <w:b/>
                <w:bCs/>
                <w:sz w:val="24"/>
                <w:szCs w:val="24"/>
              </w:rPr>
            </w:pPr>
          </w:p>
        </w:tc>
        <w:tc>
          <w:tcPr>
            <w:tcW w:w="1716" w:type="dxa"/>
            <w:vMerge w:val="continue"/>
            <w:vAlign w:val="center"/>
          </w:tcPr>
          <w:p>
            <w:pPr>
              <w:adjustRightInd w:val="0"/>
              <w:snapToGrid w:val="0"/>
              <w:spacing w:line="240" w:lineRule="atLeast"/>
              <w:jc w:val="center"/>
              <w:rPr>
                <w:b/>
                <w:bCs/>
                <w:sz w:val="24"/>
                <w:szCs w:val="24"/>
              </w:rPr>
            </w:pPr>
          </w:p>
        </w:tc>
        <w:tc>
          <w:tcPr>
            <w:tcW w:w="1261" w:type="dxa"/>
            <w:vAlign w:val="center"/>
          </w:tcPr>
          <w:p>
            <w:pPr>
              <w:adjustRightInd w:val="0"/>
              <w:snapToGrid w:val="0"/>
              <w:spacing w:line="240" w:lineRule="atLeast"/>
              <w:ind w:left="-108" w:right="-30"/>
              <w:jc w:val="center"/>
              <w:rPr>
                <w:b/>
                <w:bCs/>
                <w:sz w:val="24"/>
                <w:szCs w:val="24"/>
              </w:rPr>
            </w:pPr>
            <w:r>
              <w:rPr>
                <w:b/>
                <w:bCs/>
                <w:sz w:val="24"/>
                <w:szCs w:val="24"/>
              </w:rPr>
              <w:t>浓度</w:t>
            </w:r>
          </w:p>
        </w:tc>
        <w:tc>
          <w:tcPr>
            <w:tcW w:w="1362" w:type="dxa"/>
            <w:vAlign w:val="center"/>
          </w:tcPr>
          <w:p>
            <w:pPr>
              <w:adjustRightInd w:val="0"/>
              <w:snapToGrid w:val="0"/>
              <w:spacing w:line="240" w:lineRule="atLeast"/>
              <w:ind w:left="-108" w:right="-30"/>
              <w:jc w:val="center"/>
              <w:rPr>
                <w:b/>
                <w:bCs/>
                <w:sz w:val="24"/>
                <w:szCs w:val="24"/>
              </w:rPr>
            </w:pPr>
            <w:r>
              <w:rPr>
                <w:b/>
                <w:bCs/>
                <w:sz w:val="24"/>
                <w:szCs w:val="24"/>
              </w:rPr>
              <w:t>产生量</w:t>
            </w:r>
          </w:p>
        </w:tc>
        <w:tc>
          <w:tcPr>
            <w:tcW w:w="1365" w:type="dxa"/>
            <w:vAlign w:val="center"/>
          </w:tcPr>
          <w:p>
            <w:pPr>
              <w:adjustRightInd w:val="0"/>
              <w:snapToGrid w:val="0"/>
              <w:spacing w:line="240" w:lineRule="atLeast"/>
              <w:ind w:left="-108" w:right="-30"/>
              <w:jc w:val="center"/>
              <w:rPr>
                <w:b/>
                <w:bCs/>
                <w:sz w:val="24"/>
                <w:szCs w:val="24"/>
              </w:rPr>
            </w:pPr>
            <w:r>
              <w:rPr>
                <w:b/>
                <w:bCs/>
                <w:sz w:val="24"/>
                <w:szCs w:val="24"/>
              </w:rPr>
              <w:t>浓度</w:t>
            </w:r>
          </w:p>
        </w:tc>
        <w:tc>
          <w:tcPr>
            <w:tcW w:w="1363" w:type="dxa"/>
            <w:vAlign w:val="center"/>
          </w:tcPr>
          <w:p>
            <w:pPr>
              <w:adjustRightInd w:val="0"/>
              <w:snapToGrid w:val="0"/>
              <w:spacing w:line="240" w:lineRule="atLeast"/>
              <w:ind w:left="-108" w:right="-30"/>
              <w:jc w:val="center"/>
              <w:rPr>
                <w:b/>
                <w:bCs/>
                <w:sz w:val="24"/>
                <w:szCs w:val="24"/>
              </w:rPr>
            </w:pPr>
            <w:r>
              <w:rPr>
                <w:b/>
                <w:bCs/>
                <w:sz w:val="24"/>
                <w:szCs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53" w:type="dxa"/>
            <w:vMerge w:val="restart"/>
            <w:vAlign w:val="center"/>
          </w:tcPr>
          <w:p>
            <w:pPr>
              <w:adjustRightInd w:val="0"/>
              <w:snapToGrid w:val="0"/>
              <w:spacing w:line="240" w:lineRule="atLeast"/>
              <w:jc w:val="center"/>
              <w:rPr>
                <w:b/>
                <w:bCs/>
                <w:sz w:val="24"/>
                <w:szCs w:val="24"/>
              </w:rPr>
            </w:pPr>
            <w:r>
              <w:rPr>
                <w:b/>
                <w:bCs/>
                <w:sz w:val="24"/>
                <w:szCs w:val="24"/>
              </w:rPr>
              <w:t>大气</w:t>
            </w:r>
          </w:p>
          <w:p>
            <w:pPr>
              <w:adjustRightInd w:val="0"/>
              <w:snapToGrid w:val="0"/>
              <w:spacing w:line="240" w:lineRule="atLeast"/>
              <w:jc w:val="center"/>
              <w:rPr>
                <w:b/>
                <w:bCs/>
                <w:sz w:val="24"/>
                <w:szCs w:val="24"/>
              </w:rPr>
            </w:pPr>
            <w:r>
              <w:rPr>
                <w:b/>
                <w:bCs/>
                <w:sz w:val="24"/>
                <w:szCs w:val="24"/>
              </w:rPr>
              <w:t>污染</w:t>
            </w:r>
          </w:p>
          <w:p>
            <w:pPr>
              <w:jc w:val="center"/>
            </w:pPr>
            <w:r>
              <w:rPr>
                <w:b/>
                <w:bCs/>
                <w:sz w:val="24"/>
                <w:szCs w:val="24"/>
              </w:rPr>
              <w:t>物</w:t>
            </w:r>
          </w:p>
        </w:tc>
        <w:tc>
          <w:tcPr>
            <w:tcW w:w="1550" w:type="dxa"/>
            <w:vAlign w:val="center"/>
          </w:tcPr>
          <w:p>
            <w:pPr>
              <w:jc w:val="center"/>
              <w:rPr>
                <w:kern w:val="0"/>
                <w:szCs w:val="21"/>
              </w:rPr>
            </w:pPr>
            <w:r>
              <w:rPr>
                <w:rFonts w:hint="eastAsia"/>
                <w:kern w:val="0"/>
                <w:szCs w:val="21"/>
              </w:rPr>
              <w:t>焊接</w:t>
            </w:r>
          </w:p>
        </w:tc>
        <w:tc>
          <w:tcPr>
            <w:tcW w:w="1716" w:type="dxa"/>
            <w:vAlign w:val="center"/>
          </w:tcPr>
          <w:p>
            <w:pPr>
              <w:jc w:val="center"/>
            </w:pPr>
            <w:r>
              <w:rPr>
                <w:rFonts w:hint="eastAsia"/>
                <w:kern w:val="0"/>
                <w:szCs w:val="21"/>
              </w:rPr>
              <w:t>无组织</w:t>
            </w:r>
            <w:r>
              <w:rPr>
                <w:rFonts w:hint="eastAsia"/>
              </w:rPr>
              <w:t>颗粒物</w:t>
            </w:r>
          </w:p>
        </w:tc>
        <w:tc>
          <w:tcPr>
            <w:tcW w:w="1261" w:type="dxa"/>
            <w:vAlign w:val="center"/>
          </w:tcPr>
          <w:p>
            <w:pPr>
              <w:jc w:val="center"/>
            </w:pPr>
            <w:r>
              <w:rPr>
                <w:rFonts w:hint="eastAsia"/>
              </w:rPr>
              <w:t>/</w:t>
            </w:r>
          </w:p>
        </w:tc>
        <w:tc>
          <w:tcPr>
            <w:tcW w:w="1362" w:type="dxa"/>
            <w:vAlign w:val="center"/>
          </w:tcPr>
          <w:p>
            <w:pPr>
              <w:jc w:val="center"/>
            </w:pPr>
            <w:r>
              <w:rPr>
                <w:rFonts w:hint="eastAsia"/>
              </w:rPr>
              <w:t>0.00</w:t>
            </w:r>
            <w:r>
              <w:rPr>
                <w:rFonts w:hint="eastAsia"/>
                <w:lang w:val="en-US" w:eastAsia="zh-CN"/>
              </w:rPr>
              <w:t>16</w:t>
            </w:r>
            <w:r>
              <w:rPr>
                <w:rFonts w:hint="eastAsia"/>
              </w:rPr>
              <w:t>t/a</w:t>
            </w:r>
          </w:p>
        </w:tc>
        <w:tc>
          <w:tcPr>
            <w:tcW w:w="1365" w:type="dxa"/>
            <w:vAlign w:val="center"/>
          </w:tcPr>
          <w:p>
            <w:pPr>
              <w:jc w:val="center"/>
            </w:pPr>
            <w:r>
              <w:rPr>
                <w:rFonts w:hint="eastAsia"/>
              </w:rPr>
              <w:t>/</w:t>
            </w:r>
          </w:p>
        </w:tc>
        <w:tc>
          <w:tcPr>
            <w:tcW w:w="1363" w:type="dxa"/>
            <w:vAlign w:val="center"/>
          </w:tcPr>
          <w:p>
            <w:pPr>
              <w:jc w:val="center"/>
            </w:pPr>
            <w:r>
              <w:rPr>
                <w:rFonts w:hint="eastAsia"/>
              </w:rPr>
              <w:t>0.00</w:t>
            </w:r>
            <w:r>
              <w:rPr>
                <w:rFonts w:hint="eastAsia"/>
                <w:lang w:val="en-US" w:eastAsia="zh-CN"/>
              </w:rPr>
              <w:t>16</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Align w:val="center"/>
          </w:tcPr>
          <w:p>
            <w:pPr>
              <w:jc w:val="center"/>
              <w:rPr>
                <w:kern w:val="0"/>
                <w:szCs w:val="21"/>
              </w:rPr>
            </w:pPr>
            <w:r>
              <w:rPr>
                <w:rFonts w:hint="eastAsia"/>
                <w:kern w:val="0"/>
                <w:szCs w:val="21"/>
              </w:rPr>
              <w:t>焊接及</w:t>
            </w:r>
          </w:p>
          <w:p>
            <w:pPr>
              <w:jc w:val="center"/>
              <w:rPr>
                <w:kern w:val="0"/>
                <w:szCs w:val="21"/>
              </w:rPr>
            </w:pPr>
            <w:r>
              <w:rPr>
                <w:rFonts w:hint="eastAsia"/>
                <w:kern w:val="0"/>
                <w:szCs w:val="21"/>
              </w:rPr>
              <w:t>激光切割</w:t>
            </w:r>
          </w:p>
        </w:tc>
        <w:tc>
          <w:tcPr>
            <w:tcW w:w="1716" w:type="dxa"/>
            <w:vAlign w:val="center"/>
          </w:tcPr>
          <w:p>
            <w:pPr>
              <w:jc w:val="center"/>
              <w:rPr>
                <w:kern w:val="0"/>
                <w:szCs w:val="21"/>
              </w:rPr>
            </w:pPr>
            <w:r>
              <w:rPr>
                <w:rFonts w:hint="eastAsia"/>
                <w:kern w:val="0"/>
                <w:szCs w:val="21"/>
              </w:rPr>
              <w:t>有组织颗粒物</w:t>
            </w:r>
          </w:p>
        </w:tc>
        <w:tc>
          <w:tcPr>
            <w:tcW w:w="1261" w:type="dxa"/>
            <w:vAlign w:val="center"/>
          </w:tcPr>
          <w:p>
            <w:pPr>
              <w:jc w:val="center"/>
            </w:pPr>
            <w:r>
              <w:rPr>
                <w:rFonts w:hint="eastAsia"/>
                <w:lang w:val="en-US" w:eastAsia="zh-CN"/>
              </w:rPr>
              <w:t>133</w:t>
            </w:r>
            <w:r>
              <w:rPr>
                <w:szCs w:val="21"/>
              </w:rPr>
              <w:t>mg/m</w:t>
            </w:r>
            <w:r>
              <w:rPr>
                <w:szCs w:val="21"/>
                <w:vertAlign w:val="superscript"/>
              </w:rPr>
              <w:t>3</w:t>
            </w:r>
          </w:p>
        </w:tc>
        <w:tc>
          <w:tcPr>
            <w:tcW w:w="1362" w:type="dxa"/>
            <w:vAlign w:val="center"/>
          </w:tcPr>
          <w:p>
            <w:pPr>
              <w:jc w:val="center"/>
            </w:pPr>
            <w:r>
              <w:rPr>
                <w:rFonts w:hint="eastAsia"/>
              </w:rPr>
              <w:t>0.</w:t>
            </w:r>
            <w:r>
              <w:rPr>
                <w:rFonts w:hint="eastAsia"/>
                <w:lang w:val="en-US" w:eastAsia="zh-CN"/>
              </w:rPr>
              <w:t>0464</w:t>
            </w:r>
            <w:r>
              <w:rPr>
                <w:rFonts w:hint="eastAsia"/>
              </w:rPr>
              <w:t>t/a</w:t>
            </w:r>
          </w:p>
        </w:tc>
        <w:tc>
          <w:tcPr>
            <w:tcW w:w="1365" w:type="dxa"/>
            <w:vAlign w:val="center"/>
          </w:tcPr>
          <w:p>
            <w:pPr>
              <w:jc w:val="center"/>
            </w:pPr>
            <w:r>
              <w:rPr>
                <w:rFonts w:hint="eastAsia"/>
                <w:lang w:val="en-US" w:eastAsia="zh-CN"/>
              </w:rPr>
              <w:t>6.7</w:t>
            </w:r>
            <w:r>
              <w:rPr>
                <w:szCs w:val="21"/>
              </w:rPr>
              <w:t>mg/m</w:t>
            </w:r>
            <w:r>
              <w:rPr>
                <w:szCs w:val="21"/>
                <w:vertAlign w:val="superscript"/>
              </w:rPr>
              <w:t>3</w:t>
            </w:r>
          </w:p>
        </w:tc>
        <w:tc>
          <w:tcPr>
            <w:tcW w:w="1363" w:type="dxa"/>
            <w:vAlign w:val="center"/>
          </w:tcPr>
          <w:p>
            <w:pPr>
              <w:jc w:val="center"/>
            </w:pPr>
            <w:r>
              <w:rPr>
                <w:rFonts w:hint="eastAsia"/>
              </w:rPr>
              <w:t>0.0</w:t>
            </w:r>
            <w:r>
              <w:rPr>
                <w:rFonts w:hint="eastAsia"/>
                <w:lang w:val="en-US" w:eastAsia="zh-CN"/>
              </w:rPr>
              <w:t>023</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53" w:type="dxa"/>
            <w:vMerge w:val="restart"/>
            <w:vAlign w:val="center"/>
          </w:tcPr>
          <w:p>
            <w:pPr>
              <w:adjustRightInd w:val="0"/>
              <w:snapToGrid w:val="0"/>
              <w:spacing w:line="240" w:lineRule="atLeast"/>
              <w:ind w:left="-108"/>
              <w:jc w:val="center"/>
              <w:rPr>
                <w:b/>
                <w:bCs/>
                <w:sz w:val="24"/>
                <w:szCs w:val="24"/>
              </w:rPr>
            </w:pPr>
            <w:r>
              <w:rPr>
                <w:b/>
                <w:bCs/>
                <w:sz w:val="24"/>
                <w:szCs w:val="24"/>
              </w:rPr>
              <w:t>水污</w:t>
            </w:r>
          </w:p>
          <w:p>
            <w:pPr>
              <w:adjustRightInd w:val="0"/>
              <w:snapToGrid w:val="0"/>
              <w:spacing w:line="240" w:lineRule="atLeast"/>
              <w:ind w:left="-108"/>
              <w:jc w:val="center"/>
              <w:rPr>
                <w:b/>
                <w:bCs/>
                <w:sz w:val="24"/>
                <w:szCs w:val="24"/>
              </w:rPr>
            </w:pPr>
            <w:r>
              <w:rPr>
                <w:b/>
                <w:bCs/>
                <w:sz w:val="24"/>
                <w:szCs w:val="24"/>
              </w:rPr>
              <w:t>染物</w:t>
            </w:r>
          </w:p>
        </w:tc>
        <w:tc>
          <w:tcPr>
            <w:tcW w:w="1550" w:type="dxa"/>
            <w:vMerge w:val="restart"/>
            <w:vAlign w:val="center"/>
          </w:tcPr>
          <w:p>
            <w:pPr>
              <w:jc w:val="center"/>
            </w:pPr>
            <w:r>
              <w:rPr>
                <w:rFonts w:hint="eastAsia"/>
              </w:rPr>
              <w:t>生活污水96m</w:t>
            </w:r>
            <w:r>
              <w:rPr>
                <w:rFonts w:hint="eastAsia"/>
                <w:vertAlign w:val="superscript"/>
              </w:rPr>
              <w:t>3</w:t>
            </w:r>
            <w:r>
              <w:rPr>
                <w:rFonts w:hint="eastAsia"/>
              </w:rPr>
              <w:t>/a</w:t>
            </w:r>
          </w:p>
        </w:tc>
        <w:tc>
          <w:tcPr>
            <w:tcW w:w="1716" w:type="dxa"/>
            <w:vAlign w:val="center"/>
          </w:tcPr>
          <w:p>
            <w:pPr>
              <w:adjustRightInd w:val="0"/>
              <w:snapToGrid w:val="0"/>
              <w:spacing w:before="46" w:beforeLines="15" w:after="46" w:afterLines="15"/>
              <w:jc w:val="center"/>
              <w:rPr>
                <w:szCs w:val="21"/>
              </w:rPr>
            </w:pPr>
            <w:r>
              <w:rPr>
                <w:szCs w:val="21"/>
              </w:rPr>
              <w:t>COD</w:t>
            </w:r>
          </w:p>
        </w:tc>
        <w:tc>
          <w:tcPr>
            <w:tcW w:w="1261" w:type="dxa"/>
            <w:vAlign w:val="center"/>
          </w:tcPr>
          <w:p>
            <w:pPr>
              <w:adjustRightInd w:val="0"/>
              <w:snapToGrid w:val="0"/>
              <w:spacing w:line="240" w:lineRule="atLeast"/>
              <w:jc w:val="center"/>
              <w:rPr>
                <w:szCs w:val="21"/>
              </w:rPr>
            </w:pPr>
            <w:r>
              <w:rPr>
                <w:rFonts w:hint="eastAsia"/>
                <w:szCs w:val="21"/>
              </w:rPr>
              <w:t>30</w:t>
            </w:r>
            <w:r>
              <w:rPr>
                <w:szCs w:val="21"/>
              </w:rPr>
              <w:t>0mg/L</w:t>
            </w:r>
          </w:p>
        </w:tc>
        <w:tc>
          <w:tcPr>
            <w:tcW w:w="1362" w:type="dxa"/>
            <w:vAlign w:val="center"/>
          </w:tcPr>
          <w:p>
            <w:pPr>
              <w:jc w:val="center"/>
            </w:pPr>
            <w:r>
              <w:rPr>
                <w:rFonts w:hint="eastAsia"/>
              </w:rPr>
              <w:t>0.0288t/a</w:t>
            </w:r>
          </w:p>
        </w:tc>
        <w:tc>
          <w:tcPr>
            <w:tcW w:w="1365" w:type="dxa"/>
            <w:vAlign w:val="center"/>
          </w:tcPr>
          <w:p>
            <w:pPr>
              <w:adjustRightInd w:val="0"/>
              <w:snapToGrid w:val="0"/>
              <w:spacing w:line="240" w:lineRule="atLeast"/>
              <w:jc w:val="center"/>
              <w:rPr>
                <w:szCs w:val="21"/>
              </w:rPr>
            </w:pPr>
            <w:r>
              <w:rPr>
                <w:rFonts w:hint="eastAsia"/>
                <w:szCs w:val="21"/>
              </w:rPr>
              <w:t>24</w:t>
            </w:r>
            <w:r>
              <w:rPr>
                <w:szCs w:val="21"/>
              </w:rPr>
              <w:t>0mg/L</w:t>
            </w:r>
          </w:p>
        </w:tc>
        <w:tc>
          <w:tcPr>
            <w:tcW w:w="1363" w:type="dxa"/>
            <w:vAlign w:val="center"/>
          </w:tcPr>
          <w:p>
            <w:pPr>
              <w:jc w:val="center"/>
            </w:pPr>
            <w:r>
              <w:rPr>
                <w:rFonts w:hint="eastAsia"/>
              </w:rPr>
              <w:t>0.023t/a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53" w:type="dxa"/>
            <w:vMerge w:val="continue"/>
            <w:vAlign w:val="center"/>
          </w:tcPr>
          <w:p>
            <w:pPr>
              <w:adjustRightInd w:val="0"/>
              <w:snapToGrid w:val="0"/>
              <w:spacing w:line="240" w:lineRule="atLeast"/>
              <w:ind w:left="-108"/>
              <w:jc w:val="center"/>
              <w:rPr>
                <w:b/>
                <w:bCs/>
                <w:sz w:val="24"/>
                <w:szCs w:val="24"/>
              </w:rPr>
            </w:pPr>
          </w:p>
        </w:tc>
        <w:tc>
          <w:tcPr>
            <w:tcW w:w="1550" w:type="dxa"/>
            <w:vMerge w:val="continue"/>
            <w:vAlign w:val="center"/>
          </w:tcPr>
          <w:p>
            <w:pPr>
              <w:jc w:val="center"/>
            </w:pPr>
          </w:p>
        </w:tc>
        <w:tc>
          <w:tcPr>
            <w:tcW w:w="1716" w:type="dxa"/>
            <w:vAlign w:val="center"/>
          </w:tcPr>
          <w:p>
            <w:pPr>
              <w:adjustRightInd w:val="0"/>
              <w:snapToGrid w:val="0"/>
              <w:spacing w:before="46" w:beforeLines="15" w:after="46" w:afterLines="15"/>
              <w:jc w:val="center"/>
              <w:rPr>
                <w:szCs w:val="21"/>
              </w:rPr>
            </w:pPr>
            <w:r>
              <w:rPr>
                <w:szCs w:val="21"/>
              </w:rPr>
              <w:t>氨氮</w:t>
            </w:r>
          </w:p>
        </w:tc>
        <w:tc>
          <w:tcPr>
            <w:tcW w:w="1261" w:type="dxa"/>
            <w:vAlign w:val="center"/>
          </w:tcPr>
          <w:p>
            <w:pPr>
              <w:adjustRightInd w:val="0"/>
              <w:snapToGrid w:val="0"/>
              <w:spacing w:line="240" w:lineRule="atLeast"/>
              <w:jc w:val="center"/>
              <w:rPr>
                <w:szCs w:val="21"/>
              </w:rPr>
            </w:pPr>
            <w:r>
              <w:rPr>
                <w:rFonts w:hint="eastAsia"/>
                <w:szCs w:val="21"/>
              </w:rPr>
              <w:t>25</w:t>
            </w:r>
            <w:r>
              <w:rPr>
                <w:szCs w:val="21"/>
              </w:rPr>
              <w:t>mg/L</w:t>
            </w:r>
          </w:p>
        </w:tc>
        <w:tc>
          <w:tcPr>
            <w:tcW w:w="1362" w:type="dxa"/>
            <w:vAlign w:val="center"/>
          </w:tcPr>
          <w:p>
            <w:pPr>
              <w:jc w:val="center"/>
            </w:pPr>
            <w:r>
              <w:rPr>
                <w:rFonts w:hint="eastAsia"/>
              </w:rPr>
              <w:t>0.0024t/a</w:t>
            </w:r>
          </w:p>
        </w:tc>
        <w:tc>
          <w:tcPr>
            <w:tcW w:w="1365" w:type="dxa"/>
            <w:vAlign w:val="center"/>
          </w:tcPr>
          <w:p>
            <w:pPr>
              <w:adjustRightInd w:val="0"/>
              <w:snapToGrid w:val="0"/>
              <w:spacing w:line="240" w:lineRule="atLeast"/>
              <w:jc w:val="center"/>
              <w:rPr>
                <w:szCs w:val="21"/>
              </w:rPr>
            </w:pPr>
            <w:r>
              <w:rPr>
                <w:rFonts w:hint="eastAsia"/>
                <w:szCs w:val="21"/>
              </w:rPr>
              <w:t>24.25</w:t>
            </w:r>
            <w:r>
              <w:rPr>
                <w:szCs w:val="21"/>
              </w:rPr>
              <w:t>mg/L</w:t>
            </w:r>
          </w:p>
        </w:tc>
        <w:tc>
          <w:tcPr>
            <w:tcW w:w="1363" w:type="dxa"/>
            <w:vAlign w:val="center"/>
          </w:tcPr>
          <w:p>
            <w:pPr>
              <w:jc w:val="center"/>
            </w:pPr>
            <w:r>
              <w:rPr>
                <w:rFonts w:hint="eastAsia"/>
              </w:rPr>
              <w:t>0.0023t/a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53" w:type="dxa"/>
            <w:vMerge w:val="restart"/>
            <w:vAlign w:val="center"/>
          </w:tcPr>
          <w:p>
            <w:pPr>
              <w:adjustRightInd w:val="0"/>
              <w:snapToGrid w:val="0"/>
              <w:spacing w:line="240" w:lineRule="atLeast"/>
              <w:jc w:val="center"/>
              <w:rPr>
                <w:b/>
                <w:bCs/>
                <w:sz w:val="24"/>
                <w:szCs w:val="24"/>
              </w:rPr>
            </w:pPr>
            <w:r>
              <w:rPr>
                <w:b/>
                <w:bCs/>
                <w:sz w:val="24"/>
                <w:szCs w:val="24"/>
              </w:rPr>
              <w:t>固</w:t>
            </w:r>
          </w:p>
          <w:p>
            <w:pPr>
              <w:jc w:val="center"/>
            </w:pPr>
            <w:r>
              <w:rPr>
                <w:b/>
                <w:bCs/>
                <w:sz w:val="24"/>
                <w:szCs w:val="24"/>
              </w:rPr>
              <w:t>废</w:t>
            </w:r>
          </w:p>
        </w:tc>
        <w:tc>
          <w:tcPr>
            <w:tcW w:w="1550" w:type="dxa"/>
            <w:vAlign w:val="center"/>
          </w:tcPr>
          <w:p>
            <w:pPr>
              <w:jc w:val="center"/>
            </w:pPr>
            <w:r>
              <w:rPr>
                <w:rFonts w:hint="eastAsia"/>
              </w:rPr>
              <w:t>职工生活</w:t>
            </w:r>
          </w:p>
        </w:tc>
        <w:tc>
          <w:tcPr>
            <w:tcW w:w="1716" w:type="dxa"/>
            <w:vAlign w:val="center"/>
          </w:tcPr>
          <w:p>
            <w:pPr>
              <w:spacing w:line="240" w:lineRule="atLeast"/>
              <w:jc w:val="center"/>
              <w:rPr>
                <w:szCs w:val="21"/>
              </w:rPr>
            </w:pPr>
            <w:r>
              <w:rPr>
                <w:szCs w:val="21"/>
              </w:rPr>
              <w:t>生活垃圾</w:t>
            </w:r>
          </w:p>
        </w:tc>
        <w:tc>
          <w:tcPr>
            <w:tcW w:w="1261" w:type="dxa"/>
            <w:vAlign w:val="center"/>
          </w:tcPr>
          <w:p>
            <w:pPr>
              <w:jc w:val="center"/>
            </w:pPr>
            <w:r>
              <w:rPr>
                <w:rFonts w:hint="eastAsia"/>
              </w:rPr>
              <w:t>/</w:t>
            </w:r>
          </w:p>
        </w:tc>
        <w:tc>
          <w:tcPr>
            <w:tcW w:w="1362" w:type="dxa"/>
            <w:vAlign w:val="center"/>
          </w:tcPr>
          <w:p>
            <w:pPr>
              <w:spacing w:line="240" w:lineRule="atLeast"/>
              <w:jc w:val="center"/>
              <w:rPr>
                <w:szCs w:val="21"/>
              </w:rPr>
            </w:pPr>
            <w:r>
              <w:rPr>
                <w:rFonts w:hint="eastAsia"/>
                <w:szCs w:val="21"/>
              </w:rPr>
              <w:t>1.5t/a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restart"/>
            <w:vAlign w:val="center"/>
          </w:tcPr>
          <w:p>
            <w:pPr>
              <w:jc w:val="center"/>
            </w:pPr>
            <w:r>
              <w:rPr>
                <w:rFonts w:hint="eastAsia"/>
              </w:rPr>
              <w:t>生产过程</w:t>
            </w:r>
          </w:p>
        </w:tc>
        <w:tc>
          <w:tcPr>
            <w:tcW w:w="1716"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1261" w:type="dxa"/>
            <w:vAlign w:val="center"/>
          </w:tcPr>
          <w:p>
            <w:pPr>
              <w:jc w:val="center"/>
            </w:pPr>
            <w:r>
              <w:rPr>
                <w:rFonts w:hint="eastAsia"/>
              </w:rPr>
              <w:t>/</w:t>
            </w:r>
          </w:p>
        </w:tc>
        <w:tc>
          <w:tcPr>
            <w:tcW w:w="1362" w:type="dxa"/>
            <w:vAlign w:val="center"/>
          </w:tcPr>
          <w:p>
            <w:pPr>
              <w:widowControl/>
              <w:autoSpaceDE w:val="0"/>
              <w:autoSpaceDN w:val="0"/>
              <w:adjustRightInd w:val="0"/>
              <w:snapToGrid w:val="0"/>
              <w:jc w:val="center"/>
              <w:rPr>
                <w:color w:val="000000"/>
                <w:kern w:val="0"/>
                <w:szCs w:val="21"/>
              </w:rPr>
            </w:pPr>
            <w:r>
              <w:rPr>
                <w:rFonts w:hint="eastAsia" w:hAnsi="宋体"/>
                <w:color w:val="000000"/>
                <w:kern w:val="0"/>
                <w:szCs w:val="21"/>
                <w:lang w:val="en-US" w:eastAsia="zh-CN"/>
              </w:rPr>
              <w:t>2</w:t>
            </w:r>
            <w:r>
              <w:rPr>
                <w:rFonts w:hint="eastAsia"/>
                <w:color w:val="000000"/>
                <w:kern w:val="0"/>
                <w:szCs w:val="21"/>
              </w:rPr>
              <w:t>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rPr>
                <w:rFonts w:hint="eastAsia"/>
              </w:rPr>
            </w:pPr>
          </w:p>
        </w:tc>
        <w:tc>
          <w:tcPr>
            <w:tcW w:w="1716" w:type="dxa"/>
            <w:vAlign w:val="center"/>
          </w:tcPr>
          <w:p>
            <w:pPr>
              <w:widowControl/>
              <w:autoSpaceDE w:val="0"/>
              <w:autoSpaceDN w:val="0"/>
              <w:adjustRightInd w:val="0"/>
              <w:snapToGrid w:val="0"/>
              <w:jc w:val="center"/>
              <w:rPr>
                <w:rFonts w:hint="eastAsia" w:eastAsia="宋体"/>
                <w:color w:val="000000"/>
                <w:kern w:val="0"/>
                <w:szCs w:val="21"/>
                <w:lang w:eastAsia="zh-CN"/>
              </w:rPr>
            </w:pPr>
            <w:r>
              <w:rPr>
                <w:rFonts w:hint="eastAsia"/>
                <w:color w:val="000000"/>
                <w:kern w:val="0"/>
                <w:szCs w:val="21"/>
                <w:lang w:eastAsia="zh-CN"/>
              </w:rPr>
              <w:t>袋式除尘器收集的粉尘</w:t>
            </w:r>
          </w:p>
        </w:tc>
        <w:tc>
          <w:tcPr>
            <w:tcW w:w="1261" w:type="dxa"/>
            <w:vAlign w:val="center"/>
          </w:tcPr>
          <w:p>
            <w:pPr>
              <w:jc w:val="center"/>
              <w:rPr>
                <w:rFonts w:hint="eastAsia" w:eastAsia="宋体"/>
                <w:lang w:val="en-US" w:eastAsia="zh-CN"/>
              </w:rPr>
            </w:pPr>
            <w:r>
              <w:rPr>
                <w:rFonts w:hint="eastAsia"/>
                <w:lang w:val="en-US" w:eastAsia="zh-CN"/>
              </w:rPr>
              <w:t>/</w:t>
            </w:r>
          </w:p>
        </w:tc>
        <w:tc>
          <w:tcPr>
            <w:tcW w:w="1362" w:type="dxa"/>
            <w:vAlign w:val="center"/>
          </w:tcPr>
          <w:p>
            <w:pPr>
              <w:widowControl/>
              <w:autoSpaceDE w:val="0"/>
              <w:autoSpaceDN w:val="0"/>
              <w:adjustRightInd w:val="0"/>
              <w:snapToGrid w:val="0"/>
              <w:jc w:val="center"/>
              <w:rPr>
                <w:rFonts w:hint="eastAsia" w:hAnsi="宋体"/>
                <w:color w:val="000000"/>
                <w:kern w:val="0"/>
                <w:szCs w:val="21"/>
                <w:lang w:val="en-US" w:eastAsia="zh-CN"/>
              </w:rPr>
            </w:pPr>
            <w:r>
              <w:rPr>
                <w:rFonts w:hint="eastAsia" w:hAnsi="宋体"/>
                <w:color w:val="000000"/>
                <w:kern w:val="0"/>
                <w:szCs w:val="21"/>
                <w:lang w:val="en-US" w:eastAsia="zh-CN"/>
              </w:rPr>
              <w:t>0.063</w:t>
            </w:r>
            <w:r>
              <w:rPr>
                <w:rFonts w:hint="eastAsia"/>
                <w:color w:val="000000"/>
                <w:kern w:val="0"/>
                <w:szCs w:val="21"/>
              </w:rPr>
              <w:t>t/a</w:t>
            </w:r>
          </w:p>
        </w:tc>
        <w:tc>
          <w:tcPr>
            <w:tcW w:w="1365" w:type="dxa"/>
            <w:vAlign w:val="center"/>
          </w:tcPr>
          <w:p>
            <w:pPr>
              <w:jc w:val="center"/>
              <w:rPr>
                <w:rFonts w:hint="eastAsia"/>
              </w:rPr>
            </w:pPr>
            <w:r>
              <w:rPr>
                <w:rFonts w:hint="eastAsia"/>
              </w:rPr>
              <w:t>/</w:t>
            </w:r>
          </w:p>
        </w:tc>
        <w:tc>
          <w:tcPr>
            <w:tcW w:w="1363" w:type="dxa"/>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1261" w:type="dxa"/>
            <w:vAlign w:val="center"/>
          </w:tcPr>
          <w:p>
            <w:pPr>
              <w:jc w:val="center"/>
            </w:pPr>
            <w:r>
              <w:rPr>
                <w:rFonts w:hint="eastAsia"/>
              </w:rPr>
              <w:t>/</w:t>
            </w:r>
          </w:p>
        </w:tc>
        <w:tc>
          <w:tcPr>
            <w:tcW w:w="1362"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0.1t/a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widowControl/>
              <w:autoSpaceDE w:val="0"/>
              <w:autoSpaceDN w:val="0"/>
              <w:adjustRightInd w:val="0"/>
              <w:snapToGrid w:val="0"/>
              <w:jc w:val="center"/>
              <w:rPr>
                <w:rFonts w:hint="eastAsia" w:eastAsia="宋体"/>
                <w:color w:val="000000"/>
                <w:kern w:val="0"/>
                <w:szCs w:val="21"/>
                <w:lang w:eastAsia="zh-CN"/>
              </w:rPr>
            </w:pPr>
            <w:r>
              <w:rPr>
                <w:rFonts w:hint="eastAsia"/>
                <w:color w:val="000000"/>
                <w:kern w:val="0"/>
                <w:szCs w:val="21"/>
                <w:lang w:eastAsia="zh-CN"/>
              </w:rPr>
              <w:t>废液压油</w:t>
            </w:r>
          </w:p>
        </w:tc>
        <w:tc>
          <w:tcPr>
            <w:tcW w:w="1261" w:type="dxa"/>
            <w:vAlign w:val="center"/>
          </w:tcPr>
          <w:p>
            <w:pPr>
              <w:jc w:val="center"/>
              <w:rPr>
                <w:rFonts w:hint="eastAsia"/>
              </w:rPr>
            </w:pPr>
            <w:r>
              <w:rPr>
                <w:rFonts w:hint="eastAsia"/>
              </w:rPr>
              <w:t>/</w:t>
            </w:r>
          </w:p>
        </w:tc>
        <w:tc>
          <w:tcPr>
            <w:tcW w:w="1362" w:type="dxa"/>
            <w:vAlign w:val="center"/>
          </w:tcPr>
          <w:p>
            <w:pPr>
              <w:widowControl/>
              <w:autoSpaceDE w:val="0"/>
              <w:autoSpaceDN w:val="0"/>
              <w:adjustRightInd w:val="0"/>
              <w:snapToGrid w:val="0"/>
              <w:jc w:val="center"/>
              <w:rPr>
                <w:rFonts w:hint="eastAsia"/>
                <w:color w:val="000000"/>
                <w:kern w:val="0"/>
                <w:szCs w:val="21"/>
              </w:rPr>
            </w:pPr>
            <w:r>
              <w:rPr>
                <w:rFonts w:hint="eastAsia"/>
                <w:color w:val="000000"/>
                <w:kern w:val="0"/>
                <w:szCs w:val="21"/>
              </w:rPr>
              <w:t>0.</w:t>
            </w:r>
            <w:r>
              <w:rPr>
                <w:rFonts w:hint="eastAsia"/>
                <w:color w:val="000000"/>
                <w:kern w:val="0"/>
                <w:szCs w:val="21"/>
                <w:lang w:val="en-US" w:eastAsia="zh-CN"/>
              </w:rPr>
              <w:t>0</w:t>
            </w:r>
            <w:r>
              <w:rPr>
                <w:rFonts w:hint="eastAsia"/>
                <w:color w:val="000000"/>
                <w:kern w:val="0"/>
                <w:szCs w:val="21"/>
              </w:rPr>
              <w:t>1t/a</w:t>
            </w:r>
          </w:p>
        </w:tc>
        <w:tc>
          <w:tcPr>
            <w:tcW w:w="1365" w:type="dxa"/>
            <w:vAlign w:val="center"/>
          </w:tcPr>
          <w:p>
            <w:pPr>
              <w:jc w:val="center"/>
              <w:rPr>
                <w:rFonts w:hint="eastAsia"/>
              </w:rPr>
            </w:pPr>
            <w:r>
              <w:rPr>
                <w:rFonts w:hint="eastAsia"/>
              </w:rPr>
              <w:t>/</w:t>
            </w:r>
          </w:p>
        </w:tc>
        <w:tc>
          <w:tcPr>
            <w:tcW w:w="1363" w:type="dxa"/>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spacing w:line="240" w:lineRule="atLeast"/>
              <w:jc w:val="center"/>
              <w:rPr>
                <w:szCs w:val="21"/>
              </w:rPr>
            </w:pPr>
            <w:r>
              <w:rPr>
                <w:szCs w:val="21"/>
              </w:rPr>
              <w:t>废</w:t>
            </w:r>
            <w:r>
              <w:rPr>
                <w:rFonts w:hint="eastAsia"/>
                <w:szCs w:val="21"/>
                <w:lang w:eastAsia="zh-CN"/>
              </w:rPr>
              <w:t>机</w:t>
            </w:r>
            <w:r>
              <w:rPr>
                <w:szCs w:val="21"/>
              </w:rPr>
              <w:t>油</w:t>
            </w:r>
          </w:p>
        </w:tc>
        <w:tc>
          <w:tcPr>
            <w:tcW w:w="1261" w:type="dxa"/>
            <w:vAlign w:val="center"/>
          </w:tcPr>
          <w:p>
            <w:pPr>
              <w:jc w:val="center"/>
            </w:pPr>
            <w:r>
              <w:rPr>
                <w:rFonts w:hint="eastAsia"/>
              </w:rPr>
              <w:t>/</w:t>
            </w:r>
          </w:p>
        </w:tc>
        <w:tc>
          <w:tcPr>
            <w:tcW w:w="1362" w:type="dxa"/>
            <w:vAlign w:val="center"/>
          </w:tcPr>
          <w:p>
            <w:pPr>
              <w:spacing w:line="240" w:lineRule="atLeast"/>
              <w:jc w:val="center"/>
              <w:rPr>
                <w:szCs w:val="21"/>
              </w:rPr>
            </w:pPr>
            <w:r>
              <w:rPr>
                <w:rFonts w:hint="eastAsia"/>
                <w:szCs w:val="21"/>
              </w:rPr>
              <w:t>0.0</w:t>
            </w:r>
            <w:r>
              <w:rPr>
                <w:rFonts w:hint="eastAsia"/>
                <w:szCs w:val="21"/>
                <w:lang w:val="en-US" w:eastAsia="zh-CN"/>
              </w:rPr>
              <w:t>1</w:t>
            </w:r>
            <w:r>
              <w:rPr>
                <w:rFonts w:hint="eastAsia"/>
                <w:szCs w:val="21"/>
              </w:rPr>
              <w:t>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53" w:type="dxa"/>
            <w:vAlign w:val="center"/>
          </w:tcPr>
          <w:p>
            <w:pPr>
              <w:adjustRightInd w:val="0"/>
              <w:snapToGrid w:val="0"/>
              <w:spacing w:line="240" w:lineRule="atLeast"/>
              <w:ind w:left="-108"/>
              <w:jc w:val="center"/>
              <w:rPr>
                <w:b/>
                <w:bCs/>
                <w:sz w:val="24"/>
                <w:szCs w:val="24"/>
              </w:rPr>
            </w:pPr>
            <w:r>
              <w:rPr>
                <w:b/>
                <w:bCs/>
                <w:sz w:val="24"/>
                <w:szCs w:val="24"/>
              </w:rPr>
              <w:t>噪</w:t>
            </w:r>
          </w:p>
          <w:p>
            <w:pPr>
              <w:adjustRightInd w:val="0"/>
              <w:snapToGrid w:val="0"/>
              <w:spacing w:line="240" w:lineRule="atLeast"/>
              <w:ind w:left="-108"/>
              <w:jc w:val="center"/>
              <w:rPr>
                <w:b/>
                <w:bCs/>
                <w:sz w:val="24"/>
                <w:szCs w:val="24"/>
              </w:rPr>
            </w:pPr>
            <w:r>
              <w:rPr>
                <w:b/>
                <w:bCs/>
                <w:sz w:val="24"/>
                <w:szCs w:val="24"/>
              </w:rPr>
              <w:t>声</w:t>
            </w:r>
          </w:p>
        </w:tc>
        <w:tc>
          <w:tcPr>
            <w:tcW w:w="8617" w:type="dxa"/>
            <w:gridSpan w:val="6"/>
            <w:vAlign w:val="center"/>
          </w:tcPr>
          <w:p>
            <w:pPr>
              <w:ind w:firstLine="420" w:firstLineChars="200"/>
              <w:jc w:val="left"/>
              <w:rPr>
                <w:kern w:val="0"/>
                <w:szCs w:val="21"/>
              </w:rPr>
            </w:pPr>
            <w:r>
              <w:rPr>
                <w:szCs w:val="21"/>
              </w:rPr>
              <w:t>本项目的噪声源</w:t>
            </w:r>
            <w:r>
              <w:rPr>
                <w:kern w:val="0"/>
                <w:szCs w:val="21"/>
              </w:rPr>
              <w:t>主要是</w:t>
            </w:r>
            <w:r>
              <w:rPr>
                <w:rFonts w:hint="eastAsia"/>
                <w:szCs w:val="21"/>
              </w:rPr>
              <w:t>激光切割机、剪板机、切割机、冲床、折弯机、空压机等</w:t>
            </w:r>
            <w:r>
              <w:rPr>
                <w:szCs w:val="21"/>
              </w:rPr>
              <w:t>机械设备</w:t>
            </w:r>
            <w:r>
              <w:rPr>
                <w:kern w:val="0"/>
                <w:szCs w:val="21"/>
              </w:rPr>
              <w:t>运行时产生的噪声。</w:t>
            </w:r>
            <w:r>
              <w:rPr>
                <w:szCs w:val="21"/>
              </w:rPr>
              <w:t>噪声值介于7</w:t>
            </w:r>
            <w:r>
              <w:rPr>
                <w:rFonts w:hint="eastAsia"/>
                <w:szCs w:val="21"/>
              </w:rPr>
              <w:t>5</w:t>
            </w:r>
            <w:r>
              <w:rPr>
                <w:szCs w:val="21"/>
              </w:rPr>
              <w:t>~</w:t>
            </w:r>
            <w:r>
              <w:rPr>
                <w:rFonts w:hint="eastAsia"/>
                <w:szCs w:val="21"/>
              </w:rPr>
              <w:t xml:space="preserve">88 </w:t>
            </w:r>
            <w:r>
              <w:rPr>
                <w:szCs w:val="21"/>
              </w:rPr>
              <w:t>dB(A)之间，经基础减振、厂房的隔音降噪措施，昼间噪声</w:t>
            </w:r>
            <w:r>
              <w:rPr>
                <w:rFonts w:hint="eastAsia"/>
                <w:szCs w:val="21"/>
              </w:rPr>
              <w:t>叠加值</w:t>
            </w:r>
            <w:r>
              <w:rPr>
                <w:szCs w:val="21"/>
              </w:rPr>
              <w:t>可以满足《工业企业厂界环境噪声排放标准》</w:t>
            </w:r>
            <w:r>
              <w:rPr>
                <w:rFonts w:hint="eastAsia"/>
                <w:szCs w:val="21"/>
              </w:rPr>
              <w:t>（</w:t>
            </w:r>
            <w:r>
              <w:rPr>
                <w:szCs w:val="21"/>
              </w:rPr>
              <w:t>GB12348-2008</w:t>
            </w:r>
            <w:r>
              <w:rPr>
                <w:rFonts w:hint="eastAsia"/>
                <w:szCs w:val="21"/>
              </w:rPr>
              <w:t>）</w:t>
            </w:r>
            <w:r>
              <w:rPr>
                <w:szCs w:val="21"/>
              </w:rPr>
              <w:t>表1 中</w:t>
            </w:r>
            <w:r>
              <w:rPr>
                <w:rFonts w:hint="eastAsia"/>
                <w:szCs w:val="21"/>
              </w:rPr>
              <w:t>2</w:t>
            </w:r>
            <w:r>
              <w:rPr>
                <w:szCs w:val="21"/>
              </w:rPr>
              <w:t>类标准的要求。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Align w:val="center"/>
          </w:tcPr>
          <w:p>
            <w:pPr>
              <w:jc w:val="center"/>
              <w:rPr>
                <w:b/>
              </w:rPr>
            </w:pPr>
            <w:r>
              <w:rPr>
                <w:rFonts w:hint="eastAsia"/>
                <w:b/>
              </w:rPr>
              <w:t>其他</w:t>
            </w:r>
          </w:p>
        </w:tc>
        <w:tc>
          <w:tcPr>
            <w:tcW w:w="8617" w:type="dxa"/>
            <w:gridSpan w:val="6"/>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70" w:type="dxa"/>
            <w:gridSpan w:val="7"/>
          </w:tcPr>
          <w:p>
            <w:pPr>
              <w:adjustRightInd w:val="0"/>
              <w:snapToGrid w:val="0"/>
              <w:spacing w:line="360" w:lineRule="auto"/>
              <w:rPr>
                <w:b/>
                <w:sz w:val="24"/>
                <w:szCs w:val="24"/>
              </w:rPr>
            </w:pPr>
            <w:r>
              <w:rPr>
                <w:b/>
                <w:sz w:val="24"/>
                <w:szCs w:val="24"/>
              </w:rPr>
              <w:t>主要生态影响：</w:t>
            </w:r>
          </w:p>
          <w:p>
            <w:pPr>
              <w:spacing w:line="360" w:lineRule="auto"/>
              <w:ind w:firstLine="480" w:firstLineChars="200"/>
              <w:rPr>
                <w:sz w:val="24"/>
                <w:szCs w:val="24"/>
              </w:rPr>
            </w:pPr>
            <w:r>
              <w:rPr>
                <w:rFonts w:hint="eastAsia"/>
                <w:sz w:val="24"/>
                <w:szCs w:val="24"/>
              </w:rPr>
              <w:t>本项目为租用闲置车间进行建设，周围主要植被主要为人工绿化植被等，没有珍稀动植物种群，因此本项目的建设不会对周围生态环境造成影响。</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rPr>
          <w:rFonts w:ascii="宋体"/>
          <w:b/>
          <w:sz w:val="32"/>
        </w:rPr>
      </w:pPr>
      <w:r>
        <w:rPr>
          <w:rFonts w:hint="eastAsia" w:ascii="宋体"/>
          <w:b/>
          <w:sz w:val="32"/>
        </w:rPr>
        <w:t>环境影响分析</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contextualSpacing/>
              <w:rPr>
                <w:rFonts w:ascii="宋体"/>
                <w:b/>
                <w:sz w:val="24"/>
                <w:szCs w:val="24"/>
              </w:rPr>
            </w:pPr>
            <w:r>
              <w:rPr>
                <w:rFonts w:hint="eastAsia" w:ascii="宋体"/>
                <w:b/>
                <w:sz w:val="24"/>
                <w:szCs w:val="24"/>
              </w:rPr>
              <w:t>施工期环境影响简要分析</w:t>
            </w:r>
          </w:p>
          <w:p>
            <w:pPr>
              <w:spacing w:line="360" w:lineRule="auto"/>
              <w:ind w:firstLine="480" w:firstLineChars="200"/>
              <w:contextualSpacing/>
              <w:rPr>
                <w:sz w:val="24"/>
                <w:szCs w:val="24"/>
              </w:rPr>
            </w:pPr>
            <w:r>
              <w:rPr>
                <w:rFonts w:hint="eastAsia" w:hAnsi="宋体"/>
                <w:sz w:val="24"/>
                <w:szCs w:val="24"/>
              </w:rPr>
              <w:t>本</w:t>
            </w:r>
            <w:r>
              <w:rPr>
                <w:rFonts w:hAnsi="宋体"/>
                <w:sz w:val="24"/>
                <w:szCs w:val="24"/>
              </w:rPr>
              <w:t>项目</w:t>
            </w:r>
            <w:r>
              <w:rPr>
                <w:rFonts w:hint="eastAsia" w:hAnsi="宋体"/>
                <w:sz w:val="24"/>
                <w:szCs w:val="24"/>
              </w:rPr>
              <w:t>为租用闲置车间进行建设，施工期主要为生产设备设施的安装，由于施工期较短，施工期影响不再考虑。</w:t>
            </w:r>
          </w:p>
          <w:p>
            <w:pPr>
              <w:spacing w:line="4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rFonts w:ascii="宋体"/>
                <w:b/>
                <w:sz w:val="24"/>
                <w:szCs w:val="24"/>
                <w:u w:val="none"/>
              </w:rPr>
            </w:pPr>
            <w:r>
              <w:rPr>
                <w:rFonts w:ascii="宋体"/>
                <w:b/>
                <w:sz w:val="24"/>
                <w:szCs w:val="24"/>
                <w:u w:val="none"/>
              </w:rPr>
              <w:t>运营期环境影响分析</w:t>
            </w:r>
          </w:p>
          <w:p>
            <w:pPr>
              <w:spacing w:line="360" w:lineRule="auto"/>
              <w:ind w:firstLine="480" w:firstLineChars="200"/>
              <w:rPr>
                <w:sz w:val="24"/>
                <w:szCs w:val="24"/>
                <w:u w:val="none"/>
              </w:rPr>
            </w:pPr>
            <w:r>
              <w:rPr>
                <w:rFonts w:hint="eastAsia"/>
                <w:sz w:val="24"/>
                <w:szCs w:val="24"/>
                <w:u w:val="none"/>
              </w:rPr>
              <w:t>本项目生产运行过程中产生的主要污染为废气、废水、噪声和固体废物。</w:t>
            </w:r>
          </w:p>
          <w:p>
            <w:pPr>
              <w:spacing w:line="360" w:lineRule="auto"/>
              <w:rPr>
                <w:b/>
                <w:sz w:val="24"/>
                <w:szCs w:val="24"/>
                <w:u w:val="none"/>
              </w:rPr>
            </w:pPr>
            <w:r>
              <w:rPr>
                <w:rFonts w:hint="eastAsia"/>
                <w:b/>
                <w:sz w:val="24"/>
                <w:szCs w:val="24"/>
                <w:u w:val="none"/>
              </w:rPr>
              <w:t>1 大气环境影响分析</w:t>
            </w:r>
          </w:p>
          <w:p>
            <w:pPr>
              <w:spacing w:line="360" w:lineRule="auto"/>
              <w:rPr>
                <w:sz w:val="24"/>
                <w:szCs w:val="24"/>
                <w:u w:val="none"/>
              </w:rPr>
            </w:pPr>
            <w:r>
              <w:rPr>
                <w:rFonts w:hint="eastAsia"/>
                <w:sz w:val="24"/>
                <w:szCs w:val="24"/>
                <w:u w:val="none"/>
              </w:rPr>
              <w:t>1.1 大气污染源强</w:t>
            </w:r>
          </w:p>
          <w:p>
            <w:pPr>
              <w:spacing w:line="360" w:lineRule="auto"/>
              <w:ind w:firstLine="480"/>
              <w:rPr>
                <w:sz w:val="24"/>
                <w:szCs w:val="24"/>
                <w:u w:val="none"/>
              </w:rPr>
            </w:pPr>
            <w:r>
              <w:rPr>
                <w:rFonts w:hint="eastAsia"/>
                <w:sz w:val="24"/>
                <w:szCs w:val="24"/>
                <w:u w:val="none"/>
              </w:rPr>
              <w:t>以厂区西南角为坐标中心，东西向为X轴，南北向为Y轴，本项目大气污染物排放源参数见表1</w:t>
            </w:r>
            <w:r>
              <w:rPr>
                <w:rFonts w:hint="eastAsia"/>
                <w:sz w:val="24"/>
                <w:szCs w:val="24"/>
                <w:u w:val="none"/>
                <w:lang w:val="en-US" w:eastAsia="zh-CN"/>
              </w:rPr>
              <w:t>7</w:t>
            </w:r>
            <w:r>
              <w:rPr>
                <w:rFonts w:hint="eastAsia"/>
                <w:sz w:val="24"/>
                <w:szCs w:val="24"/>
                <w:u w:val="none"/>
              </w:rPr>
              <w:t>，表1</w:t>
            </w:r>
            <w:r>
              <w:rPr>
                <w:rFonts w:hint="eastAsia"/>
                <w:sz w:val="24"/>
                <w:szCs w:val="24"/>
                <w:u w:val="none"/>
                <w:lang w:val="en-US" w:eastAsia="zh-CN"/>
              </w:rPr>
              <w:t>8</w:t>
            </w:r>
            <w:r>
              <w:rPr>
                <w:rFonts w:hint="eastAsia"/>
                <w:sz w:val="24"/>
                <w:szCs w:val="24"/>
                <w:u w:val="none"/>
              </w:rPr>
              <w:t>。</w:t>
            </w:r>
          </w:p>
          <w:p>
            <w:pPr>
              <w:spacing w:line="240" w:lineRule="atLeast"/>
              <w:ind w:firstLine="1982" w:firstLineChars="826"/>
              <w:rPr>
                <w:rFonts w:ascii="黑体" w:hAnsi="宋体" w:eastAsia="黑体"/>
                <w:sz w:val="24"/>
                <w:szCs w:val="24"/>
                <w:u w:val="single"/>
              </w:rPr>
            </w:pPr>
            <w:r>
              <w:rPr>
                <w:rFonts w:hint="eastAsia" w:ascii="黑体" w:hAnsi="宋体" w:eastAsia="黑体"/>
                <w:sz w:val="24"/>
                <w:szCs w:val="24"/>
                <w:u w:val="single"/>
              </w:rPr>
              <w:t>表</w:t>
            </w:r>
            <w:r>
              <w:rPr>
                <w:rFonts w:hint="eastAsia" w:ascii="黑体" w:hAnsi="宋体" w:eastAsia="黑体"/>
                <w:sz w:val="24"/>
                <w:szCs w:val="24"/>
                <w:u w:val="single"/>
                <w:lang w:val="en-US" w:eastAsia="zh-CN"/>
              </w:rPr>
              <w:t>17</w:t>
            </w:r>
            <w:r>
              <w:rPr>
                <w:rFonts w:hint="eastAsia" w:ascii="黑体" w:hAnsi="宋体" w:eastAsia="黑体"/>
                <w:sz w:val="24"/>
                <w:szCs w:val="24"/>
                <w:u w:val="single"/>
              </w:rPr>
              <w:t xml:space="preserve">          点源参数调查清单</w:t>
            </w:r>
          </w:p>
          <w:tbl>
            <w:tblPr>
              <w:tblStyle w:val="27"/>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84"/>
              <w:gridCol w:w="971"/>
              <w:gridCol w:w="665"/>
              <w:gridCol w:w="798"/>
              <w:gridCol w:w="845"/>
              <w:gridCol w:w="774"/>
              <w:gridCol w:w="1006"/>
              <w:gridCol w:w="793"/>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014" w:type="dxa"/>
                  <w:vMerge w:val="restart"/>
                  <w:shd w:val="clear" w:color="auto" w:fill="auto"/>
                  <w:vAlign w:val="center"/>
                </w:tcPr>
                <w:p>
                  <w:pPr>
                    <w:spacing w:line="240" w:lineRule="atLeast"/>
                    <w:jc w:val="center"/>
                    <w:rPr>
                      <w:szCs w:val="21"/>
                      <w:u w:val="none"/>
                    </w:rPr>
                  </w:pPr>
                  <w:r>
                    <w:rPr>
                      <w:szCs w:val="21"/>
                      <w:u w:val="none"/>
                    </w:rPr>
                    <w:t>名称</w:t>
                  </w:r>
                </w:p>
              </w:tc>
              <w:tc>
                <w:tcPr>
                  <w:tcW w:w="1084" w:type="dxa"/>
                  <w:vMerge w:val="restart"/>
                  <w:shd w:val="clear" w:color="auto" w:fill="auto"/>
                  <w:vAlign w:val="center"/>
                </w:tcPr>
                <w:p>
                  <w:pPr>
                    <w:adjustRightInd w:val="0"/>
                    <w:snapToGrid w:val="0"/>
                    <w:ind w:firstLine="105" w:firstLineChars="50"/>
                    <w:rPr>
                      <w:szCs w:val="21"/>
                      <w:u w:val="none"/>
                    </w:rPr>
                  </w:pPr>
                  <w:r>
                    <w:rPr>
                      <w:rFonts w:hint="eastAsia"/>
                      <w:szCs w:val="21"/>
                      <w:u w:val="none"/>
                    </w:rPr>
                    <w:t>中心</w:t>
                  </w:r>
                </w:p>
                <w:p>
                  <w:pPr>
                    <w:adjustRightInd w:val="0"/>
                    <w:snapToGrid w:val="0"/>
                    <w:ind w:firstLine="105" w:firstLineChars="50"/>
                    <w:rPr>
                      <w:szCs w:val="21"/>
                      <w:u w:val="none"/>
                    </w:rPr>
                  </w:pPr>
                  <w:r>
                    <w:rPr>
                      <w:rFonts w:hint="eastAsia"/>
                      <w:szCs w:val="21"/>
                      <w:u w:val="none"/>
                    </w:rPr>
                    <w:t>坐标</w:t>
                  </w:r>
                </w:p>
              </w:tc>
              <w:tc>
                <w:tcPr>
                  <w:tcW w:w="971" w:type="dxa"/>
                  <w:vMerge w:val="restart"/>
                  <w:shd w:val="clear" w:color="auto" w:fill="auto"/>
                  <w:vAlign w:val="center"/>
                </w:tcPr>
                <w:p>
                  <w:pPr>
                    <w:adjustRightInd w:val="0"/>
                    <w:snapToGrid w:val="0"/>
                    <w:jc w:val="center"/>
                    <w:rPr>
                      <w:szCs w:val="21"/>
                      <w:u w:val="none"/>
                    </w:rPr>
                  </w:pPr>
                  <w:r>
                    <w:rPr>
                      <w:rFonts w:hint="eastAsia"/>
                      <w:szCs w:val="21"/>
                      <w:u w:val="none"/>
                    </w:rPr>
                    <w:t>排气筒底部海拔高度</w:t>
                  </w:r>
                </w:p>
              </w:tc>
              <w:tc>
                <w:tcPr>
                  <w:tcW w:w="665" w:type="dxa"/>
                  <w:vMerge w:val="restart"/>
                  <w:shd w:val="clear" w:color="auto" w:fill="auto"/>
                  <w:vAlign w:val="center"/>
                </w:tcPr>
                <w:p>
                  <w:pPr>
                    <w:adjustRightInd w:val="0"/>
                    <w:snapToGrid w:val="0"/>
                    <w:jc w:val="center"/>
                    <w:rPr>
                      <w:szCs w:val="21"/>
                      <w:u w:val="none"/>
                    </w:rPr>
                  </w:pPr>
                  <w:r>
                    <w:rPr>
                      <w:szCs w:val="21"/>
                      <w:u w:val="none"/>
                    </w:rPr>
                    <w:t>排气筒高度</w:t>
                  </w:r>
                </w:p>
              </w:tc>
              <w:tc>
                <w:tcPr>
                  <w:tcW w:w="798" w:type="dxa"/>
                  <w:vMerge w:val="restart"/>
                  <w:shd w:val="clear" w:color="auto" w:fill="auto"/>
                  <w:vAlign w:val="center"/>
                </w:tcPr>
                <w:p>
                  <w:pPr>
                    <w:adjustRightInd w:val="0"/>
                    <w:snapToGrid w:val="0"/>
                    <w:jc w:val="center"/>
                    <w:rPr>
                      <w:szCs w:val="21"/>
                      <w:u w:val="none"/>
                    </w:rPr>
                  </w:pPr>
                  <w:r>
                    <w:rPr>
                      <w:szCs w:val="21"/>
                      <w:u w:val="none"/>
                    </w:rPr>
                    <w:t>排气筒内径</w:t>
                  </w:r>
                </w:p>
              </w:tc>
              <w:tc>
                <w:tcPr>
                  <w:tcW w:w="845" w:type="dxa"/>
                  <w:vMerge w:val="restart"/>
                  <w:shd w:val="clear" w:color="auto" w:fill="auto"/>
                  <w:vAlign w:val="center"/>
                </w:tcPr>
                <w:p>
                  <w:pPr>
                    <w:adjustRightInd w:val="0"/>
                    <w:snapToGrid w:val="0"/>
                    <w:jc w:val="center"/>
                    <w:rPr>
                      <w:szCs w:val="21"/>
                      <w:u w:val="none"/>
                    </w:rPr>
                  </w:pPr>
                  <w:r>
                    <w:rPr>
                      <w:rFonts w:hint="eastAsia"/>
                      <w:szCs w:val="21"/>
                      <w:u w:val="none"/>
                    </w:rPr>
                    <w:t>废</w:t>
                  </w:r>
                  <w:r>
                    <w:rPr>
                      <w:szCs w:val="21"/>
                      <w:u w:val="none"/>
                    </w:rPr>
                    <w:t>气出口速度</w:t>
                  </w:r>
                </w:p>
              </w:tc>
              <w:tc>
                <w:tcPr>
                  <w:tcW w:w="774" w:type="dxa"/>
                  <w:vMerge w:val="restart"/>
                  <w:shd w:val="clear" w:color="auto" w:fill="auto"/>
                  <w:vAlign w:val="center"/>
                </w:tcPr>
                <w:p>
                  <w:pPr>
                    <w:adjustRightInd w:val="0"/>
                    <w:snapToGrid w:val="0"/>
                    <w:jc w:val="center"/>
                    <w:rPr>
                      <w:szCs w:val="21"/>
                      <w:u w:val="none"/>
                    </w:rPr>
                  </w:pPr>
                  <w:r>
                    <w:rPr>
                      <w:szCs w:val="21"/>
                      <w:u w:val="none"/>
                    </w:rPr>
                    <w:t>烟气出口温度</w:t>
                  </w:r>
                </w:p>
              </w:tc>
              <w:tc>
                <w:tcPr>
                  <w:tcW w:w="1006" w:type="dxa"/>
                  <w:vMerge w:val="restart"/>
                  <w:shd w:val="clear" w:color="auto" w:fill="auto"/>
                  <w:vAlign w:val="center"/>
                </w:tcPr>
                <w:p>
                  <w:pPr>
                    <w:adjustRightInd w:val="0"/>
                    <w:snapToGrid w:val="0"/>
                    <w:jc w:val="center"/>
                    <w:rPr>
                      <w:szCs w:val="21"/>
                      <w:u w:val="none"/>
                    </w:rPr>
                  </w:pPr>
                  <w:r>
                    <w:rPr>
                      <w:szCs w:val="21"/>
                      <w:u w:val="none"/>
                    </w:rPr>
                    <w:t>年排放</w:t>
                  </w:r>
                </w:p>
                <w:p>
                  <w:pPr>
                    <w:adjustRightInd w:val="0"/>
                    <w:snapToGrid w:val="0"/>
                    <w:jc w:val="center"/>
                    <w:rPr>
                      <w:szCs w:val="21"/>
                      <w:u w:val="none"/>
                    </w:rPr>
                  </w:pPr>
                  <w:r>
                    <w:rPr>
                      <w:szCs w:val="21"/>
                      <w:u w:val="none"/>
                    </w:rPr>
                    <w:t>小时数</w:t>
                  </w:r>
                </w:p>
              </w:tc>
              <w:tc>
                <w:tcPr>
                  <w:tcW w:w="793" w:type="dxa"/>
                  <w:vMerge w:val="restart"/>
                  <w:shd w:val="clear" w:color="auto" w:fill="auto"/>
                  <w:vAlign w:val="center"/>
                </w:tcPr>
                <w:p>
                  <w:pPr>
                    <w:adjustRightInd w:val="0"/>
                    <w:snapToGrid w:val="0"/>
                    <w:jc w:val="center"/>
                    <w:rPr>
                      <w:szCs w:val="21"/>
                      <w:u w:val="none"/>
                    </w:rPr>
                  </w:pPr>
                  <w:r>
                    <w:rPr>
                      <w:szCs w:val="21"/>
                      <w:u w:val="none"/>
                    </w:rPr>
                    <w:t>排放</w:t>
                  </w:r>
                </w:p>
                <w:p>
                  <w:pPr>
                    <w:adjustRightInd w:val="0"/>
                    <w:snapToGrid w:val="0"/>
                    <w:jc w:val="center"/>
                    <w:rPr>
                      <w:szCs w:val="21"/>
                      <w:u w:val="none"/>
                    </w:rPr>
                  </w:pPr>
                  <w:r>
                    <w:rPr>
                      <w:szCs w:val="21"/>
                      <w:u w:val="none"/>
                    </w:rPr>
                    <w:t>工况</w:t>
                  </w:r>
                </w:p>
              </w:tc>
              <w:tc>
                <w:tcPr>
                  <w:tcW w:w="1246" w:type="dxa"/>
                  <w:shd w:val="clear" w:color="auto" w:fill="auto"/>
                  <w:vAlign w:val="center"/>
                </w:tcPr>
                <w:p>
                  <w:pPr>
                    <w:spacing w:line="240" w:lineRule="atLeast"/>
                    <w:jc w:val="center"/>
                    <w:rPr>
                      <w:szCs w:val="21"/>
                      <w:u w:val="none"/>
                    </w:rPr>
                  </w:pPr>
                  <w:r>
                    <w:rPr>
                      <w:szCs w:val="21"/>
                      <w:u w:val="none"/>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014" w:type="dxa"/>
                  <w:vMerge w:val="continue"/>
                  <w:shd w:val="clear" w:color="auto" w:fill="auto"/>
                  <w:vAlign w:val="center"/>
                </w:tcPr>
                <w:p>
                  <w:pPr>
                    <w:spacing w:line="240" w:lineRule="atLeast"/>
                    <w:jc w:val="center"/>
                    <w:rPr>
                      <w:szCs w:val="21"/>
                      <w:u w:val="none"/>
                    </w:rPr>
                  </w:pPr>
                </w:p>
              </w:tc>
              <w:tc>
                <w:tcPr>
                  <w:tcW w:w="1084" w:type="dxa"/>
                  <w:vMerge w:val="continue"/>
                  <w:shd w:val="clear" w:color="auto" w:fill="auto"/>
                  <w:vAlign w:val="center"/>
                </w:tcPr>
                <w:p>
                  <w:pPr>
                    <w:adjustRightInd w:val="0"/>
                    <w:snapToGrid w:val="0"/>
                    <w:jc w:val="center"/>
                    <w:rPr>
                      <w:szCs w:val="21"/>
                      <w:u w:val="none"/>
                    </w:rPr>
                  </w:pPr>
                </w:p>
              </w:tc>
              <w:tc>
                <w:tcPr>
                  <w:tcW w:w="971" w:type="dxa"/>
                  <w:vMerge w:val="continue"/>
                  <w:shd w:val="clear" w:color="auto" w:fill="auto"/>
                  <w:vAlign w:val="center"/>
                </w:tcPr>
                <w:p>
                  <w:pPr>
                    <w:adjustRightInd w:val="0"/>
                    <w:snapToGrid w:val="0"/>
                    <w:jc w:val="center"/>
                    <w:rPr>
                      <w:szCs w:val="21"/>
                      <w:u w:val="none"/>
                    </w:rPr>
                  </w:pPr>
                </w:p>
              </w:tc>
              <w:tc>
                <w:tcPr>
                  <w:tcW w:w="665" w:type="dxa"/>
                  <w:vMerge w:val="continue"/>
                  <w:shd w:val="clear" w:color="auto" w:fill="auto"/>
                  <w:vAlign w:val="center"/>
                </w:tcPr>
                <w:p>
                  <w:pPr>
                    <w:adjustRightInd w:val="0"/>
                    <w:snapToGrid w:val="0"/>
                    <w:jc w:val="center"/>
                    <w:rPr>
                      <w:szCs w:val="21"/>
                      <w:u w:val="none"/>
                    </w:rPr>
                  </w:pPr>
                </w:p>
              </w:tc>
              <w:tc>
                <w:tcPr>
                  <w:tcW w:w="798" w:type="dxa"/>
                  <w:vMerge w:val="continue"/>
                  <w:shd w:val="clear" w:color="auto" w:fill="auto"/>
                  <w:vAlign w:val="center"/>
                </w:tcPr>
                <w:p>
                  <w:pPr>
                    <w:adjustRightInd w:val="0"/>
                    <w:snapToGrid w:val="0"/>
                    <w:jc w:val="center"/>
                    <w:rPr>
                      <w:szCs w:val="21"/>
                      <w:u w:val="none"/>
                    </w:rPr>
                  </w:pPr>
                </w:p>
              </w:tc>
              <w:tc>
                <w:tcPr>
                  <w:tcW w:w="845" w:type="dxa"/>
                  <w:vMerge w:val="continue"/>
                  <w:shd w:val="clear" w:color="auto" w:fill="auto"/>
                  <w:vAlign w:val="center"/>
                </w:tcPr>
                <w:p>
                  <w:pPr>
                    <w:adjustRightInd w:val="0"/>
                    <w:snapToGrid w:val="0"/>
                    <w:jc w:val="center"/>
                    <w:rPr>
                      <w:szCs w:val="21"/>
                      <w:u w:val="none"/>
                    </w:rPr>
                  </w:pPr>
                </w:p>
              </w:tc>
              <w:tc>
                <w:tcPr>
                  <w:tcW w:w="774" w:type="dxa"/>
                  <w:vMerge w:val="continue"/>
                  <w:shd w:val="clear" w:color="auto" w:fill="auto"/>
                  <w:vAlign w:val="center"/>
                </w:tcPr>
                <w:p>
                  <w:pPr>
                    <w:adjustRightInd w:val="0"/>
                    <w:snapToGrid w:val="0"/>
                    <w:jc w:val="center"/>
                    <w:rPr>
                      <w:szCs w:val="21"/>
                      <w:u w:val="none"/>
                    </w:rPr>
                  </w:pPr>
                </w:p>
              </w:tc>
              <w:tc>
                <w:tcPr>
                  <w:tcW w:w="1006" w:type="dxa"/>
                  <w:vMerge w:val="continue"/>
                  <w:shd w:val="clear" w:color="auto" w:fill="auto"/>
                  <w:vAlign w:val="center"/>
                </w:tcPr>
                <w:p>
                  <w:pPr>
                    <w:adjustRightInd w:val="0"/>
                    <w:snapToGrid w:val="0"/>
                    <w:jc w:val="center"/>
                    <w:rPr>
                      <w:szCs w:val="21"/>
                      <w:u w:val="none"/>
                    </w:rPr>
                  </w:pPr>
                </w:p>
              </w:tc>
              <w:tc>
                <w:tcPr>
                  <w:tcW w:w="793" w:type="dxa"/>
                  <w:vMerge w:val="continue"/>
                  <w:shd w:val="clear" w:color="auto" w:fill="auto"/>
                  <w:vAlign w:val="center"/>
                </w:tcPr>
                <w:p>
                  <w:pPr>
                    <w:adjustRightInd w:val="0"/>
                    <w:snapToGrid w:val="0"/>
                    <w:jc w:val="center"/>
                    <w:rPr>
                      <w:szCs w:val="21"/>
                      <w:u w:val="none"/>
                    </w:rPr>
                  </w:pPr>
                </w:p>
              </w:tc>
              <w:tc>
                <w:tcPr>
                  <w:tcW w:w="1246" w:type="dxa"/>
                  <w:shd w:val="clear" w:color="auto" w:fill="auto"/>
                  <w:vAlign w:val="center"/>
                </w:tcPr>
                <w:p>
                  <w:pPr>
                    <w:spacing w:line="240" w:lineRule="atLeast"/>
                    <w:jc w:val="center"/>
                    <w:rPr>
                      <w:szCs w:val="21"/>
                      <w:u w:val="none"/>
                    </w:rPr>
                  </w:pPr>
                  <w:r>
                    <w:rPr>
                      <w:rFonts w:hint="eastAsia"/>
                      <w:szCs w:val="21"/>
                      <w:u w:val="none"/>
                    </w:rPr>
                    <w:t>PM</w:t>
                  </w:r>
                  <w:r>
                    <w:rPr>
                      <w:rFonts w:hint="eastAsia"/>
                      <w:szCs w:val="21"/>
                      <w:u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14" w:type="dxa"/>
                  <w:vMerge w:val="continue"/>
                  <w:shd w:val="clear" w:color="auto" w:fill="auto"/>
                  <w:vAlign w:val="center"/>
                </w:tcPr>
                <w:p>
                  <w:pPr>
                    <w:spacing w:line="240" w:lineRule="atLeast"/>
                    <w:jc w:val="center"/>
                    <w:rPr>
                      <w:szCs w:val="21"/>
                      <w:u w:val="none"/>
                    </w:rPr>
                  </w:pPr>
                </w:p>
              </w:tc>
              <w:tc>
                <w:tcPr>
                  <w:tcW w:w="1084" w:type="dxa"/>
                  <w:shd w:val="clear" w:color="auto" w:fill="auto"/>
                  <w:vAlign w:val="center"/>
                </w:tcPr>
                <w:p>
                  <w:pPr>
                    <w:adjustRightInd w:val="0"/>
                    <w:snapToGrid w:val="0"/>
                    <w:jc w:val="center"/>
                    <w:rPr>
                      <w:szCs w:val="21"/>
                      <w:u w:val="none"/>
                    </w:rPr>
                  </w:pPr>
                  <w:r>
                    <w:rPr>
                      <w:rFonts w:hint="eastAsia"/>
                      <w:szCs w:val="21"/>
                      <w:u w:val="none"/>
                    </w:rPr>
                    <w:t>（X，Y）</w:t>
                  </w:r>
                </w:p>
              </w:tc>
              <w:tc>
                <w:tcPr>
                  <w:tcW w:w="971" w:type="dxa"/>
                  <w:shd w:val="clear" w:color="auto" w:fill="auto"/>
                  <w:vAlign w:val="center"/>
                </w:tcPr>
                <w:p>
                  <w:pPr>
                    <w:adjustRightInd w:val="0"/>
                    <w:snapToGrid w:val="0"/>
                    <w:jc w:val="center"/>
                    <w:rPr>
                      <w:szCs w:val="21"/>
                      <w:u w:val="none"/>
                    </w:rPr>
                  </w:pPr>
                  <w:r>
                    <w:rPr>
                      <w:szCs w:val="21"/>
                      <w:u w:val="none"/>
                    </w:rPr>
                    <w:t>m</w:t>
                  </w:r>
                </w:p>
              </w:tc>
              <w:tc>
                <w:tcPr>
                  <w:tcW w:w="665" w:type="dxa"/>
                  <w:shd w:val="clear" w:color="auto" w:fill="auto"/>
                  <w:vAlign w:val="center"/>
                </w:tcPr>
                <w:p>
                  <w:pPr>
                    <w:adjustRightInd w:val="0"/>
                    <w:snapToGrid w:val="0"/>
                    <w:jc w:val="center"/>
                    <w:rPr>
                      <w:szCs w:val="21"/>
                      <w:u w:val="none"/>
                    </w:rPr>
                  </w:pPr>
                  <w:r>
                    <w:rPr>
                      <w:szCs w:val="21"/>
                      <w:u w:val="none"/>
                    </w:rPr>
                    <w:t>m</w:t>
                  </w:r>
                </w:p>
              </w:tc>
              <w:tc>
                <w:tcPr>
                  <w:tcW w:w="798" w:type="dxa"/>
                  <w:shd w:val="clear" w:color="auto" w:fill="auto"/>
                  <w:vAlign w:val="center"/>
                </w:tcPr>
                <w:p>
                  <w:pPr>
                    <w:adjustRightInd w:val="0"/>
                    <w:snapToGrid w:val="0"/>
                    <w:jc w:val="center"/>
                    <w:rPr>
                      <w:szCs w:val="21"/>
                      <w:u w:val="none"/>
                    </w:rPr>
                  </w:pPr>
                  <w:r>
                    <w:rPr>
                      <w:szCs w:val="21"/>
                      <w:u w:val="none"/>
                    </w:rPr>
                    <w:t>m</w:t>
                  </w:r>
                </w:p>
              </w:tc>
              <w:tc>
                <w:tcPr>
                  <w:tcW w:w="845" w:type="dxa"/>
                  <w:shd w:val="clear" w:color="auto" w:fill="auto"/>
                  <w:vAlign w:val="center"/>
                </w:tcPr>
                <w:p>
                  <w:pPr>
                    <w:adjustRightInd w:val="0"/>
                    <w:snapToGrid w:val="0"/>
                    <w:jc w:val="center"/>
                    <w:rPr>
                      <w:szCs w:val="21"/>
                      <w:u w:val="none"/>
                    </w:rPr>
                  </w:pPr>
                  <w:r>
                    <w:rPr>
                      <w:szCs w:val="21"/>
                      <w:u w:val="none"/>
                    </w:rPr>
                    <w:t>m/s</w:t>
                  </w:r>
                </w:p>
              </w:tc>
              <w:tc>
                <w:tcPr>
                  <w:tcW w:w="774" w:type="dxa"/>
                  <w:shd w:val="clear" w:color="auto" w:fill="auto"/>
                  <w:vAlign w:val="center"/>
                </w:tcPr>
                <w:p>
                  <w:pPr>
                    <w:adjustRightInd w:val="0"/>
                    <w:snapToGrid w:val="0"/>
                    <w:jc w:val="center"/>
                    <w:rPr>
                      <w:szCs w:val="21"/>
                      <w:u w:val="none"/>
                    </w:rPr>
                  </w:pPr>
                  <w:r>
                    <w:rPr>
                      <w:szCs w:val="21"/>
                      <w:u w:val="none"/>
                    </w:rPr>
                    <w:t>K</w:t>
                  </w:r>
                </w:p>
              </w:tc>
              <w:tc>
                <w:tcPr>
                  <w:tcW w:w="1006" w:type="dxa"/>
                  <w:shd w:val="clear" w:color="auto" w:fill="auto"/>
                  <w:vAlign w:val="center"/>
                </w:tcPr>
                <w:p>
                  <w:pPr>
                    <w:adjustRightInd w:val="0"/>
                    <w:snapToGrid w:val="0"/>
                    <w:jc w:val="center"/>
                    <w:rPr>
                      <w:szCs w:val="21"/>
                      <w:u w:val="none"/>
                    </w:rPr>
                  </w:pPr>
                  <w:r>
                    <w:rPr>
                      <w:szCs w:val="21"/>
                      <w:u w:val="none"/>
                    </w:rPr>
                    <w:t>h</w:t>
                  </w:r>
                </w:p>
              </w:tc>
              <w:tc>
                <w:tcPr>
                  <w:tcW w:w="793" w:type="dxa"/>
                  <w:shd w:val="clear" w:color="auto" w:fill="auto"/>
                  <w:vAlign w:val="center"/>
                </w:tcPr>
                <w:p>
                  <w:pPr>
                    <w:adjustRightInd w:val="0"/>
                    <w:snapToGrid w:val="0"/>
                    <w:jc w:val="center"/>
                    <w:rPr>
                      <w:szCs w:val="21"/>
                      <w:u w:val="none"/>
                    </w:rPr>
                  </w:pPr>
                  <w:r>
                    <w:rPr>
                      <w:szCs w:val="21"/>
                      <w:u w:val="none"/>
                    </w:rPr>
                    <w:t>Cond</w:t>
                  </w:r>
                </w:p>
              </w:tc>
              <w:tc>
                <w:tcPr>
                  <w:tcW w:w="1246" w:type="dxa"/>
                  <w:shd w:val="clear" w:color="auto" w:fill="auto"/>
                  <w:vAlign w:val="center"/>
                </w:tcPr>
                <w:p>
                  <w:pPr>
                    <w:spacing w:line="240" w:lineRule="atLeast"/>
                    <w:jc w:val="center"/>
                    <w:rPr>
                      <w:szCs w:val="21"/>
                      <w:u w:val="none"/>
                    </w:rPr>
                  </w:pPr>
                  <w:r>
                    <w:rPr>
                      <w:rFonts w:hint="eastAsia"/>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14" w:type="dxa"/>
                  <w:shd w:val="clear" w:color="auto" w:fill="auto"/>
                  <w:vAlign w:val="center"/>
                </w:tcPr>
                <w:p>
                  <w:pPr>
                    <w:spacing w:line="240" w:lineRule="atLeast"/>
                    <w:jc w:val="center"/>
                    <w:rPr>
                      <w:szCs w:val="21"/>
                      <w:u w:val="none"/>
                    </w:rPr>
                  </w:pPr>
                  <w:r>
                    <w:rPr>
                      <w:rFonts w:hint="eastAsia"/>
                      <w:szCs w:val="21"/>
                      <w:u w:val="none"/>
                    </w:rPr>
                    <w:t>除尘器排气筒</w:t>
                  </w:r>
                </w:p>
              </w:tc>
              <w:tc>
                <w:tcPr>
                  <w:tcW w:w="1084" w:type="dxa"/>
                  <w:shd w:val="clear" w:color="auto" w:fill="auto"/>
                  <w:vAlign w:val="center"/>
                </w:tcPr>
                <w:p>
                  <w:pPr>
                    <w:spacing w:line="240" w:lineRule="atLeast"/>
                    <w:jc w:val="center"/>
                    <w:rPr>
                      <w:szCs w:val="21"/>
                      <w:u w:val="none"/>
                    </w:rPr>
                  </w:pPr>
                  <w:r>
                    <w:rPr>
                      <w:rFonts w:hint="eastAsia"/>
                      <w:szCs w:val="21"/>
                      <w:u w:val="none"/>
                    </w:rPr>
                    <w:t>（</w:t>
                  </w:r>
                  <w:r>
                    <w:rPr>
                      <w:rFonts w:hint="eastAsia"/>
                      <w:szCs w:val="21"/>
                      <w:u w:val="none"/>
                      <w:lang w:val="en-US" w:eastAsia="zh-CN"/>
                    </w:rPr>
                    <w:t>90</w:t>
                  </w:r>
                  <w:r>
                    <w:rPr>
                      <w:rFonts w:hint="eastAsia"/>
                      <w:szCs w:val="21"/>
                      <w:u w:val="none"/>
                    </w:rPr>
                    <w:t>，</w:t>
                  </w:r>
                  <w:r>
                    <w:rPr>
                      <w:rFonts w:hint="eastAsia"/>
                      <w:szCs w:val="21"/>
                      <w:u w:val="none"/>
                      <w:lang w:val="en-US" w:eastAsia="zh-CN"/>
                    </w:rPr>
                    <w:t>9</w:t>
                  </w:r>
                  <w:r>
                    <w:rPr>
                      <w:rFonts w:hint="eastAsia"/>
                      <w:szCs w:val="21"/>
                      <w:u w:val="none"/>
                    </w:rPr>
                    <w:t>0）</w:t>
                  </w:r>
                </w:p>
              </w:tc>
              <w:tc>
                <w:tcPr>
                  <w:tcW w:w="971" w:type="dxa"/>
                  <w:shd w:val="clear" w:color="auto" w:fill="auto"/>
                  <w:vAlign w:val="center"/>
                </w:tcPr>
                <w:p>
                  <w:pPr>
                    <w:spacing w:line="240" w:lineRule="atLeast"/>
                    <w:jc w:val="center"/>
                    <w:rPr>
                      <w:rFonts w:hint="eastAsia" w:eastAsia="宋体"/>
                      <w:szCs w:val="21"/>
                      <w:u w:val="none"/>
                      <w:lang w:eastAsia="zh-CN"/>
                    </w:rPr>
                  </w:pPr>
                  <w:r>
                    <w:rPr>
                      <w:rFonts w:hint="eastAsia"/>
                      <w:szCs w:val="21"/>
                      <w:u w:val="none"/>
                      <w:lang w:val="en-US" w:eastAsia="zh-CN"/>
                    </w:rPr>
                    <w:t>114</w:t>
                  </w:r>
                </w:p>
              </w:tc>
              <w:tc>
                <w:tcPr>
                  <w:tcW w:w="665" w:type="dxa"/>
                  <w:shd w:val="clear" w:color="auto" w:fill="auto"/>
                  <w:vAlign w:val="center"/>
                </w:tcPr>
                <w:p>
                  <w:pPr>
                    <w:spacing w:line="240" w:lineRule="atLeast"/>
                    <w:jc w:val="center"/>
                    <w:rPr>
                      <w:szCs w:val="21"/>
                      <w:u w:val="none"/>
                    </w:rPr>
                  </w:pPr>
                  <w:r>
                    <w:rPr>
                      <w:szCs w:val="21"/>
                      <w:u w:val="none"/>
                    </w:rPr>
                    <w:t>15</w:t>
                  </w:r>
                </w:p>
              </w:tc>
              <w:tc>
                <w:tcPr>
                  <w:tcW w:w="798" w:type="dxa"/>
                  <w:shd w:val="clear" w:color="auto" w:fill="auto"/>
                  <w:vAlign w:val="center"/>
                </w:tcPr>
                <w:p>
                  <w:pPr>
                    <w:spacing w:line="240" w:lineRule="atLeast"/>
                    <w:jc w:val="center"/>
                    <w:rPr>
                      <w:szCs w:val="21"/>
                      <w:u w:val="none"/>
                    </w:rPr>
                  </w:pPr>
                  <w:r>
                    <w:rPr>
                      <w:rFonts w:hint="eastAsia"/>
                      <w:szCs w:val="21"/>
                      <w:u w:val="none"/>
                    </w:rPr>
                    <w:t>0.4</w:t>
                  </w:r>
                </w:p>
              </w:tc>
              <w:tc>
                <w:tcPr>
                  <w:tcW w:w="845" w:type="dxa"/>
                  <w:shd w:val="clear" w:color="auto" w:fill="auto"/>
                  <w:vAlign w:val="center"/>
                </w:tcPr>
                <w:p>
                  <w:pPr>
                    <w:spacing w:line="240" w:lineRule="atLeast"/>
                    <w:jc w:val="center"/>
                    <w:rPr>
                      <w:rFonts w:hint="eastAsia" w:eastAsia="宋体"/>
                      <w:szCs w:val="21"/>
                      <w:u w:val="none"/>
                      <w:lang w:eastAsia="zh-CN"/>
                    </w:rPr>
                  </w:pPr>
                  <w:r>
                    <w:rPr>
                      <w:rFonts w:hint="eastAsia"/>
                      <w:szCs w:val="21"/>
                      <w:u w:val="none"/>
                      <w:lang w:val="en-US" w:eastAsia="zh-CN"/>
                    </w:rPr>
                    <w:t>17.69</w:t>
                  </w:r>
                </w:p>
              </w:tc>
              <w:tc>
                <w:tcPr>
                  <w:tcW w:w="774" w:type="dxa"/>
                  <w:shd w:val="clear" w:color="auto" w:fill="auto"/>
                  <w:vAlign w:val="center"/>
                </w:tcPr>
                <w:p>
                  <w:pPr>
                    <w:spacing w:line="240" w:lineRule="atLeast"/>
                    <w:jc w:val="center"/>
                    <w:rPr>
                      <w:szCs w:val="21"/>
                      <w:u w:val="none"/>
                    </w:rPr>
                  </w:pPr>
                  <w:r>
                    <w:rPr>
                      <w:rFonts w:hint="eastAsia"/>
                      <w:szCs w:val="21"/>
                      <w:u w:val="none"/>
                    </w:rPr>
                    <w:t>293</w:t>
                  </w:r>
                </w:p>
              </w:tc>
              <w:tc>
                <w:tcPr>
                  <w:tcW w:w="1006" w:type="dxa"/>
                  <w:shd w:val="clear" w:color="auto" w:fill="auto"/>
                  <w:vAlign w:val="center"/>
                </w:tcPr>
                <w:p>
                  <w:pPr>
                    <w:spacing w:line="240" w:lineRule="atLeast"/>
                    <w:jc w:val="center"/>
                    <w:rPr>
                      <w:szCs w:val="21"/>
                      <w:u w:val="none"/>
                    </w:rPr>
                  </w:pPr>
                  <w:r>
                    <w:rPr>
                      <w:rFonts w:hint="eastAsia"/>
                      <w:szCs w:val="21"/>
                      <w:u w:val="none"/>
                      <w:lang w:val="en-US" w:eastAsia="zh-CN"/>
                    </w:rPr>
                    <w:t>300</w:t>
                  </w:r>
                </w:p>
              </w:tc>
              <w:tc>
                <w:tcPr>
                  <w:tcW w:w="793" w:type="dxa"/>
                  <w:shd w:val="clear" w:color="auto" w:fill="auto"/>
                  <w:vAlign w:val="center"/>
                </w:tcPr>
                <w:p>
                  <w:pPr>
                    <w:adjustRightInd w:val="0"/>
                    <w:snapToGrid w:val="0"/>
                    <w:jc w:val="center"/>
                    <w:rPr>
                      <w:szCs w:val="21"/>
                      <w:u w:val="none"/>
                    </w:rPr>
                  </w:pPr>
                  <w:r>
                    <w:rPr>
                      <w:szCs w:val="21"/>
                      <w:u w:val="none"/>
                    </w:rPr>
                    <w:t>正常</w:t>
                  </w:r>
                </w:p>
                <w:p>
                  <w:pPr>
                    <w:adjustRightInd w:val="0"/>
                    <w:snapToGrid w:val="0"/>
                    <w:jc w:val="center"/>
                    <w:rPr>
                      <w:szCs w:val="21"/>
                      <w:u w:val="none"/>
                    </w:rPr>
                  </w:pPr>
                  <w:r>
                    <w:rPr>
                      <w:szCs w:val="21"/>
                      <w:u w:val="none"/>
                    </w:rPr>
                    <w:t>排放</w:t>
                  </w:r>
                </w:p>
              </w:tc>
              <w:tc>
                <w:tcPr>
                  <w:tcW w:w="1246" w:type="dxa"/>
                  <w:shd w:val="clear" w:color="auto" w:fill="auto"/>
                  <w:vAlign w:val="center"/>
                </w:tcPr>
                <w:p>
                  <w:pPr>
                    <w:spacing w:line="240" w:lineRule="atLeast"/>
                    <w:jc w:val="center"/>
                    <w:rPr>
                      <w:szCs w:val="21"/>
                      <w:u w:val="none"/>
                    </w:rPr>
                  </w:pPr>
                  <w:r>
                    <w:rPr>
                      <w:rFonts w:hint="eastAsia"/>
                      <w:szCs w:val="21"/>
                      <w:u w:val="none"/>
                    </w:rPr>
                    <w:t>0.</w:t>
                  </w:r>
                  <w:r>
                    <w:rPr>
                      <w:rFonts w:hint="eastAsia"/>
                      <w:szCs w:val="21"/>
                      <w:u w:val="none"/>
                      <w:lang w:val="en-US" w:eastAsia="zh-CN"/>
                    </w:rPr>
                    <w:t>0023</w:t>
                  </w:r>
                </w:p>
              </w:tc>
            </w:tr>
          </w:tbl>
          <w:p>
            <w:pPr>
              <w:spacing w:before="156" w:beforeLines="50" w:line="240" w:lineRule="atLeast"/>
              <w:ind w:firstLine="1747" w:firstLineChars="728"/>
              <w:rPr>
                <w:rFonts w:ascii="黑体" w:hAnsi="宋体" w:eastAsia="黑体"/>
                <w:sz w:val="24"/>
                <w:szCs w:val="24"/>
                <w:u w:val="none"/>
              </w:rPr>
            </w:pPr>
            <w:r>
              <w:rPr>
                <w:rFonts w:hint="eastAsia" w:ascii="黑体" w:hAnsi="宋体" w:eastAsia="黑体"/>
                <w:sz w:val="24"/>
                <w:szCs w:val="24"/>
                <w:u w:val="none"/>
              </w:rPr>
              <w:t>表1</w:t>
            </w:r>
            <w:r>
              <w:rPr>
                <w:rFonts w:hint="eastAsia" w:ascii="黑体" w:hAnsi="宋体" w:eastAsia="黑体"/>
                <w:sz w:val="24"/>
                <w:szCs w:val="24"/>
                <w:u w:val="none"/>
                <w:lang w:val="en-US" w:eastAsia="zh-CN"/>
              </w:rPr>
              <w:t>8</w:t>
            </w:r>
            <w:r>
              <w:rPr>
                <w:rFonts w:hint="eastAsia" w:ascii="黑体" w:hAnsi="宋体" w:eastAsia="黑体"/>
                <w:sz w:val="24"/>
                <w:szCs w:val="24"/>
                <w:u w:val="none"/>
              </w:rPr>
              <w:t xml:space="preserve">         矩形面源参数调查清单</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96"/>
              <w:gridCol w:w="900"/>
              <w:gridCol w:w="855"/>
              <w:gridCol w:w="915"/>
              <w:gridCol w:w="1215"/>
              <w:gridCol w:w="1035"/>
              <w:gridCol w:w="90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62" w:type="dxa"/>
                  <w:vMerge w:val="restart"/>
                  <w:shd w:val="clear" w:color="auto" w:fill="auto"/>
                  <w:vAlign w:val="center"/>
                </w:tcPr>
                <w:p>
                  <w:pPr>
                    <w:spacing w:line="240" w:lineRule="atLeast"/>
                    <w:jc w:val="center"/>
                    <w:rPr>
                      <w:szCs w:val="21"/>
                      <w:u w:val="none"/>
                    </w:rPr>
                  </w:pPr>
                  <w:r>
                    <w:rPr>
                      <w:szCs w:val="21"/>
                      <w:u w:val="none"/>
                    </w:rPr>
                    <w:t>面源</w:t>
                  </w:r>
                </w:p>
                <w:p>
                  <w:pPr>
                    <w:spacing w:line="240" w:lineRule="atLeast"/>
                    <w:jc w:val="center"/>
                    <w:rPr>
                      <w:szCs w:val="21"/>
                      <w:u w:val="none"/>
                    </w:rPr>
                  </w:pPr>
                  <w:r>
                    <w:rPr>
                      <w:szCs w:val="21"/>
                      <w:u w:val="none"/>
                    </w:rPr>
                    <w:t>名称</w:t>
                  </w:r>
                </w:p>
              </w:tc>
              <w:tc>
                <w:tcPr>
                  <w:tcW w:w="1096" w:type="dxa"/>
                  <w:vMerge w:val="restart"/>
                  <w:shd w:val="clear" w:color="auto" w:fill="auto"/>
                  <w:vAlign w:val="center"/>
                </w:tcPr>
                <w:p>
                  <w:pPr>
                    <w:spacing w:line="240" w:lineRule="atLeast"/>
                    <w:jc w:val="center"/>
                    <w:rPr>
                      <w:szCs w:val="21"/>
                      <w:u w:val="none"/>
                    </w:rPr>
                  </w:pPr>
                  <w:r>
                    <w:rPr>
                      <w:szCs w:val="21"/>
                      <w:u w:val="none"/>
                    </w:rPr>
                    <w:t>面源</w:t>
                  </w:r>
                  <w:r>
                    <w:rPr>
                      <w:rFonts w:hint="eastAsia"/>
                      <w:szCs w:val="21"/>
                      <w:u w:val="none"/>
                    </w:rPr>
                    <w:t>起</w:t>
                  </w:r>
                </w:p>
                <w:p>
                  <w:pPr>
                    <w:spacing w:line="240" w:lineRule="atLeast"/>
                    <w:jc w:val="center"/>
                    <w:rPr>
                      <w:szCs w:val="21"/>
                      <w:u w:val="none"/>
                    </w:rPr>
                  </w:pPr>
                  <w:r>
                    <w:rPr>
                      <w:rFonts w:hint="eastAsia"/>
                      <w:szCs w:val="21"/>
                      <w:u w:val="none"/>
                    </w:rPr>
                    <w:t>始坐标</w:t>
                  </w:r>
                </w:p>
              </w:tc>
              <w:tc>
                <w:tcPr>
                  <w:tcW w:w="900" w:type="dxa"/>
                  <w:vMerge w:val="restart"/>
                  <w:shd w:val="clear" w:color="auto" w:fill="auto"/>
                  <w:vAlign w:val="center"/>
                </w:tcPr>
                <w:p>
                  <w:pPr>
                    <w:spacing w:line="240" w:lineRule="atLeast"/>
                    <w:jc w:val="center"/>
                    <w:rPr>
                      <w:szCs w:val="21"/>
                      <w:u w:val="none"/>
                    </w:rPr>
                  </w:pPr>
                  <w:r>
                    <w:rPr>
                      <w:szCs w:val="21"/>
                      <w:u w:val="none"/>
                    </w:rPr>
                    <w:t>面源</w:t>
                  </w:r>
                </w:p>
                <w:p>
                  <w:pPr>
                    <w:spacing w:line="240" w:lineRule="atLeast"/>
                    <w:jc w:val="center"/>
                    <w:rPr>
                      <w:szCs w:val="21"/>
                      <w:u w:val="none"/>
                    </w:rPr>
                  </w:pPr>
                  <w:r>
                    <w:rPr>
                      <w:szCs w:val="21"/>
                      <w:u w:val="none"/>
                    </w:rPr>
                    <w:t>长度</w:t>
                  </w:r>
                </w:p>
              </w:tc>
              <w:tc>
                <w:tcPr>
                  <w:tcW w:w="855" w:type="dxa"/>
                  <w:vMerge w:val="restart"/>
                  <w:shd w:val="clear" w:color="auto" w:fill="auto"/>
                  <w:vAlign w:val="center"/>
                </w:tcPr>
                <w:p>
                  <w:pPr>
                    <w:spacing w:line="240" w:lineRule="atLeast"/>
                    <w:jc w:val="center"/>
                    <w:rPr>
                      <w:szCs w:val="21"/>
                      <w:u w:val="none"/>
                    </w:rPr>
                  </w:pPr>
                  <w:r>
                    <w:rPr>
                      <w:szCs w:val="21"/>
                      <w:u w:val="none"/>
                    </w:rPr>
                    <w:t>面源</w:t>
                  </w:r>
                </w:p>
                <w:p>
                  <w:pPr>
                    <w:spacing w:line="240" w:lineRule="atLeast"/>
                    <w:jc w:val="center"/>
                    <w:rPr>
                      <w:szCs w:val="21"/>
                      <w:u w:val="none"/>
                    </w:rPr>
                  </w:pPr>
                  <w:r>
                    <w:rPr>
                      <w:szCs w:val="21"/>
                      <w:u w:val="none"/>
                    </w:rPr>
                    <w:t>宽度</w:t>
                  </w:r>
                </w:p>
              </w:tc>
              <w:tc>
                <w:tcPr>
                  <w:tcW w:w="915" w:type="dxa"/>
                  <w:vMerge w:val="restart"/>
                  <w:shd w:val="clear" w:color="auto" w:fill="auto"/>
                  <w:vAlign w:val="center"/>
                </w:tcPr>
                <w:p>
                  <w:pPr>
                    <w:spacing w:line="240" w:lineRule="atLeast"/>
                    <w:jc w:val="center"/>
                    <w:rPr>
                      <w:szCs w:val="21"/>
                      <w:u w:val="none"/>
                    </w:rPr>
                  </w:pPr>
                  <w:r>
                    <w:rPr>
                      <w:szCs w:val="21"/>
                      <w:u w:val="none"/>
                    </w:rPr>
                    <w:t>与正北夹角</w:t>
                  </w:r>
                </w:p>
              </w:tc>
              <w:tc>
                <w:tcPr>
                  <w:tcW w:w="1215" w:type="dxa"/>
                  <w:vMerge w:val="restart"/>
                  <w:shd w:val="clear" w:color="auto" w:fill="auto"/>
                  <w:vAlign w:val="center"/>
                </w:tcPr>
                <w:p>
                  <w:pPr>
                    <w:spacing w:line="240" w:lineRule="atLeast"/>
                    <w:jc w:val="center"/>
                    <w:rPr>
                      <w:szCs w:val="21"/>
                      <w:u w:val="none"/>
                    </w:rPr>
                  </w:pPr>
                  <w:r>
                    <w:rPr>
                      <w:szCs w:val="21"/>
                      <w:u w:val="none"/>
                    </w:rPr>
                    <w:t>面源初始</w:t>
                  </w:r>
                </w:p>
                <w:p>
                  <w:pPr>
                    <w:spacing w:line="240" w:lineRule="atLeast"/>
                    <w:jc w:val="center"/>
                    <w:rPr>
                      <w:szCs w:val="21"/>
                      <w:u w:val="none"/>
                    </w:rPr>
                  </w:pPr>
                  <w:r>
                    <w:rPr>
                      <w:szCs w:val="21"/>
                      <w:u w:val="none"/>
                    </w:rPr>
                    <w:t>排放高度</w:t>
                  </w:r>
                </w:p>
              </w:tc>
              <w:tc>
                <w:tcPr>
                  <w:tcW w:w="1035" w:type="dxa"/>
                  <w:vMerge w:val="restart"/>
                  <w:shd w:val="clear" w:color="auto" w:fill="auto"/>
                  <w:vAlign w:val="center"/>
                </w:tcPr>
                <w:p>
                  <w:pPr>
                    <w:spacing w:line="240" w:lineRule="atLeast"/>
                    <w:jc w:val="center"/>
                    <w:rPr>
                      <w:szCs w:val="21"/>
                      <w:u w:val="none"/>
                    </w:rPr>
                  </w:pPr>
                  <w:r>
                    <w:rPr>
                      <w:szCs w:val="21"/>
                      <w:u w:val="none"/>
                    </w:rPr>
                    <w:t>年排放</w:t>
                  </w:r>
                </w:p>
                <w:p>
                  <w:pPr>
                    <w:spacing w:line="240" w:lineRule="atLeast"/>
                    <w:jc w:val="center"/>
                    <w:rPr>
                      <w:szCs w:val="21"/>
                      <w:u w:val="none"/>
                    </w:rPr>
                  </w:pPr>
                  <w:r>
                    <w:rPr>
                      <w:szCs w:val="21"/>
                      <w:u w:val="none"/>
                    </w:rPr>
                    <w:t>小时数</w:t>
                  </w:r>
                </w:p>
              </w:tc>
              <w:tc>
                <w:tcPr>
                  <w:tcW w:w="906" w:type="dxa"/>
                  <w:vMerge w:val="restart"/>
                  <w:shd w:val="clear" w:color="auto" w:fill="auto"/>
                  <w:vAlign w:val="center"/>
                </w:tcPr>
                <w:p>
                  <w:pPr>
                    <w:spacing w:line="240" w:lineRule="atLeast"/>
                    <w:jc w:val="center"/>
                    <w:rPr>
                      <w:szCs w:val="21"/>
                      <w:u w:val="none"/>
                    </w:rPr>
                  </w:pPr>
                  <w:r>
                    <w:rPr>
                      <w:szCs w:val="21"/>
                      <w:u w:val="none"/>
                    </w:rPr>
                    <w:t>排放</w:t>
                  </w:r>
                </w:p>
                <w:p>
                  <w:pPr>
                    <w:spacing w:line="240" w:lineRule="atLeast"/>
                    <w:jc w:val="center"/>
                    <w:rPr>
                      <w:szCs w:val="21"/>
                      <w:u w:val="none"/>
                    </w:rPr>
                  </w:pPr>
                  <w:r>
                    <w:rPr>
                      <w:szCs w:val="21"/>
                      <w:u w:val="none"/>
                    </w:rPr>
                    <w:t>工况</w:t>
                  </w:r>
                </w:p>
              </w:tc>
              <w:tc>
                <w:tcPr>
                  <w:tcW w:w="1539" w:type="dxa"/>
                  <w:shd w:val="clear" w:color="auto" w:fill="auto"/>
                  <w:vAlign w:val="center"/>
                </w:tcPr>
                <w:p>
                  <w:pPr>
                    <w:spacing w:line="240" w:lineRule="atLeast"/>
                    <w:jc w:val="center"/>
                    <w:rPr>
                      <w:szCs w:val="21"/>
                      <w:u w:val="none"/>
                    </w:rPr>
                  </w:pPr>
                  <w:r>
                    <w:rPr>
                      <w:szCs w:val="21"/>
                      <w:u w:val="none"/>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62" w:type="dxa"/>
                  <w:vMerge w:val="continue"/>
                  <w:shd w:val="clear" w:color="auto" w:fill="auto"/>
                  <w:vAlign w:val="center"/>
                </w:tcPr>
                <w:p>
                  <w:pPr>
                    <w:spacing w:line="240" w:lineRule="atLeast"/>
                    <w:jc w:val="center"/>
                    <w:rPr>
                      <w:szCs w:val="21"/>
                      <w:u w:val="none"/>
                    </w:rPr>
                  </w:pPr>
                </w:p>
              </w:tc>
              <w:tc>
                <w:tcPr>
                  <w:tcW w:w="1096" w:type="dxa"/>
                  <w:vMerge w:val="continue"/>
                  <w:shd w:val="clear" w:color="auto" w:fill="auto"/>
                  <w:vAlign w:val="center"/>
                </w:tcPr>
                <w:p>
                  <w:pPr>
                    <w:spacing w:line="240" w:lineRule="atLeast"/>
                    <w:jc w:val="center"/>
                    <w:rPr>
                      <w:b/>
                      <w:szCs w:val="21"/>
                      <w:u w:val="none"/>
                    </w:rPr>
                  </w:pPr>
                </w:p>
              </w:tc>
              <w:tc>
                <w:tcPr>
                  <w:tcW w:w="900" w:type="dxa"/>
                  <w:vMerge w:val="continue"/>
                  <w:shd w:val="clear" w:color="auto" w:fill="auto"/>
                  <w:vAlign w:val="center"/>
                </w:tcPr>
                <w:p>
                  <w:pPr>
                    <w:spacing w:line="240" w:lineRule="atLeast"/>
                    <w:jc w:val="center"/>
                    <w:rPr>
                      <w:b/>
                      <w:szCs w:val="21"/>
                      <w:u w:val="none"/>
                    </w:rPr>
                  </w:pPr>
                </w:p>
              </w:tc>
              <w:tc>
                <w:tcPr>
                  <w:tcW w:w="855" w:type="dxa"/>
                  <w:vMerge w:val="continue"/>
                  <w:shd w:val="clear" w:color="auto" w:fill="auto"/>
                  <w:vAlign w:val="center"/>
                </w:tcPr>
                <w:p>
                  <w:pPr>
                    <w:spacing w:line="240" w:lineRule="atLeast"/>
                    <w:jc w:val="center"/>
                    <w:rPr>
                      <w:b/>
                      <w:szCs w:val="21"/>
                      <w:u w:val="none"/>
                    </w:rPr>
                  </w:pPr>
                </w:p>
              </w:tc>
              <w:tc>
                <w:tcPr>
                  <w:tcW w:w="915" w:type="dxa"/>
                  <w:vMerge w:val="continue"/>
                  <w:shd w:val="clear" w:color="auto" w:fill="auto"/>
                  <w:vAlign w:val="center"/>
                </w:tcPr>
                <w:p>
                  <w:pPr>
                    <w:spacing w:line="240" w:lineRule="atLeast"/>
                    <w:jc w:val="center"/>
                    <w:rPr>
                      <w:b/>
                      <w:szCs w:val="21"/>
                      <w:u w:val="none"/>
                    </w:rPr>
                  </w:pPr>
                </w:p>
              </w:tc>
              <w:tc>
                <w:tcPr>
                  <w:tcW w:w="1215" w:type="dxa"/>
                  <w:vMerge w:val="continue"/>
                  <w:shd w:val="clear" w:color="auto" w:fill="auto"/>
                  <w:vAlign w:val="center"/>
                </w:tcPr>
                <w:p>
                  <w:pPr>
                    <w:spacing w:line="240" w:lineRule="atLeast"/>
                    <w:jc w:val="center"/>
                    <w:rPr>
                      <w:b/>
                      <w:szCs w:val="21"/>
                      <w:u w:val="none"/>
                    </w:rPr>
                  </w:pPr>
                </w:p>
              </w:tc>
              <w:tc>
                <w:tcPr>
                  <w:tcW w:w="1035" w:type="dxa"/>
                  <w:vMerge w:val="continue"/>
                  <w:shd w:val="clear" w:color="auto" w:fill="auto"/>
                  <w:vAlign w:val="center"/>
                </w:tcPr>
                <w:p>
                  <w:pPr>
                    <w:spacing w:line="240" w:lineRule="atLeast"/>
                    <w:jc w:val="center"/>
                    <w:rPr>
                      <w:b/>
                      <w:szCs w:val="21"/>
                      <w:u w:val="none"/>
                    </w:rPr>
                  </w:pPr>
                </w:p>
              </w:tc>
              <w:tc>
                <w:tcPr>
                  <w:tcW w:w="906" w:type="dxa"/>
                  <w:vMerge w:val="continue"/>
                  <w:shd w:val="clear" w:color="auto" w:fill="auto"/>
                  <w:vAlign w:val="center"/>
                </w:tcPr>
                <w:p>
                  <w:pPr>
                    <w:spacing w:line="240" w:lineRule="atLeast"/>
                    <w:jc w:val="center"/>
                    <w:rPr>
                      <w:szCs w:val="21"/>
                      <w:u w:val="none"/>
                    </w:rPr>
                  </w:pPr>
                </w:p>
              </w:tc>
              <w:tc>
                <w:tcPr>
                  <w:tcW w:w="1539" w:type="dxa"/>
                  <w:shd w:val="clear" w:color="auto" w:fill="auto"/>
                  <w:vAlign w:val="center"/>
                </w:tcPr>
                <w:p>
                  <w:pPr>
                    <w:spacing w:line="240" w:lineRule="atLeast"/>
                    <w:jc w:val="center"/>
                    <w:rPr>
                      <w:szCs w:val="21"/>
                      <w:u w:val="none"/>
                    </w:rPr>
                  </w:pPr>
                  <w:r>
                    <w:rPr>
                      <w:rFonts w:hint="eastAsia"/>
                      <w:szCs w:val="21"/>
                      <w:u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62" w:type="dxa"/>
                  <w:vMerge w:val="restart"/>
                  <w:shd w:val="clear" w:color="auto" w:fill="auto"/>
                  <w:vAlign w:val="center"/>
                </w:tcPr>
                <w:p>
                  <w:pPr>
                    <w:spacing w:line="240" w:lineRule="atLeast"/>
                    <w:jc w:val="center"/>
                    <w:rPr>
                      <w:rFonts w:hint="eastAsia"/>
                      <w:szCs w:val="21"/>
                      <w:u w:val="none"/>
                    </w:rPr>
                  </w:pPr>
                  <w:r>
                    <w:rPr>
                      <w:rFonts w:hint="eastAsia"/>
                      <w:szCs w:val="21"/>
                      <w:u w:val="none"/>
                    </w:rPr>
                    <w:t>生产</w:t>
                  </w:r>
                </w:p>
                <w:p>
                  <w:pPr>
                    <w:spacing w:line="240" w:lineRule="atLeast"/>
                    <w:jc w:val="center"/>
                    <w:rPr>
                      <w:szCs w:val="21"/>
                      <w:u w:val="none"/>
                    </w:rPr>
                  </w:pPr>
                  <w:r>
                    <w:rPr>
                      <w:rFonts w:hint="eastAsia"/>
                      <w:szCs w:val="21"/>
                      <w:u w:val="none"/>
                      <w:lang w:eastAsia="zh-CN"/>
                    </w:rPr>
                    <w:t>车间</w:t>
                  </w:r>
                </w:p>
              </w:tc>
              <w:tc>
                <w:tcPr>
                  <w:tcW w:w="1096" w:type="dxa"/>
                  <w:shd w:val="clear" w:color="auto" w:fill="auto"/>
                  <w:vAlign w:val="center"/>
                </w:tcPr>
                <w:p>
                  <w:pPr>
                    <w:spacing w:line="300" w:lineRule="exact"/>
                    <w:jc w:val="center"/>
                    <w:rPr>
                      <w:szCs w:val="21"/>
                      <w:u w:val="none"/>
                    </w:rPr>
                  </w:pPr>
                  <w:r>
                    <w:rPr>
                      <w:rFonts w:hint="eastAsia"/>
                      <w:szCs w:val="21"/>
                      <w:u w:val="none"/>
                    </w:rPr>
                    <w:t>（X，Y）</w:t>
                  </w:r>
                </w:p>
              </w:tc>
              <w:tc>
                <w:tcPr>
                  <w:tcW w:w="900" w:type="dxa"/>
                  <w:shd w:val="clear" w:color="auto" w:fill="auto"/>
                  <w:vAlign w:val="center"/>
                </w:tcPr>
                <w:p>
                  <w:pPr>
                    <w:spacing w:line="300" w:lineRule="exact"/>
                    <w:jc w:val="center"/>
                    <w:rPr>
                      <w:b/>
                      <w:szCs w:val="21"/>
                      <w:u w:val="none"/>
                    </w:rPr>
                  </w:pPr>
                  <w:r>
                    <w:rPr>
                      <w:szCs w:val="21"/>
                      <w:u w:val="none"/>
                    </w:rPr>
                    <w:t>m</w:t>
                  </w:r>
                </w:p>
              </w:tc>
              <w:tc>
                <w:tcPr>
                  <w:tcW w:w="855" w:type="dxa"/>
                  <w:shd w:val="clear" w:color="auto" w:fill="auto"/>
                  <w:vAlign w:val="center"/>
                </w:tcPr>
                <w:p>
                  <w:pPr>
                    <w:spacing w:line="300" w:lineRule="exact"/>
                    <w:jc w:val="center"/>
                    <w:rPr>
                      <w:b/>
                      <w:szCs w:val="21"/>
                      <w:u w:val="none"/>
                    </w:rPr>
                  </w:pPr>
                  <w:r>
                    <w:rPr>
                      <w:szCs w:val="21"/>
                      <w:u w:val="none"/>
                    </w:rPr>
                    <w:t>m</w:t>
                  </w:r>
                </w:p>
              </w:tc>
              <w:tc>
                <w:tcPr>
                  <w:tcW w:w="915" w:type="dxa"/>
                  <w:shd w:val="clear" w:color="auto" w:fill="auto"/>
                  <w:vAlign w:val="center"/>
                </w:tcPr>
                <w:p>
                  <w:pPr>
                    <w:spacing w:line="300" w:lineRule="exact"/>
                    <w:jc w:val="center"/>
                    <w:rPr>
                      <w:b/>
                      <w:szCs w:val="21"/>
                      <w:u w:val="none"/>
                    </w:rPr>
                  </w:pPr>
                  <w:r>
                    <w:rPr>
                      <w:szCs w:val="21"/>
                      <w:u w:val="none"/>
                    </w:rPr>
                    <w:t>。</w:t>
                  </w:r>
                </w:p>
              </w:tc>
              <w:tc>
                <w:tcPr>
                  <w:tcW w:w="1215" w:type="dxa"/>
                  <w:shd w:val="clear" w:color="auto" w:fill="auto"/>
                  <w:vAlign w:val="center"/>
                </w:tcPr>
                <w:p>
                  <w:pPr>
                    <w:spacing w:line="300" w:lineRule="exact"/>
                    <w:jc w:val="center"/>
                    <w:rPr>
                      <w:b/>
                      <w:szCs w:val="21"/>
                      <w:u w:val="none"/>
                    </w:rPr>
                  </w:pPr>
                  <w:r>
                    <w:rPr>
                      <w:szCs w:val="21"/>
                      <w:u w:val="none"/>
                    </w:rPr>
                    <w:t>m</w:t>
                  </w:r>
                </w:p>
              </w:tc>
              <w:tc>
                <w:tcPr>
                  <w:tcW w:w="1035" w:type="dxa"/>
                  <w:shd w:val="clear" w:color="auto" w:fill="auto"/>
                  <w:vAlign w:val="center"/>
                </w:tcPr>
                <w:p>
                  <w:pPr>
                    <w:spacing w:line="300" w:lineRule="exact"/>
                    <w:jc w:val="center"/>
                    <w:rPr>
                      <w:b/>
                      <w:szCs w:val="21"/>
                      <w:u w:val="none"/>
                    </w:rPr>
                  </w:pPr>
                  <w:r>
                    <w:rPr>
                      <w:szCs w:val="21"/>
                      <w:u w:val="none"/>
                    </w:rPr>
                    <w:t>h</w:t>
                  </w:r>
                </w:p>
              </w:tc>
              <w:tc>
                <w:tcPr>
                  <w:tcW w:w="906" w:type="dxa"/>
                  <w:shd w:val="clear" w:color="auto" w:fill="auto"/>
                  <w:vAlign w:val="center"/>
                </w:tcPr>
                <w:p>
                  <w:pPr>
                    <w:spacing w:line="240" w:lineRule="atLeast"/>
                    <w:jc w:val="center"/>
                    <w:rPr>
                      <w:szCs w:val="21"/>
                      <w:u w:val="none"/>
                    </w:rPr>
                  </w:pPr>
                  <w:r>
                    <w:rPr>
                      <w:szCs w:val="21"/>
                      <w:u w:val="none"/>
                    </w:rPr>
                    <w:t>/</w:t>
                  </w:r>
                </w:p>
              </w:tc>
              <w:tc>
                <w:tcPr>
                  <w:tcW w:w="1539" w:type="dxa"/>
                  <w:shd w:val="clear" w:color="auto" w:fill="auto"/>
                  <w:vAlign w:val="center"/>
                </w:tcPr>
                <w:p>
                  <w:pPr>
                    <w:spacing w:line="240" w:lineRule="atLeast"/>
                    <w:jc w:val="center"/>
                    <w:rPr>
                      <w:szCs w:val="21"/>
                      <w:u w:val="none"/>
                    </w:rPr>
                  </w:pPr>
                  <w:r>
                    <w:rPr>
                      <w:rFonts w:hint="eastAsia"/>
                      <w:szCs w:val="21"/>
                      <w:u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62" w:type="dxa"/>
                  <w:vMerge w:val="continue"/>
                  <w:shd w:val="clear" w:color="auto" w:fill="auto"/>
                  <w:vAlign w:val="center"/>
                </w:tcPr>
                <w:p>
                  <w:pPr>
                    <w:spacing w:line="240" w:lineRule="atLeast"/>
                    <w:jc w:val="center"/>
                    <w:rPr>
                      <w:szCs w:val="21"/>
                      <w:u w:val="none"/>
                    </w:rPr>
                  </w:pPr>
                </w:p>
              </w:tc>
              <w:tc>
                <w:tcPr>
                  <w:tcW w:w="1096" w:type="dxa"/>
                  <w:shd w:val="clear" w:color="auto" w:fill="auto"/>
                  <w:vAlign w:val="center"/>
                </w:tcPr>
                <w:p>
                  <w:pPr>
                    <w:spacing w:line="240" w:lineRule="atLeast"/>
                    <w:jc w:val="center"/>
                    <w:rPr>
                      <w:szCs w:val="21"/>
                      <w:u w:val="none"/>
                    </w:rPr>
                  </w:pPr>
                  <w:r>
                    <w:rPr>
                      <w:rFonts w:hint="eastAsia"/>
                      <w:szCs w:val="21"/>
                      <w:u w:val="none"/>
                    </w:rPr>
                    <w:t>（</w:t>
                  </w:r>
                  <w:r>
                    <w:rPr>
                      <w:rFonts w:hint="eastAsia"/>
                      <w:szCs w:val="21"/>
                      <w:u w:val="none"/>
                      <w:lang w:val="en-US" w:eastAsia="zh-CN"/>
                    </w:rPr>
                    <w:t>130</w:t>
                  </w:r>
                  <w:r>
                    <w:rPr>
                      <w:rFonts w:hint="eastAsia"/>
                      <w:szCs w:val="21"/>
                      <w:u w:val="none"/>
                    </w:rPr>
                    <w:t>，</w:t>
                  </w:r>
                  <w:r>
                    <w:rPr>
                      <w:rFonts w:hint="eastAsia"/>
                      <w:szCs w:val="21"/>
                      <w:u w:val="none"/>
                      <w:lang w:val="en-US" w:eastAsia="zh-CN"/>
                    </w:rPr>
                    <w:t>8</w:t>
                  </w:r>
                  <w:r>
                    <w:rPr>
                      <w:rFonts w:hint="eastAsia"/>
                      <w:szCs w:val="21"/>
                      <w:u w:val="none"/>
                    </w:rPr>
                    <w:t>）</w:t>
                  </w:r>
                </w:p>
              </w:tc>
              <w:tc>
                <w:tcPr>
                  <w:tcW w:w="900" w:type="dxa"/>
                  <w:shd w:val="clear" w:color="auto" w:fill="auto"/>
                  <w:vAlign w:val="center"/>
                </w:tcPr>
                <w:p>
                  <w:pPr>
                    <w:spacing w:line="240" w:lineRule="atLeast"/>
                    <w:jc w:val="center"/>
                    <w:rPr>
                      <w:rFonts w:hint="eastAsia" w:eastAsia="宋体"/>
                      <w:szCs w:val="21"/>
                      <w:u w:val="none"/>
                      <w:lang w:eastAsia="zh-CN"/>
                    </w:rPr>
                  </w:pPr>
                  <w:r>
                    <w:rPr>
                      <w:rFonts w:hint="eastAsia"/>
                      <w:szCs w:val="21"/>
                      <w:u w:val="none"/>
                      <w:lang w:val="en-US" w:eastAsia="zh-CN"/>
                    </w:rPr>
                    <w:t>125</w:t>
                  </w:r>
                </w:p>
              </w:tc>
              <w:tc>
                <w:tcPr>
                  <w:tcW w:w="855" w:type="dxa"/>
                  <w:shd w:val="clear" w:color="auto" w:fill="auto"/>
                  <w:vAlign w:val="center"/>
                </w:tcPr>
                <w:p>
                  <w:pPr>
                    <w:spacing w:line="240" w:lineRule="atLeast"/>
                    <w:jc w:val="center"/>
                    <w:rPr>
                      <w:szCs w:val="21"/>
                      <w:u w:val="none"/>
                    </w:rPr>
                  </w:pPr>
                  <w:r>
                    <w:rPr>
                      <w:rFonts w:hint="eastAsia"/>
                      <w:szCs w:val="21"/>
                      <w:u w:val="none"/>
                    </w:rPr>
                    <w:t>60</w:t>
                  </w:r>
                </w:p>
              </w:tc>
              <w:tc>
                <w:tcPr>
                  <w:tcW w:w="915" w:type="dxa"/>
                  <w:shd w:val="clear" w:color="auto" w:fill="auto"/>
                  <w:vAlign w:val="center"/>
                </w:tcPr>
                <w:p>
                  <w:pPr>
                    <w:spacing w:line="240" w:lineRule="atLeast"/>
                    <w:jc w:val="center"/>
                    <w:rPr>
                      <w:szCs w:val="21"/>
                      <w:u w:val="none"/>
                    </w:rPr>
                  </w:pPr>
                  <w:r>
                    <w:rPr>
                      <w:szCs w:val="21"/>
                      <w:u w:val="none"/>
                    </w:rPr>
                    <w:t>0</w:t>
                  </w:r>
                </w:p>
              </w:tc>
              <w:tc>
                <w:tcPr>
                  <w:tcW w:w="1215" w:type="dxa"/>
                  <w:shd w:val="clear" w:color="auto" w:fill="auto"/>
                  <w:vAlign w:val="center"/>
                </w:tcPr>
                <w:p>
                  <w:pPr>
                    <w:spacing w:line="240" w:lineRule="atLeast"/>
                    <w:jc w:val="center"/>
                    <w:rPr>
                      <w:szCs w:val="21"/>
                      <w:u w:val="none"/>
                    </w:rPr>
                  </w:pPr>
                  <w:r>
                    <w:rPr>
                      <w:rFonts w:hint="eastAsia"/>
                      <w:szCs w:val="21"/>
                      <w:u w:val="none"/>
                    </w:rPr>
                    <w:t>3</w:t>
                  </w:r>
                </w:p>
              </w:tc>
              <w:tc>
                <w:tcPr>
                  <w:tcW w:w="1035" w:type="dxa"/>
                  <w:shd w:val="clear" w:color="auto" w:fill="auto"/>
                  <w:vAlign w:val="center"/>
                </w:tcPr>
                <w:p>
                  <w:pPr>
                    <w:spacing w:line="240" w:lineRule="atLeast"/>
                    <w:jc w:val="center"/>
                    <w:rPr>
                      <w:szCs w:val="21"/>
                      <w:u w:val="none"/>
                    </w:rPr>
                  </w:pPr>
                  <w:r>
                    <w:rPr>
                      <w:rFonts w:hint="eastAsia"/>
                      <w:szCs w:val="21"/>
                      <w:u w:val="none"/>
                      <w:lang w:val="en-US" w:eastAsia="zh-CN"/>
                    </w:rPr>
                    <w:t>300</w:t>
                  </w:r>
                </w:p>
              </w:tc>
              <w:tc>
                <w:tcPr>
                  <w:tcW w:w="906" w:type="dxa"/>
                  <w:shd w:val="clear" w:color="auto" w:fill="auto"/>
                  <w:vAlign w:val="center"/>
                </w:tcPr>
                <w:p>
                  <w:pPr>
                    <w:spacing w:line="240" w:lineRule="atLeast"/>
                    <w:jc w:val="center"/>
                    <w:rPr>
                      <w:szCs w:val="21"/>
                      <w:u w:val="none"/>
                    </w:rPr>
                  </w:pPr>
                  <w:r>
                    <w:rPr>
                      <w:szCs w:val="21"/>
                      <w:u w:val="none"/>
                    </w:rPr>
                    <w:t>正常</w:t>
                  </w:r>
                </w:p>
                <w:p>
                  <w:pPr>
                    <w:spacing w:line="240" w:lineRule="atLeast"/>
                    <w:jc w:val="center"/>
                    <w:rPr>
                      <w:szCs w:val="21"/>
                      <w:u w:val="none"/>
                    </w:rPr>
                  </w:pPr>
                  <w:r>
                    <w:rPr>
                      <w:szCs w:val="21"/>
                      <w:u w:val="none"/>
                    </w:rPr>
                    <w:t>排放</w:t>
                  </w:r>
                </w:p>
              </w:tc>
              <w:tc>
                <w:tcPr>
                  <w:tcW w:w="1539" w:type="dxa"/>
                  <w:shd w:val="clear" w:color="auto" w:fill="auto"/>
                  <w:vAlign w:val="center"/>
                </w:tcPr>
                <w:p>
                  <w:pPr>
                    <w:spacing w:line="240" w:lineRule="atLeast"/>
                    <w:jc w:val="center"/>
                    <w:rPr>
                      <w:szCs w:val="21"/>
                      <w:u w:val="none"/>
                    </w:rPr>
                  </w:pPr>
                  <w:r>
                    <w:rPr>
                      <w:rFonts w:hint="eastAsia"/>
                      <w:szCs w:val="21"/>
                      <w:u w:val="none"/>
                    </w:rPr>
                    <w:t>0.0</w:t>
                  </w:r>
                  <w:r>
                    <w:rPr>
                      <w:rFonts w:hint="eastAsia"/>
                      <w:szCs w:val="21"/>
                      <w:u w:val="none"/>
                      <w:lang w:val="en-US" w:eastAsia="zh-CN"/>
                    </w:rPr>
                    <w:t>016</w:t>
                  </w:r>
                </w:p>
              </w:tc>
            </w:tr>
          </w:tbl>
          <w:p>
            <w:pPr>
              <w:spacing w:line="360" w:lineRule="auto"/>
              <w:contextualSpacing/>
              <w:rPr>
                <w:color w:val="000000"/>
                <w:sz w:val="24"/>
                <w:u w:val="none"/>
              </w:rPr>
            </w:pPr>
            <w:r>
              <w:rPr>
                <w:rFonts w:hint="eastAsia"/>
                <w:color w:val="000000"/>
                <w:sz w:val="24"/>
                <w:u w:val="none"/>
              </w:rPr>
              <w:t>1.2评价标准</w:t>
            </w:r>
          </w:p>
          <w:p>
            <w:pPr>
              <w:spacing w:line="360" w:lineRule="auto"/>
              <w:ind w:firstLine="360" w:firstLineChars="150"/>
              <w:contextualSpacing/>
              <w:rPr>
                <w:rFonts w:ascii="黑体" w:hAnsi="黑体"/>
                <w:b/>
                <w:color w:val="000000"/>
                <w:szCs w:val="24"/>
                <w:u w:val="none"/>
              </w:rPr>
            </w:pPr>
            <w:r>
              <w:rPr>
                <w:rFonts w:hint="eastAsia"/>
                <w:color w:val="000000"/>
                <w:sz w:val="24"/>
                <w:u w:val="none"/>
              </w:rPr>
              <w:t>本项目主要污染评价因子和评价标准下见表。</w:t>
            </w:r>
          </w:p>
          <w:p>
            <w:pPr>
              <w:ind w:firstLine="1680" w:firstLineChars="700"/>
              <w:contextualSpacing/>
              <w:rPr>
                <w:rFonts w:ascii="黑体" w:hAnsi="黑体" w:eastAsia="黑体"/>
                <w:color w:val="000000"/>
                <w:kern w:val="0"/>
                <w:sz w:val="24"/>
                <w:szCs w:val="24"/>
                <w:u w:val="none"/>
              </w:rPr>
            </w:pPr>
            <w:r>
              <w:rPr>
                <w:rFonts w:hint="eastAsia" w:ascii="黑体" w:hAnsi="黑体" w:eastAsia="黑体"/>
                <w:color w:val="000000"/>
                <w:kern w:val="0"/>
                <w:sz w:val="24"/>
                <w:szCs w:val="24"/>
                <w:u w:val="none"/>
              </w:rPr>
              <w:t>表1</w:t>
            </w:r>
            <w:r>
              <w:rPr>
                <w:rFonts w:hint="eastAsia" w:ascii="黑体" w:hAnsi="黑体" w:eastAsia="黑体"/>
                <w:color w:val="000000"/>
                <w:kern w:val="0"/>
                <w:sz w:val="24"/>
                <w:szCs w:val="24"/>
                <w:u w:val="none"/>
                <w:lang w:val="en-US" w:eastAsia="zh-CN"/>
              </w:rPr>
              <w:t>9</w:t>
            </w:r>
            <w:r>
              <w:rPr>
                <w:rFonts w:hint="eastAsia" w:ascii="黑体" w:hAnsi="黑体" w:eastAsia="黑体"/>
                <w:color w:val="000000"/>
                <w:kern w:val="0"/>
                <w:sz w:val="24"/>
                <w:szCs w:val="24"/>
                <w:u w:val="none"/>
              </w:rPr>
              <w:t xml:space="preserve">           评价因子和评价标准表</w:t>
            </w:r>
          </w:p>
          <w:tbl>
            <w:tblPr>
              <w:tblStyle w:val="2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60"/>
              <w:gridCol w:w="1643"/>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376" w:type="dxa"/>
                  <w:vAlign w:val="center"/>
                </w:tcPr>
                <w:p>
                  <w:pPr>
                    <w:adjustRightInd w:val="0"/>
                    <w:snapToGrid w:val="0"/>
                    <w:jc w:val="center"/>
                    <w:rPr>
                      <w:color w:val="000000"/>
                      <w:szCs w:val="21"/>
                      <w:u w:val="none"/>
                    </w:rPr>
                  </w:pPr>
                  <w:r>
                    <w:rPr>
                      <w:color w:val="000000"/>
                      <w:szCs w:val="21"/>
                      <w:u w:val="none"/>
                    </w:rPr>
                    <w:t>评价因子</w:t>
                  </w:r>
                </w:p>
              </w:tc>
              <w:tc>
                <w:tcPr>
                  <w:tcW w:w="1560" w:type="dxa"/>
                  <w:vAlign w:val="center"/>
                </w:tcPr>
                <w:p>
                  <w:pPr>
                    <w:adjustRightInd w:val="0"/>
                    <w:snapToGrid w:val="0"/>
                    <w:jc w:val="center"/>
                    <w:rPr>
                      <w:color w:val="000000"/>
                      <w:szCs w:val="21"/>
                      <w:u w:val="none"/>
                    </w:rPr>
                  </w:pPr>
                  <w:r>
                    <w:rPr>
                      <w:color w:val="000000"/>
                      <w:szCs w:val="21"/>
                      <w:u w:val="none"/>
                    </w:rPr>
                    <w:t>平均时段标准</w:t>
                  </w:r>
                </w:p>
              </w:tc>
              <w:tc>
                <w:tcPr>
                  <w:tcW w:w="1643" w:type="dxa"/>
                  <w:vAlign w:val="center"/>
                </w:tcPr>
                <w:p>
                  <w:pPr>
                    <w:adjustRightInd w:val="0"/>
                    <w:snapToGrid w:val="0"/>
                    <w:jc w:val="center"/>
                    <w:rPr>
                      <w:color w:val="000000"/>
                      <w:szCs w:val="21"/>
                      <w:u w:val="none"/>
                    </w:rPr>
                  </w:pPr>
                  <w:r>
                    <w:rPr>
                      <w:color w:val="000000"/>
                      <w:szCs w:val="21"/>
                      <w:u w:val="none"/>
                    </w:rPr>
                    <w:t>标准值（μg/m</w:t>
                  </w:r>
                  <w:r>
                    <w:rPr>
                      <w:color w:val="000000"/>
                      <w:szCs w:val="21"/>
                      <w:u w:val="none"/>
                      <w:vertAlign w:val="superscript"/>
                    </w:rPr>
                    <w:t>3</w:t>
                  </w:r>
                  <w:r>
                    <w:rPr>
                      <w:color w:val="000000"/>
                      <w:szCs w:val="21"/>
                      <w:u w:val="none"/>
                    </w:rPr>
                    <w:t>）</w:t>
                  </w:r>
                </w:p>
              </w:tc>
              <w:tc>
                <w:tcPr>
                  <w:tcW w:w="4201" w:type="dxa"/>
                  <w:vAlign w:val="center"/>
                </w:tcPr>
                <w:p>
                  <w:pPr>
                    <w:adjustRightInd w:val="0"/>
                    <w:snapToGrid w:val="0"/>
                    <w:jc w:val="center"/>
                    <w:rPr>
                      <w:color w:val="000000"/>
                      <w:szCs w:val="21"/>
                      <w:u w:val="none"/>
                    </w:rPr>
                  </w:pPr>
                  <w:r>
                    <w:rPr>
                      <w:color w:val="000000"/>
                      <w:szCs w:val="21"/>
                      <w:u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376" w:type="dxa"/>
                  <w:vAlign w:val="center"/>
                </w:tcPr>
                <w:p>
                  <w:pPr>
                    <w:adjustRightInd w:val="0"/>
                    <w:snapToGrid w:val="0"/>
                    <w:jc w:val="center"/>
                    <w:rPr>
                      <w:color w:val="000000"/>
                      <w:szCs w:val="21"/>
                      <w:u w:val="none"/>
                    </w:rPr>
                  </w:pPr>
                  <w:r>
                    <w:rPr>
                      <w:color w:val="000000"/>
                      <w:szCs w:val="21"/>
                      <w:u w:val="none"/>
                    </w:rPr>
                    <w:t>PM</w:t>
                  </w:r>
                  <w:r>
                    <w:rPr>
                      <w:color w:val="000000"/>
                      <w:szCs w:val="21"/>
                      <w:u w:val="none"/>
                      <w:vertAlign w:val="subscript"/>
                    </w:rPr>
                    <w:t>10</w:t>
                  </w:r>
                </w:p>
              </w:tc>
              <w:tc>
                <w:tcPr>
                  <w:tcW w:w="1560" w:type="dxa"/>
                  <w:vAlign w:val="center"/>
                </w:tcPr>
                <w:p>
                  <w:pPr>
                    <w:adjustRightInd w:val="0"/>
                    <w:snapToGrid w:val="0"/>
                    <w:jc w:val="center"/>
                    <w:rPr>
                      <w:color w:val="000000"/>
                      <w:szCs w:val="21"/>
                      <w:u w:val="none"/>
                    </w:rPr>
                  </w:pPr>
                  <w:r>
                    <w:rPr>
                      <w:color w:val="000000"/>
                      <w:szCs w:val="21"/>
                      <w:u w:val="none"/>
                    </w:rPr>
                    <w:t>24小时</w:t>
                  </w:r>
                </w:p>
              </w:tc>
              <w:tc>
                <w:tcPr>
                  <w:tcW w:w="1643" w:type="dxa"/>
                  <w:vAlign w:val="center"/>
                </w:tcPr>
                <w:p>
                  <w:pPr>
                    <w:adjustRightInd w:val="0"/>
                    <w:snapToGrid w:val="0"/>
                    <w:jc w:val="center"/>
                    <w:rPr>
                      <w:color w:val="000000"/>
                      <w:szCs w:val="21"/>
                      <w:u w:val="none"/>
                    </w:rPr>
                  </w:pPr>
                  <w:r>
                    <w:rPr>
                      <w:color w:val="000000"/>
                      <w:szCs w:val="21"/>
                      <w:u w:val="none"/>
                    </w:rPr>
                    <w:t>150</w:t>
                  </w:r>
                </w:p>
              </w:tc>
              <w:tc>
                <w:tcPr>
                  <w:tcW w:w="4201" w:type="dxa"/>
                  <w:vAlign w:val="center"/>
                </w:tcPr>
                <w:p>
                  <w:pPr>
                    <w:adjustRightInd w:val="0"/>
                    <w:snapToGrid w:val="0"/>
                    <w:jc w:val="center"/>
                    <w:rPr>
                      <w:color w:val="000000"/>
                      <w:szCs w:val="21"/>
                      <w:u w:val="none"/>
                    </w:rPr>
                  </w:pPr>
                  <w:r>
                    <w:rPr>
                      <w:color w:val="000000"/>
                      <w:szCs w:val="21"/>
                      <w:u w:val="none"/>
                    </w:rPr>
                    <w:t>《环境空气质量标准》</w:t>
                  </w:r>
                </w:p>
                <w:p>
                  <w:pPr>
                    <w:adjustRightInd w:val="0"/>
                    <w:snapToGrid w:val="0"/>
                    <w:jc w:val="center"/>
                    <w:rPr>
                      <w:color w:val="000000"/>
                      <w:szCs w:val="21"/>
                      <w:u w:val="none"/>
                    </w:rPr>
                  </w:pPr>
                  <w:r>
                    <w:rPr>
                      <w:color w:val="000000"/>
                      <w:szCs w:val="21"/>
                      <w:u w:val="none"/>
                    </w:rPr>
                    <w:t>（GB3092-2012）中二级标准</w:t>
                  </w:r>
                </w:p>
              </w:tc>
            </w:tr>
          </w:tbl>
          <w:p>
            <w:pPr>
              <w:adjustRightInd w:val="0"/>
              <w:snapToGrid w:val="0"/>
              <w:spacing w:line="360" w:lineRule="auto"/>
              <w:rPr>
                <w:color w:val="000000"/>
                <w:sz w:val="24"/>
                <w:u w:val="none"/>
              </w:rPr>
            </w:pPr>
            <w:r>
              <w:rPr>
                <w:rFonts w:hint="eastAsia"/>
                <w:color w:val="000000"/>
                <w:sz w:val="24"/>
                <w:szCs w:val="24"/>
                <w:u w:val="none"/>
              </w:rPr>
              <w:t>1.3</w:t>
            </w:r>
            <w:r>
              <w:rPr>
                <w:rFonts w:hint="eastAsia"/>
                <w:color w:val="000000"/>
                <w:sz w:val="24"/>
                <w:u w:val="none"/>
              </w:rPr>
              <w:t>估算模型参数选取</w:t>
            </w:r>
          </w:p>
          <w:p>
            <w:pPr>
              <w:adjustRightInd w:val="0"/>
              <w:snapToGrid w:val="0"/>
              <w:spacing w:line="360" w:lineRule="auto"/>
              <w:ind w:firstLine="360" w:firstLineChars="150"/>
              <w:rPr>
                <w:color w:val="000000"/>
                <w:sz w:val="24"/>
                <w:u w:val="none"/>
              </w:rPr>
            </w:pPr>
            <w:r>
              <w:rPr>
                <w:rFonts w:hint="eastAsia"/>
                <w:color w:val="000000"/>
                <w:sz w:val="24"/>
                <w:u w:val="none"/>
              </w:rPr>
              <w:t>本项目估算模型参数选取见下表。</w:t>
            </w:r>
          </w:p>
          <w:p>
            <w:pPr>
              <w:ind w:firstLine="1776" w:firstLineChars="740"/>
              <w:rPr>
                <w:rFonts w:ascii="黑体" w:hAnsi="黑体" w:eastAsia="黑体"/>
                <w:sz w:val="24"/>
                <w:szCs w:val="24"/>
                <w:u w:val="none"/>
              </w:rPr>
            </w:pPr>
            <w:r>
              <w:rPr>
                <w:rFonts w:hint="eastAsia" w:ascii="黑体" w:hAnsi="黑体" w:eastAsia="黑体"/>
                <w:sz w:val="24"/>
                <w:szCs w:val="24"/>
                <w:u w:val="none"/>
              </w:rPr>
              <w:t>表</w:t>
            </w:r>
            <w:r>
              <w:rPr>
                <w:rFonts w:hint="eastAsia" w:ascii="黑体" w:hAnsi="黑体" w:eastAsia="黑体"/>
                <w:sz w:val="24"/>
                <w:szCs w:val="24"/>
                <w:u w:val="none"/>
                <w:lang w:val="en-US" w:eastAsia="zh-CN"/>
              </w:rPr>
              <w:t>20</w:t>
            </w:r>
            <w:r>
              <w:rPr>
                <w:rFonts w:hint="eastAsia" w:ascii="黑体" w:hAnsi="黑体" w:eastAsia="黑体"/>
                <w:sz w:val="24"/>
                <w:szCs w:val="24"/>
                <w:u w:val="none"/>
              </w:rPr>
              <w:t xml:space="preserve">           </w:t>
            </w:r>
            <w:r>
              <w:rPr>
                <w:rFonts w:hint="eastAsia" w:ascii="黑体" w:hAnsi="黑体" w:eastAsia="黑体"/>
                <w:sz w:val="24"/>
                <w:szCs w:val="24"/>
                <w:u w:val="none"/>
                <w:lang w:val="en-US" w:eastAsia="zh-CN"/>
              </w:rPr>
              <w:t xml:space="preserve">  </w:t>
            </w:r>
            <w:r>
              <w:rPr>
                <w:rFonts w:hint="eastAsia" w:ascii="黑体" w:hAnsi="黑体" w:eastAsia="黑体"/>
                <w:sz w:val="24"/>
                <w:szCs w:val="24"/>
                <w:u w:val="none"/>
              </w:rPr>
              <w:t xml:space="preserve"> 估算模型参数选取表</w:t>
            </w:r>
          </w:p>
          <w:tbl>
            <w:tblPr>
              <w:tblStyle w:val="27"/>
              <w:tblW w:w="8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47"/>
              <w:gridCol w:w="337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u w:val="none"/>
                    </w:rPr>
                  </w:pPr>
                  <w:r>
                    <w:rPr>
                      <w:rFonts w:hint="eastAsia"/>
                      <w:color w:val="000000"/>
                      <w:szCs w:val="21"/>
                      <w:u w:val="none"/>
                    </w:rPr>
                    <w:t>参数</w:t>
                  </w:r>
                </w:p>
              </w:tc>
              <w:tc>
                <w:tcPr>
                  <w:tcW w:w="3375" w:type="dxa"/>
                  <w:vAlign w:val="center"/>
                </w:tcPr>
                <w:p>
                  <w:pPr>
                    <w:jc w:val="center"/>
                    <w:rPr>
                      <w:color w:val="000000"/>
                      <w:szCs w:val="21"/>
                      <w:u w:val="none"/>
                    </w:rPr>
                  </w:pPr>
                  <w:r>
                    <w:rPr>
                      <w:rFonts w:hint="eastAsia"/>
                      <w:color w:val="000000"/>
                      <w:szCs w:val="21"/>
                      <w:u w:val="none"/>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909" w:type="dxa"/>
                  <w:gridSpan w:val="2"/>
                  <w:vMerge w:val="restart"/>
                  <w:vAlign w:val="center"/>
                </w:tcPr>
                <w:p>
                  <w:pPr>
                    <w:jc w:val="center"/>
                    <w:rPr>
                      <w:color w:val="000000"/>
                      <w:szCs w:val="21"/>
                      <w:u w:val="none"/>
                    </w:rPr>
                  </w:pPr>
                  <w:r>
                    <w:rPr>
                      <w:rFonts w:hint="eastAsia"/>
                      <w:color w:val="000000"/>
                      <w:szCs w:val="21"/>
                      <w:u w:val="none"/>
                    </w:rPr>
                    <w:t>城市/农村选项</w:t>
                  </w:r>
                </w:p>
              </w:tc>
              <w:tc>
                <w:tcPr>
                  <w:tcW w:w="3379" w:type="dxa"/>
                  <w:vAlign w:val="center"/>
                </w:tcPr>
                <w:p>
                  <w:pPr>
                    <w:jc w:val="center"/>
                    <w:rPr>
                      <w:color w:val="000000"/>
                      <w:szCs w:val="21"/>
                      <w:u w:val="none"/>
                    </w:rPr>
                  </w:pPr>
                  <w:r>
                    <w:rPr>
                      <w:rFonts w:hint="eastAsia"/>
                      <w:color w:val="000000"/>
                      <w:szCs w:val="21"/>
                      <w:u w:val="none"/>
                    </w:rPr>
                    <w:t>城市/农村</w:t>
                  </w:r>
                </w:p>
              </w:tc>
              <w:tc>
                <w:tcPr>
                  <w:tcW w:w="3375" w:type="dxa"/>
                  <w:vAlign w:val="center"/>
                </w:tcPr>
                <w:p>
                  <w:pPr>
                    <w:jc w:val="center"/>
                    <w:rPr>
                      <w:color w:val="000000"/>
                      <w:szCs w:val="21"/>
                      <w:u w:val="none"/>
                    </w:rPr>
                  </w:pPr>
                  <w:r>
                    <w:rPr>
                      <w:rFonts w:hint="eastAsia"/>
                      <w:color w:val="000000"/>
                      <w:szCs w:val="21"/>
                      <w:u w:val="none"/>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909" w:type="dxa"/>
                  <w:gridSpan w:val="2"/>
                  <w:vMerge w:val="continue"/>
                  <w:vAlign w:val="center"/>
                </w:tcPr>
                <w:p>
                  <w:pPr>
                    <w:jc w:val="center"/>
                    <w:rPr>
                      <w:color w:val="000000"/>
                      <w:szCs w:val="21"/>
                      <w:u w:val="none"/>
                    </w:rPr>
                  </w:pPr>
                </w:p>
              </w:tc>
              <w:tc>
                <w:tcPr>
                  <w:tcW w:w="3379" w:type="dxa"/>
                  <w:vAlign w:val="center"/>
                </w:tcPr>
                <w:p>
                  <w:pPr>
                    <w:jc w:val="center"/>
                    <w:rPr>
                      <w:color w:val="000000"/>
                      <w:szCs w:val="21"/>
                      <w:u w:val="none"/>
                    </w:rPr>
                  </w:pPr>
                  <w:r>
                    <w:rPr>
                      <w:rFonts w:hint="eastAsia"/>
                      <w:color w:val="000000"/>
                      <w:szCs w:val="21"/>
                      <w:u w:val="none"/>
                    </w:rPr>
                    <w:t>人口数（城市选项时）</w:t>
                  </w:r>
                </w:p>
              </w:tc>
              <w:tc>
                <w:tcPr>
                  <w:tcW w:w="3375" w:type="dxa"/>
                  <w:vAlign w:val="center"/>
                </w:tcPr>
                <w:p>
                  <w:pPr>
                    <w:jc w:val="center"/>
                    <w:rPr>
                      <w:color w:val="000000"/>
                      <w:szCs w:val="21"/>
                      <w:u w:val="none"/>
                    </w:rPr>
                  </w:pPr>
                  <w:r>
                    <w:rPr>
                      <w:rFonts w:hint="eastAsia"/>
                      <w:color w:val="000000"/>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u w:val="none"/>
                    </w:rPr>
                  </w:pPr>
                  <w:r>
                    <w:rPr>
                      <w:rFonts w:hint="eastAsia"/>
                      <w:color w:val="000000"/>
                      <w:szCs w:val="21"/>
                      <w:u w:val="none"/>
                    </w:rPr>
                    <w:t>最高环境温度/</w:t>
                  </w:r>
                  <w:r>
                    <w:rPr>
                      <w:rFonts w:hint="eastAsia" w:ascii="宋体" w:hAnsi="宋体"/>
                      <w:color w:val="000000"/>
                      <w:szCs w:val="21"/>
                      <w:u w:val="none"/>
                    </w:rPr>
                    <w:t>℃</w:t>
                  </w:r>
                </w:p>
              </w:tc>
              <w:tc>
                <w:tcPr>
                  <w:tcW w:w="3375" w:type="dxa"/>
                  <w:vAlign w:val="center"/>
                </w:tcPr>
                <w:p>
                  <w:pPr>
                    <w:jc w:val="center"/>
                    <w:rPr>
                      <w:color w:val="000000"/>
                      <w:szCs w:val="21"/>
                      <w:u w:val="none"/>
                    </w:rPr>
                  </w:pPr>
                  <w:r>
                    <w:rPr>
                      <w:color w:val="000000"/>
                      <w:szCs w:val="21"/>
                      <w:u w:val="none"/>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u w:val="none"/>
                    </w:rPr>
                  </w:pPr>
                  <w:r>
                    <w:rPr>
                      <w:rFonts w:hint="eastAsia"/>
                      <w:color w:val="000000"/>
                      <w:szCs w:val="21"/>
                      <w:u w:val="none"/>
                    </w:rPr>
                    <w:t>最低环境温度/</w:t>
                  </w:r>
                  <w:r>
                    <w:rPr>
                      <w:rFonts w:hint="eastAsia" w:ascii="宋体" w:hAnsi="宋体"/>
                      <w:color w:val="000000"/>
                      <w:szCs w:val="21"/>
                      <w:u w:val="none"/>
                    </w:rPr>
                    <w:t>℃</w:t>
                  </w:r>
                </w:p>
              </w:tc>
              <w:tc>
                <w:tcPr>
                  <w:tcW w:w="3375" w:type="dxa"/>
                  <w:vAlign w:val="center"/>
                </w:tcPr>
                <w:p>
                  <w:pPr>
                    <w:jc w:val="center"/>
                    <w:rPr>
                      <w:color w:val="000000"/>
                      <w:szCs w:val="21"/>
                      <w:u w:val="none"/>
                    </w:rPr>
                  </w:pPr>
                  <w:r>
                    <w:rPr>
                      <w:rFonts w:hint="eastAsia"/>
                      <w:color w:val="000000"/>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u w:val="none"/>
                    </w:rPr>
                  </w:pPr>
                  <w:r>
                    <w:rPr>
                      <w:rFonts w:hint="eastAsia"/>
                      <w:color w:val="000000"/>
                      <w:szCs w:val="21"/>
                      <w:u w:val="none"/>
                    </w:rPr>
                    <w:t>土地利用类型</w:t>
                  </w:r>
                </w:p>
              </w:tc>
              <w:tc>
                <w:tcPr>
                  <w:tcW w:w="3375" w:type="dxa"/>
                  <w:vAlign w:val="center"/>
                </w:tcPr>
                <w:p>
                  <w:pPr>
                    <w:jc w:val="center"/>
                    <w:rPr>
                      <w:color w:val="000000"/>
                      <w:szCs w:val="21"/>
                      <w:u w:val="none"/>
                    </w:rPr>
                  </w:pPr>
                  <w:r>
                    <w:rPr>
                      <w:rFonts w:hint="eastAsia"/>
                      <w:color w:val="000000"/>
                      <w:szCs w:val="21"/>
                      <w:u w:val="none"/>
                    </w:rPr>
                    <w:t>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u w:val="none"/>
                    </w:rPr>
                  </w:pPr>
                  <w:r>
                    <w:rPr>
                      <w:rFonts w:hint="eastAsia"/>
                      <w:color w:val="000000"/>
                      <w:szCs w:val="21"/>
                      <w:u w:val="none"/>
                    </w:rPr>
                    <w:t>区域湿度条件</w:t>
                  </w:r>
                </w:p>
              </w:tc>
              <w:tc>
                <w:tcPr>
                  <w:tcW w:w="3375" w:type="dxa"/>
                  <w:vAlign w:val="center"/>
                </w:tcPr>
                <w:p>
                  <w:pPr>
                    <w:jc w:val="center"/>
                    <w:rPr>
                      <w:color w:val="000000"/>
                      <w:szCs w:val="21"/>
                      <w:u w:val="none"/>
                    </w:rPr>
                  </w:pPr>
                  <w:r>
                    <w:rPr>
                      <w:rFonts w:hint="eastAsia"/>
                      <w:color w:val="000000"/>
                      <w:szCs w:val="21"/>
                      <w:u w:val="none"/>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restart"/>
                  <w:vAlign w:val="center"/>
                </w:tcPr>
                <w:p>
                  <w:pPr>
                    <w:jc w:val="center"/>
                    <w:rPr>
                      <w:color w:val="000000"/>
                      <w:szCs w:val="21"/>
                      <w:u w:val="none"/>
                    </w:rPr>
                  </w:pPr>
                  <w:r>
                    <w:rPr>
                      <w:rFonts w:hint="eastAsia"/>
                      <w:color w:val="000000"/>
                      <w:szCs w:val="21"/>
                      <w:u w:val="none"/>
                    </w:rPr>
                    <w:t>是否考虑</w:t>
                  </w:r>
                </w:p>
                <w:p>
                  <w:pPr>
                    <w:jc w:val="center"/>
                    <w:rPr>
                      <w:color w:val="000000"/>
                      <w:szCs w:val="21"/>
                      <w:u w:val="none"/>
                    </w:rPr>
                  </w:pPr>
                  <w:r>
                    <w:rPr>
                      <w:rFonts w:hint="eastAsia"/>
                      <w:color w:val="000000"/>
                      <w:szCs w:val="21"/>
                      <w:u w:val="none"/>
                    </w:rPr>
                    <w:t>岸线熏烟</w:t>
                  </w:r>
                </w:p>
              </w:tc>
              <w:tc>
                <w:tcPr>
                  <w:tcW w:w="3526" w:type="dxa"/>
                  <w:gridSpan w:val="2"/>
                  <w:vAlign w:val="center"/>
                </w:tcPr>
                <w:p>
                  <w:pPr>
                    <w:jc w:val="center"/>
                    <w:rPr>
                      <w:color w:val="000000"/>
                      <w:szCs w:val="21"/>
                      <w:u w:val="none"/>
                    </w:rPr>
                  </w:pPr>
                  <w:r>
                    <w:rPr>
                      <w:rFonts w:hint="eastAsia"/>
                      <w:color w:val="000000"/>
                      <w:szCs w:val="21"/>
                      <w:u w:val="none"/>
                    </w:rPr>
                    <w:t>考虑岸线熏烟</w:t>
                  </w:r>
                </w:p>
              </w:tc>
              <w:tc>
                <w:tcPr>
                  <w:tcW w:w="3375" w:type="dxa"/>
                  <w:vAlign w:val="center"/>
                </w:tcPr>
                <w:p>
                  <w:pPr>
                    <w:jc w:val="center"/>
                    <w:rPr>
                      <w:color w:val="000000"/>
                      <w:szCs w:val="21"/>
                      <w:u w:val="none"/>
                    </w:rPr>
                  </w:pPr>
                  <w:r>
                    <w:rPr>
                      <w:rFonts w:hint="eastAsia"/>
                      <w:color w:val="000000"/>
                      <w:szCs w:val="21"/>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continue"/>
                  <w:vAlign w:val="center"/>
                </w:tcPr>
                <w:p>
                  <w:pPr>
                    <w:jc w:val="center"/>
                    <w:rPr>
                      <w:color w:val="000000"/>
                      <w:szCs w:val="21"/>
                      <w:u w:val="none"/>
                    </w:rPr>
                  </w:pPr>
                </w:p>
              </w:tc>
              <w:tc>
                <w:tcPr>
                  <w:tcW w:w="3526" w:type="dxa"/>
                  <w:gridSpan w:val="2"/>
                  <w:vAlign w:val="center"/>
                </w:tcPr>
                <w:p>
                  <w:pPr>
                    <w:jc w:val="center"/>
                    <w:rPr>
                      <w:color w:val="000000"/>
                      <w:szCs w:val="21"/>
                      <w:u w:val="none"/>
                    </w:rPr>
                  </w:pPr>
                  <w:r>
                    <w:rPr>
                      <w:rFonts w:hint="eastAsia"/>
                      <w:color w:val="000000"/>
                      <w:szCs w:val="21"/>
                      <w:u w:val="none"/>
                    </w:rPr>
                    <w:t>岸线距离/m</w:t>
                  </w:r>
                </w:p>
              </w:tc>
              <w:tc>
                <w:tcPr>
                  <w:tcW w:w="3375" w:type="dxa"/>
                  <w:vAlign w:val="center"/>
                </w:tcPr>
                <w:p>
                  <w:pPr>
                    <w:jc w:val="center"/>
                    <w:rPr>
                      <w:color w:val="000000"/>
                      <w:szCs w:val="21"/>
                      <w:u w:val="none"/>
                    </w:rPr>
                  </w:pPr>
                  <w:r>
                    <w:rPr>
                      <w:rFonts w:hint="eastAsia"/>
                      <w:color w:val="000000"/>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continue"/>
                  <w:vAlign w:val="center"/>
                </w:tcPr>
                <w:p>
                  <w:pPr>
                    <w:jc w:val="center"/>
                    <w:rPr>
                      <w:color w:val="000000"/>
                      <w:szCs w:val="21"/>
                      <w:u w:val="none"/>
                    </w:rPr>
                  </w:pPr>
                </w:p>
              </w:tc>
              <w:tc>
                <w:tcPr>
                  <w:tcW w:w="3526" w:type="dxa"/>
                  <w:gridSpan w:val="2"/>
                  <w:vAlign w:val="center"/>
                </w:tcPr>
                <w:p>
                  <w:pPr>
                    <w:jc w:val="center"/>
                    <w:rPr>
                      <w:color w:val="000000"/>
                      <w:szCs w:val="21"/>
                      <w:u w:val="none"/>
                    </w:rPr>
                  </w:pPr>
                  <w:r>
                    <w:rPr>
                      <w:rFonts w:hint="eastAsia"/>
                      <w:color w:val="000000"/>
                      <w:szCs w:val="21"/>
                      <w:u w:val="none"/>
                    </w:rPr>
                    <w:t>岸线方向/</w:t>
                  </w:r>
                  <w:r>
                    <w:rPr>
                      <w:rFonts w:hint="eastAsia" w:ascii="宋体" w:hAnsi="宋体"/>
                      <w:color w:val="000000"/>
                      <w:szCs w:val="21"/>
                      <w:u w:val="none"/>
                    </w:rPr>
                    <w:t>°</w:t>
                  </w:r>
                </w:p>
              </w:tc>
              <w:tc>
                <w:tcPr>
                  <w:tcW w:w="3375" w:type="dxa"/>
                  <w:vAlign w:val="center"/>
                </w:tcPr>
                <w:p>
                  <w:pPr>
                    <w:jc w:val="center"/>
                    <w:rPr>
                      <w:color w:val="000000"/>
                      <w:szCs w:val="21"/>
                      <w:u w:val="none"/>
                    </w:rPr>
                  </w:pPr>
                  <w:r>
                    <w:rPr>
                      <w:rFonts w:hint="eastAsia"/>
                      <w:color w:val="000000"/>
                      <w:szCs w:val="21"/>
                      <w:u w:val="none"/>
                    </w:rPr>
                    <w:t>/</w:t>
                  </w:r>
                </w:p>
              </w:tc>
            </w:tr>
          </w:tbl>
          <w:p>
            <w:pPr>
              <w:spacing w:line="360" w:lineRule="auto"/>
              <w:rPr>
                <w:sz w:val="24"/>
                <w:szCs w:val="24"/>
                <w:u w:val="none"/>
              </w:rPr>
            </w:pPr>
            <w:r>
              <w:rPr>
                <w:rFonts w:hint="eastAsia"/>
                <w:sz w:val="24"/>
                <w:szCs w:val="24"/>
                <w:u w:val="none"/>
              </w:rPr>
              <w:t>1.4评价等级确定</w:t>
            </w:r>
          </w:p>
          <w:p>
            <w:pPr>
              <w:spacing w:line="360" w:lineRule="auto"/>
              <w:ind w:firstLine="360" w:firstLineChars="150"/>
              <w:rPr>
                <w:sz w:val="24"/>
                <w:szCs w:val="24"/>
                <w:u w:val="single"/>
              </w:rPr>
            </w:pPr>
            <w:r>
              <w:rPr>
                <w:rFonts w:hint="eastAsia"/>
                <w:sz w:val="24"/>
                <w:szCs w:val="24"/>
                <w:u w:val="single"/>
              </w:rPr>
              <w:t>根据污染物排放情况，确定本项目PM</w:t>
            </w:r>
            <w:r>
              <w:rPr>
                <w:rFonts w:hint="eastAsia"/>
                <w:sz w:val="24"/>
                <w:szCs w:val="24"/>
                <w:u w:val="single"/>
                <w:vertAlign w:val="subscript"/>
              </w:rPr>
              <w:t>10</w:t>
            </w:r>
            <w:r>
              <w:rPr>
                <w:rFonts w:hint="eastAsia"/>
                <w:sz w:val="24"/>
                <w:szCs w:val="24"/>
                <w:u w:val="single"/>
              </w:rPr>
              <w:t>为主要污染物。采用《环境影响评价技术导则大气环境》HJ2.2-2018推荐模式清单中的估算模式分别计算PM</w:t>
            </w:r>
            <w:r>
              <w:rPr>
                <w:rFonts w:hint="eastAsia"/>
                <w:sz w:val="24"/>
                <w:szCs w:val="24"/>
                <w:u w:val="single"/>
                <w:vertAlign w:val="subscript"/>
              </w:rPr>
              <w:t>10</w:t>
            </w:r>
            <w:r>
              <w:rPr>
                <w:rFonts w:hint="eastAsia"/>
                <w:sz w:val="24"/>
                <w:szCs w:val="24"/>
                <w:u w:val="single"/>
              </w:rPr>
              <w:t>的最大地面浓度占标率，计算参数见表1</w:t>
            </w:r>
            <w:r>
              <w:rPr>
                <w:rFonts w:hint="eastAsia"/>
                <w:sz w:val="24"/>
                <w:szCs w:val="24"/>
                <w:u w:val="single"/>
                <w:lang w:val="en-US" w:eastAsia="zh-CN"/>
              </w:rPr>
              <w:t>7</w:t>
            </w:r>
            <w:r>
              <w:rPr>
                <w:rFonts w:hint="eastAsia"/>
                <w:sz w:val="24"/>
                <w:szCs w:val="24"/>
                <w:u w:val="single"/>
              </w:rPr>
              <w:t>、表1</w:t>
            </w:r>
            <w:r>
              <w:rPr>
                <w:rFonts w:hint="eastAsia"/>
                <w:sz w:val="24"/>
                <w:szCs w:val="24"/>
                <w:u w:val="single"/>
                <w:lang w:val="en-US" w:eastAsia="zh-CN"/>
              </w:rPr>
              <w:t>8</w:t>
            </w:r>
            <w:r>
              <w:rPr>
                <w:rFonts w:hint="eastAsia"/>
                <w:sz w:val="24"/>
                <w:szCs w:val="24"/>
                <w:u w:val="single"/>
              </w:rPr>
              <w:t>，结果见表</w:t>
            </w:r>
            <w:r>
              <w:rPr>
                <w:rFonts w:hint="eastAsia"/>
                <w:sz w:val="24"/>
                <w:szCs w:val="24"/>
                <w:u w:val="single"/>
                <w:lang w:val="en-US" w:eastAsia="zh-CN"/>
              </w:rPr>
              <w:t>21</w:t>
            </w:r>
            <w:r>
              <w:rPr>
                <w:rFonts w:hint="eastAsia"/>
                <w:sz w:val="24"/>
                <w:szCs w:val="24"/>
                <w:u w:val="single"/>
              </w:rPr>
              <w:t>，评价工作等级判别标准见表2</w:t>
            </w:r>
            <w:r>
              <w:rPr>
                <w:rFonts w:hint="eastAsia"/>
                <w:sz w:val="24"/>
                <w:szCs w:val="24"/>
                <w:u w:val="single"/>
                <w:lang w:val="en-US" w:eastAsia="zh-CN"/>
              </w:rPr>
              <w:t>2</w:t>
            </w:r>
            <w:r>
              <w:rPr>
                <w:rFonts w:hint="eastAsia"/>
                <w:sz w:val="24"/>
                <w:szCs w:val="24"/>
                <w:u w:val="single"/>
              </w:rPr>
              <w:t>。</w:t>
            </w:r>
          </w:p>
          <w:p>
            <w:pPr>
              <w:ind w:firstLine="1058" w:firstLineChars="441"/>
              <w:rPr>
                <w:rFonts w:ascii="黑体" w:hAnsi="黑体" w:eastAsia="黑体"/>
                <w:sz w:val="24"/>
                <w:szCs w:val="24"/>
                <w:u w:val="none"/>
              </w:rPr>
            </w:pPr>
            <w:r>
              <w:rPr>
                <w:rFonts w:hint="eastAsia" w:ascii="黑体" w:hAnsi="黑体" w:eastAsia="黑体"/>
                <w:sz w:val="24"/>
                <w:szCs w:val="24"/>
                <w:u w:val="none"/>
              </w:rPr>
              <w:t>表</w:t>
            </w:r>
            <w:r>
              <w:rPr>
                <w:rFonts w:hint="eastAsia" w:ascii="黑体" w:hAnsi="黑体" w:eastAsia="黑体"/>
                <w:sz w:val="24"/>
                <w:szCs w:val="24"/>
                <w:u w:val="none"/>
                <w:lang w:val="en-US" w:eastAsia="zh-CN"/>
              </w:rPr>
              <w:t>21</w:t>
            </w:r>
            <w:r>
              <w:rPr>
                <w:rFonts w:hint="eastAsia" w:ascii="黑体" w:hAnsi="黑体" w:eastAsia="黑体"/>
                <w:sz w:val="24"/>
                <w:szCs w:val="24"/>
                <w:u w:val="none"/>
              </w:rPr>
              <w:t xml:space="preserve">          采用估算模式计算结果表         浓度单位</w:t>
            </w:r>
            <w:r>
              <w:rPr>
                <w:rFonts w:hint="eastAsia" w:ascii="宋体" w:hAnsi="宋体" w:cs="宋体"/>
                <w:szCs w:val="21"/>
                <w:u w:val="none"/>
              </w:rPr>
              <w:t>µ</w:t>
            </w:r>
            <w:r>
              <w:rPr>
                <w:rFonts w:hint="eastAsia" w:ascii="黑体" w:hAnsi="黑体" w:eastAsia="黑体"/>
                <w:sz w:val="24"/>
                <w:szCs w:val="24"/>
                <w:u w:val="none"/>
              </w:rPr>
              <w:t>g/m</w:t>
            </w:r>
            <w:r>
              <w:rPr>
                <w:rFonts w:hint="eastAsia" w:ascii="黑体" w:hAnsi="黑体" w:eastAsia="黑体"/>
                <w:sz w:val="24"/>
                <w:szCs w:val="24"/>
                <w:u w:val="none"/>
                <w:vertAlign w:val="superscript"/>
              </w:rPr>
              <w:t>3</w:t>
            </w:r>
          </w:p>
          <w:tbl>
            <w:tblPr>
              <w:tblStyle w:val="2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3244"/>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138" w:type="dxa"/>
                  <w:vMerge w:val="restart"/>
                  <w:vAlign w:val="center"/>
                </w:tcPr>
                <w:p>
                  <w:pPr>
                    <w:jc w:val="center"/>
                    <w:rPr>
                      <w:color w:val="000000" w:themeColor="text1"/>
                      <w:szCs w:val="21"/>
                      <w:u w:val="none"/>
                    </w:rPr>
                  </w:pPr>
                  <w:r>
                    <w:rPr>
                      <w:rFonts w:hint="eastAsia"/>
                      <w:color w:val="000000" w:themeColor="text1"/>
                      <w:szCs w:val="21"/>
                      <w:u w:val="none"/>
                    </w:rPr>
                    <w:t>/</w:t>
                  </w:r>
                </w:p>
              </w:tc>
              <w:tc>
                <w:tcPr>
                  <w:tcW w:w="6878" w:type="dxa"/>
                  <w:gridSpan w:val="2"/>
                  <w:vAlign w:val="center"/>
                </w:tcPr>
                <w:p>
                  <w:pPr>
                    <w:jc w:val="center"/>
                    <w:rPr>
                      <w:color w:val="000000" w:themeColor="text1"/>
                      <w:szCs w:val="21"/>
                      <w:u w:val="none"/>
                    </w:rPr>
                  </w:pPr>
                  <w:r>
                    <w:rPr>
                      <w:color w:val="000000" w:themeColor="text1"/>
                      <w:szCs w:val="21"/>
                      <w:u w:val="none"/>
                    </w:rPr>
                    <w:t>PM</w:t>
                  </w:r>
                  <w:r>
                    <w:rPr>
                      <w:color w:val="000000" w:themeColor="text1"/>
                      <w:szCs w:val="21"/>
                      <w:u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138" w:type="dxa"/>
                  <w:vMerge w:val="continue"/>
                  <w:vAlign w:val="center"/>
                </w:tcPr>
                <w:p>
                  <w:pPr>
                    <w:jc w:val="center"/>
                    <w:rPr>
                      <w:color w:val="000000" w:themeColor="text1"/>
                      <w:spacing w:val="-14"/>
                      <w:szCs w:val="21"/>
                      <w:u w:val="none"/>
                    </w:rPr>
                  </w:pPr>
                </w:p>
              </w:tc>
              <w:tc>
                <w:tcPr>
                  <w:tcW w:w="3244" w:type="dxa"/>
                  <w:vAlign w:val="center"/>
                </w:tcPr>
                <w:p>
                  <w:pPr>
                    <w:jc w:val="center"/>
                    <w:rPr>
                      <w:color w:val="000000" w:themeColor="text1"/>
                      <w:spacing w:val="-14"/>
                      <w:szCs w:val="21"/>
                      <w:u w:val="none"/>
                    </w:rPr>
                  </w:pPr>
                  <w:r>
                    <w:rPr>
                      <w:rFonts w:hAnsi="宋体"/>
                      <w:color w:val="000000" w:themeColor="text1"/>
                      <w:spacing w:val="-14"/>
                      <w:szCs w:val="21"/>
                      <w:u w:val="none"/>
                    </w:rPr>
                    <w:t>最大估算浓度</w:t>
                  </w:r>
                </w:p>
              </w:tc>
              <w:tc>
                <w:tcPr>
                  <w:tcW w:w="3634" w:type="dxa"/>
                  <w:vAlign w:val="center"/>
                </w:tcPr>
                <w:p>
                  <w:pPr>
                    <w:jc w:val="center"/>
                    <w:rPr>
                      <w:color w:val="000000" w:themeColor="text1"/>
                      <w:spacing w:val="-14"/>
                      <w:szCs w:val="21"/>
                      <w:u w:val="none"/>
                    </w:rPr>
                  </w:pPr>
                  <w:r>
                    <w:rPr>
                      <w:rFonts w:hint="eastAsia" w:hAnsi="宋体"/>
                      <w:color w:val="000000" w:themeColor="text1"/>
                      <w:spacing w:val="-14"/>
                      <w:szCs w:val="21"/>
                      <w:u w:val="none"/>
                    </w:rPr>
                    <w:t>占标率</w:t>
                  </w:r>
                  <w:r>
                    <w:rPr>
                      <w:rFonts w:hint="eastAsia" w:hAnsi="宋体"/>
                      <w:color w:val="000000" w:themeColor="text1"/>
                      <w:spacing w:val="-1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2138" w:type="dxa"/>
                  <w:vAlign w:val="center"/>
                </w:tcPr>
                <w:p>
                  <w:pPr>
                    <w:jc w:val="center"/>
                    <w:rPr>
                      <w:rFonts w:ascii="宋体" w:hAnsi="宋体" w:cs="宋体"/>
                      <w:color w:val="000000" w:themeColor="text1"/>
                      <w:sz w:val="22"/>
                      <w:szCs w:val="22"/>
                      <w:u w:val="none"/>
                    </w:rPr>
                  </w:pPr>
                  <w:r>
                    <w:rPr>
                      <w:rFonts w:hint="eastAsia" w:ascii="宋体" w:hAnsi="宋体" w:cs="宋体"/>
                      <w:color w:val="000000" w:themeColor="text1"/>
                      <w:sz w:val="22"/>
                      <w:szCs w:val="22"/>
                      <w:u w:val="none"/>
                    </w:rPr>
                    <w:t>点源</w:t>
                  </w:r>
                </w:p>
              </w:tc>
              <w:tc>
                <w:tcPr>
                  <w:tcW w:w="3244" w:type="dxa"/>
                  <w:vAlign w:val="center"/>
                </w:tcPr>
                <w:p>
                  <w:pPr>
                    <w:jc w:val="center"/>
                    <w:rPr>
                      <w:rFonts w:hint="default" w:ascii="Times New Roman" w:hAnsi="Times New Roman" w:cs="Times New Roman"/>
                      <w:szCs w:val="21"/>
                      <w:u w:val="none"/>
                    </w:rPr>
                  </w:pPr>
                  <w:r>
                    <w:rPr>
                      <w:rFonts w:hint="default" w:ascii="Times New Roman" w:hAnsi="Times New Roman" w:eastAsia="宋体" w:cs="Times New Roman"/>
                      <w:b w:val="0"/>
                      <w:sz w:val="23"/>
                      <w:szCs w:val="23"/>
                    </w:rPr>
                    <w:t>0.</w:t>
                  </w:r>
                  <w:r>
                    <w:rPr>
                      <w:rFonts w:hint="eastAsia" w:cs="Times New Roman"/>
                      <w:b w:val="0"/>
                      <w:sz w:val="23"/>
                      <w:szCs w:val="23"/>
                      <w:lang w:val="en-US" w:eastAsia="zh-CN"/>
                    </w:rPr>
                    <w:t>72</w:t>
                  </w:r>
                </w:p>
              </w:tc>
              <w:tc>
                <w:tcPr>
                  <w:tcW w:w="3634" w:type="dxa"/>
                  <w:vAlign w:val="center"/>
                </w:tcPr>
                <w:p>
                  <w:pPr>
                    <w:jc w:val="center"/>
                    <w:rPr>
                      <w:rFonts w:hint="default" w:ascii="Times New Roman" w:hAnsi="Times New Roman" w:cs="Times New Roman"/>
                      <w:szCs w:val="21"/>
                      <w:u w:val="none"/>
                    </w:rPr>
                  </w:pPr>
                  <w:r>
                    <w:rPr>
                      <w:rFonts w:hint="default" w:ascii="Times New Roman" w:hAnsi="Times New Roman" w:eastAsia="宋体" w:cs="Times New Roman"/>
                      <w:b w:val="0"/>
                      <w:sz w:val="23"/>
                      <w:szCs w:val="23"/>
                    </w:rPr>
                    <w:t>0.</w:t>
                  </w:r>
                  <w:r>
                    <w:rPr>
                      <w:rFonts w:hint="eastAsia" w:cs="Times New Roman"/>
                      <w:b w:val="0"/>
                      <w:sz w:val="23"/>
                      <w:szCs w:val="23"/>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2138" w:type="dxa"/>
                  <w:vAlign w:val="center"/>
                </w:tcPr>
                <w:p>
                  <w:pPr>
                    <w:jc w:val="center"/>
                    <w:rPr>
                      <w:rFonts w:ascii="宋体" w:hAnsi="宋体" w:cs="宋体"/>
                      <w:color w:val="000000" w:themeColor="text1"/>
                      <w:sz w:val="22"/>
                      <w:szCs w:val="22"/>
                      <w:u w:val="none"/>
                    </w:rPr>
                  </w:pPr>
                  <w:r>
                    <w:rPr>
                      <w:rFonts w:hint="eastAsia" w:ascii="宋体" w:hAnsi="宋体" w:cs="宋体"/>
                      <w:color w:val="000000" w:themeColor="text1"/>
                      <w:sz w:val="22"/>
                      <w:szCs w:val="22"/>
                      <w:u w:val="none"/>
                    </w:rPr>
                    <w:t>面源</w:t>
                  </w:r>
                </w:p>
              </w:tc>
              <w:tc>
                <w:tcPr>
                  <w:tcW w:w="3244" w:type="dxa"/>
                  <w:vAlign w:val="center"/>
                </w:tcPr>
                <w:p>
                  <w:pPr>
                    <w:jc w:val="center"/>
                    <w:rPr>
                      <w:rFonts w:hint="eastAsia" w:ascii="Times New Roman" w:hAnsi="Times New Roman" w:eastAsia="宋体" w:cs="Times New Roman"/>
                      <w:color w:val="000000" w:themeColor="text1"/>
                      <w:sz w:val="22"/>
                      <w:szCs w:val="22"/>
                      <w:u w:val="none"/>
                      <w:lang w:eastAsia="zh-CN"/>
                    </w:rPr>
                  </w:pPr>
                  <w:r>
                    <w:rPr>
                      <w:rFonts w:hint="eastAsia" w:cs="Times New Roman"/>
                      <w:b w:val="0"/>
                      <w:sz w:val="23"/>
                      <w:szCs w:val="23"/>
                      <w:lang w:val="en-US" w:eastAsia="zh-CN"/>
                    </w:rPr>
                    <w:t>2.94</w:t>
                  </w:r>
                </w:p>
              </w:tc>
              <w:tc>
                <w:tcPr>
                  <w:tcW w:w="3634" w:type="dxa"/>
                  <w:vAlign w:val="center"/>
                </w:tcPr>
                <w:p>
                  <w:pPr>
                    <w:jc w:val="center"/>
                    <w:rPr>
                      <w:rFonts w:hint="default" w:ascii="Times New Roman" w:hAnsi="Times New Roman" w:cs="Times New Roman"/>
                      <w:color w:val="000000" w:themeColor="text1"/>
                      <w:sz w:val="22"/>
                      <w:szCs w:val="22"/>
                      <w:u w:val="none"/>
                    </w:rPr>
                  </w:pPr>
                  <w:r>
                    <w:rPr>
                      <w:rFonts w:hint="default" w:ascii="Times New Roman" w:hAnsi="Times New Roman" w:eastAsia="宋体" w:cs="Times New Roman"/>
                      <w:b w:val="0"/>
                      <w:sz w:val="23"/>
                      <w:szCs w:val="23"/>
                    </w:rPr>
                    <w:t>0.</w:t>
                  </w:r>
                  <w:r>
                    <w:rPr>
                      <w:rFonts w:hint="eastAsia" w:cs="Times New Roman"/>
                      <w:b w:val="0"/>
                      <w:sz w:val="23"/>
                      <w:szCs w:val="23"/>
                      <w:lang w:val="en-US" w:eastAsia="zh-CN"/>
                    </w:rPr>
                    <w:t>65</w:t>
                  </w:r>
                </w:p>
              </w:tc>
            </w:tr>
          </w:tbl>
          <w:p>
            <w:pPr>
              <w:ind w:firstLine="1680" w:firstLineChars="700"/>
              <w:rPr>
                <w:rFonts w:ascii="黑体" w:hAnsi="黑体" w:eastAsia="黑体"/>
                <w:color w:val="000000" w:themeColor="text1"/>
                <w:sz w:val="24"/>
                <w:szCs w:val="24"/>
                <w:u w:val="none"/>
              </w:rPr>
            </w:pPr>
            <w:r>
              <w:rPr>
                <w:rFonts w:hint="eastAsia" w:ascii="黑体" w:hAnsi="黑体" w:eastAsia="黑体"/>
                <w:color w:val="000000" w:themeColor="text1"/>
                <w:sz w:val="24"/>
                <w:szCs w:val="24"/>
                <w:u w:val="none"/>
              </w:rPr>
              <w:t>表2</w:t>
            </w:r>
            <w:r>
              <w:rPr>
                <w:rFonts w:hint="eastAsia" w:ascii="黑体" w:hAnsi="黑体" w:eastAsia="黑体"/>
                <w:color w:val="000000" w:themeColor="text1"/>
                <w:sz w:val="24"/>
                <w:szCs w:val="24"/>
                <w:u w:val="none"/>
                <w:lang w:val="en-US" w:eastAsia="zh-CN"/>
              </w:rPr>
              <w:t>2</w:t>
            </w:r>
            <w:r>
              <w:rPr>
                <w:rFonts w:hint="eastAsia" w:ascii="黑体" w:hAnsi="黑体" w:eastAsia="黑体"/>
                <w:color w:val="000000" w:themeColor="text1"/>
                <w:sz w:val="24"/>
                <w:szCs w:val="24"/>
                <w:u w:val="none"/>
              </w:rPr>
              <w:t xml:space="preserve">              评价工作等级</w:t>
            </w: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u w:val="none"/>
                    </w:rPr>
                  </w:pPr>
                  <w:r>
                    <w:rPr>
                      <w:rFonts w:hint="eastAsia"/>
                      <w:color w:val="000000" w:themeColor="text1"/>
                      <w:szCs w:val="21"/>
                      <w:u w:val="none"/>
                    </w:rPr>
                    <w:t>评价工作等级</w:t>
                  </w:r>
                </w:p>
              </w:tc>
              <w:tc>
                <w:tcPr>
                  <w:tcW w:w="7234" w:type="dxa"/>
                  <w:shd w:val="clear" w:color="auto" w:fill="auto"/>
                  <w:vAlign w:val="center"/>
                </w:tcPr>
                <w:p>
                  <w:pPr>
                    <w:jc w:val="center"/>
                    <w:rPr>
                      <w:color w:val="000000" w:themeColor="text1"/>
                      <w:szCs w:val="21"/>
                      <w:u w:val="none"/>
                    </w:rPr>
                  </w:pPr>
                  <w:r>
                    <w:rPr>
                      <w:rFonts w:hint="eastAsia"/>
                      <w:color w:val="000000" w:themeColor="text1"/>
                      <w:szCs w:val="21"/>
                      <w:u w:val="none"/>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u w:val="none"/>
                    </w:rPr>
                  </w:pPr>
                  <w:r>
                    <w:rPr>
                      <w:rFonts w:hint="eastAsia"/>
                      <w:color w:val="000000" w:themeColor="text1"/>
                      <w:szCs w:val="21"/>
                      <w:u w:val="none"/>
                    </w:rPr>
                    <w:t>一级</w:t>
                  </w:r>
                </w:p>
              </w:tc>
              <w:tc>
                <w:tcPr>
                  <w:tcW w:w="7234" w:type="dxa"/>
                  <w:shd w:val="clear" w:color="auto" w:fill="auto"/>
                  <w:vAlign w:val="center"/>
                </w:tcPr>
                <w:p>
                  <w:pPr>
                    <w:jc w:val="center"/>
                    <w:rPr>
                      <w:color w:val="000000" w:themeColor="text1"/>
                      <w:szCs w:val="21"/>
                      <w:u w:val="none"/>
                    </w:rPr>
                  </w:pPr>
                  <w:r>
                    <w:rPr>
                      <w:color w:val="000000" w:themeColor="text1"/>
                      <w:szCs w:val="21"/>
                      <w:u w:val="none"/>
                    </w:rPr>
                    <w:t>P</w:t>
                  </w:r>
                  <w:r>
                    <w:rPr>
                      <w:color w:val="000000" w:themeColor="text1"/>
                      <w:szCs w:val="21"/>
                      <w:u w:val="none"/>
                      <w:vertAlign w:val="subscript"/>
                    </w:rPr>
                    <w:t>max</w:t>
                  </w:r>
                  <w:r>
                    <w:rPr>
                      <w:color w:val="000000" w:themeColor="text1"/>
                      <w:szCs w:val="21"/>
                      <w:u w:val="none"/>
                    </w:rPr>
                    <w:t>≥</w:t>
                  </w:r>
                  <w:r>
                    <w:rPr>
                      <w:rFonts w:hint="eastAsia"/>
                      <w:color w:val="000000" w:themeColor="text1"/>
                      <w:szCs w:val="21"/>
                      <w:u w:val="none"/>
                    </w:rPr>
                    <w:t>1</w:t>
                  </w:r>
                  <w:r>
                    <w:rPr>
                      <w:color w:val="000000" w:themeColor="text1"/>
                      <w:szCs w:val="21"/>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u w:val="none"/>
                    </w:rPr>
                  </w:pPr>
                  <w:r>
                    <w:rPr>
                      <w:rFonts w:hint="eastAsia"/>
                      <w:color w:val="000000" w:themeColor="text1"/>
                      <w:szCs w:val="21"/>
                      <w:u w:val="none"/>
                    </w:rPr>
                    <w:t>二级</w:t>
                  </w:r>
                </w:p>
              </w:tc>
              <w:tc>
                <w:tcPr>
                  <w:tcW w:w="7234" w:type="dxa"/>
                  <w:shd w:val="clear" w:color="auto" w:fill="auto"/>
                  <w:vAlign w:val="center"/>
                </w:tcPr>
                <w:p>
                  <w:pPr>
                    <w:jc w:val="center"/>
                    <w:rPr>
                      <w:color w:val="000000" w:themeColor="text1"/>
                      <w:szCs w:val="21"/>
                      <w:u w:val="none"/>
                    </w:rPr>
                  </w:pPr>
                  <w:r>
                    <w:rPr>
                      <w:rFonts w:hint="eastAsia"/>
                      <w:color w:val="000000" w:themeColor="text1"/>
                      <w:szCs w:val="21"/>
                      <w:u w:val="none"/>
                    </w:rPr>
                    <w:t>1%</w:t>
                  </w:r>
                  <w:r>
                    <w:rPr>
                      <w:rFonts w:hint="eastAsia" w:ascii="宋体" w:hAnsi="宋体"/>
                      <w:color w:val="000000" w:themeColor="text1"/>
                      <w:szCs w:val="21"/>
                      <w:u w:val="none"/>
                    </w:rPr>
                    <w:t>≤</w:t>
                  </w:r>
                  <w:r>
                    <w:rPr>
                      <w:color w:val="000000" w:themeColor="text1"/>
                      <w:szCs w:val="21"/>
                      <w:u w:val="none"/>
                    </w:rPr>
                    <w:t>P</w:t>
                  </w:r>
                  <w:r>
                    <w:rPr>
                      <w:color w:val="000000" w:themeColor="text1"/>
                      <w:szCs w:val="21"/>
                      <w:u w:val="none"/>
                      <w:vertAlign w:val="subscript"/>
                    </w:rPr>
                    <w:t>max</w:t>
                  </w:r>
                  <w:r>
                    <w:rPr>
                      <w:rFonts w:hint="eastAsia" w:ascii="宋体" w:hAnsi="宋体"/>
                      <w:color w:val="000000" w:themeColor="text1"/>
                      <w:szCs w:val="21"/>
                      <w:u w:val="none"/>
                    </w:rPr>
                    <w:t>＜</w:t>
                  </w:r>
                  <w:r>
                    <w:rPr>
                      <w:rFonts w:hint="eastAsia"/>
                      <w:color w:val="000000" w:themeColor="text1"/>
                      <w:szCs w:val="21"/>
                      <w:u w:val="none"/>
                    </w:rPr>
                    <w:t>1</w:t>
                  </w:r>
                  <w:r>
                    <w:rPr>
                      <w:color w:val="000000" w:themeColor="text1"/>
                      <w:szCs w:val="21"/>
                      <w:u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u w:val="none"/>
                    </w:rPr>
                  </w:pPr>
                  <w:r>
                    <w:rPr>
                      <w:rFonts w:hint="eastAsia"/>
                      <w:color w:val="000000" w:themeColor="text1"/>
                      <w:szCs w:val="21"/>
                      <w:u w:val="none"/>
                    </w:rPr>
                    <w:t>三级</w:t>
                  </w:r>
                </w:p>
              </w:tc>
              <w:tc>
                <w:tcPr>
                  <w:tcW w:w="7234" w:type="dxa"/>
                  <w:shd w:val="clear" w:color="auto" w:fill="auto"/>
                  <w:vAlign w:val="center"/>
                </w:tcPr>
                <w:p>
                  <w:pPr>
                    <w:jc w:val="center"/>
                    <w:rPr>
                      <w:color w:val="000000" w:themeColor="text1"/>
                      <w:szCs w:val="21"/>
                      <w:u w:val="none"/>
                    </w:rPr>
                  </w:pPr>
                  <w:r>
                    <w:rPr>
                      <w:color w:val="000000" w:themeColor="text1"/>
                      <w:szCs w:val="21"/>
                      <w:u w:val="none"/>
                    </w:rPr>
                    <w:t>P</w:t>
                  </w:r>
                  <w:r>
                    <w:rPr>
                      <w:color w:val="000000" w:themeColor="text1"/>
                      <w:szCs w:val="21"/>
                      <w:u w:val="none"/>
                      <w:vertAlign w:val="subscript"/>
                    </w:rPr>
                    <w:t>max</w:t>
                  </w:r>
                  <w:r>
                    <w:rPr>
                      <w:rFonts w:hint="eastAsia"/>
                      <w:color w:val="000000" w:themeColor="text1"/>
                      <w:szCs w:val="21"/>
                      <w:u w:val="none"/>
                    </w:rPr>
                    <w:t>&lt;</w:t>
                  </w:r>
                  <w:r>
                    <w:rPr>
                      <w:color w:val="000000" w:themeColor="text1"/>
                      <w:szCs w:val="21"/>
                      <w:u w:val="none"/>
                    </w:rPr>
                    <w:t xml:space="preserve">1% </w:t>
                  </w:r>
                </w:p>
              </w:tc>
            </w:tr>
          </w:tbl>
          <w:p>
            <w:pPr>
              <w:spacing w:line="360" w:lineRule="auto"/>
              <w:ind w:firstLine="360" w:firstLineChars="150"/>
              <w:rPr>
                <w:color w:val="000000" w:themeColor="text1"/>
                <w:sz w:val="24"/>
                <w:szCs w:val="24"/>
                <w:u w:val="none"/>
              </w:rPr>
            </w:pPr>
            <w:r>
              <w:rPr>
                <w:color w:val="000000" w:themeColor="text1"/>
                <w:sz w:val="24"/>
                <w:szCs w:val="24"/>
                <w:u w:val="none"/>
              </w:rPr>
              <w:t>根据表</w:t>
            </w:r>
            <w:r>
              <w:rPr>
                <w:rFonts w:hint="eastAsia"/>
                <w:color w:val="000000" w:themeColor="text1"/>
                <w:sz w:val="24"/>
                <w:szCs w:val="24"/>
                <w:u w:val="none"/>
                <w:lang w:val="en-US" w:eastAsia="zh-CN"/>
              </w:rPr>
              <w:t>21</w:t>
            </w:r>
            <w:r>
              <w:rPr>
                <w:color w:val="000000" w:themeColor="text1"/>
                <w:sz w:val="24"/>
                <w:szCs w:val="24"/>
                <w:u w:val="none"/>
              </w:rPr>
              <w:t>可以看出</w:t>
            </w:r>
            <w:r>
              <w:rPr>
                <w:rFonts w:hint="eastAsia"/>
                <w:color w:val="000000" w:themeColor="text1"/>
                <w:sz w:val="24"/>
                <w:szCs w:val="24"/>
                <w:u w:val="none"/>
              </w:rPr>
              <w:t>，</w:t>
            </w:r>
            <w:r>
              <w:rPr>
                <w:color w:val="000000" w:themeColor="text1"/>
                <w:sz w:val="24"/>
                <w:szCs w:val="24"/>
                <w:u w:val="none"/>
              </w:rPr>
              <w:t>本项目P</w:t>
            </w:r>
            <w:r>
              <w:rPr>
                <w:color w:val="000000" w:themeColor="text1"/>
                <w:sz w:val="24"/>
                <w:szCs w:val="24"/>
                <w:u w:val="none"/>
                <w:vertAlign w:val="subscript"/>
              </w:rPr>
              <w:t>max</w:t>
            </w:r>
            <w:r>
              <w:rPr>
                <w:color w:val="000000" w:themeColor="text1"/>
                <w:sz w:val="24"/>
                <w:szCs w:val="24"/>
                <w:u w:val="none"/>
              </w:rPr>
              <w:t>最大值出现为</w:t>
            </w:r>
            <w:r>
              <w:rPr>
                <w:rFonts w:hint="eastAsia"/>
                <w:color w:val="000000" w:themeColor="text1"/>
                <w:sz w:val="24"/>
                <w:szCs w:val="24"/>
                <w:u w:val="none"/>
                <w:lang w:eastAsia="zh-CN"/>
              </w:rPr>
              <w:t>面</w:t>
            </w:r>
            <w:r>
              <w:rPr>
                <w:rFonts w:hint="eastAsia"/>
                <w:color w:val="000000" w:themeColor="text1"/>
                <w:sz w:val="24"/>
                <w:szCs w:val="24"/>
                <w:u w:val="none"/>
              </w:rPr>
              <w:t>源颗粒物</w:t>
            </w:r>
            <w:r>
              <w:rPr>
                <w:color w:val="000000" w:themeColor="text1"/>
                <w:sz w:val="24"/>
                <w:szCs w:val="24"/>
                <w:u w:val="none"/>
              </w:rPr>
              <w:t>，P</w:t>
            </w:r>
            <w:r>
              <w:rPr>
                <w:color w:val="000000" w:themeColor="text1"/>
                <w:sz w:val="24"/>
                <w:szCs w:val="24"/>
                <w:u w:val="none"/>
                <w:vertAlign w:val="subscript"/>
              </w:rPr>
              <w:t>max</w:t>
            </w:r>
            <w:r>
              <w:rPr>
                <w:color w:val="000000" w:themeColor="text1"/>
                <w:sz w:val="24"/>
                <w:szCs w:val="24"/>
                <w:u w:val="none"/>
              </w:rPr>
              <w:t>值为</w:t>
            </w:r>
            <w:r>
              <w:rPr>
                <w:rFonts w:hint="eastAsia"/>
                <w:color w:val="000000" w:themeColor="text1"/>
                <w:sz w:val="24"/>
                <w:szCs w:val="24"/>
                <w:u w:val="none"/>
              </w:rPr>
              <w:t>0.</w:t>
            </w:r>
            <w:r>
              <w:rPr>
                <w:rFonts w:hint="eastAsia"/>
                <w:color w:val="000000" w:themeColor="text1"/>
                <w:sz w:val="24"/>
                <w:szCs w:val="24"/>
                <w:u w:val="none"/>
                <w:lang w:val="en-US" w:eastAsia="zh-CN"/>
              </w:rPr>
              <w:t>65</w:t>
            </w:r>
            <w:r>
              <w:rPr>
                <w:rFonts w:hint="eastAsia"/>
                <w:color w:val="000000" w:themeColor="text1"/>
                <w:sz w:val="24"/>
                <w:szCs w:val="24"/>
                <w:u w:val="none"/>
              </w:rPr>
              <w:t>%</w:t>
            </w:r>
            <w:r>
              <w:rPr>
                <w:color w:val="000000" w:themeColor="text1"/>
                <w:sz w:val="24"/>
                <w:szCs w:val="24"/>
                <w:u w:val="none"/>
              </w:rPr>
              <w:t>，根据《环境影响评价技术导则 大气环境》(HJ2.2-20</w:t>
            </w:r>
            <w:r>
              <w:rPr>
                <w:rFonts w:hint="eastAsia"/>
                <w:color w:val="000000" w:themeColor="text1"/>
                <w:sz w:val="24"/>
                <w:szCs w:val="24"/>
                <w:u w:val="none"/>
              </w:rPr>
              <w:t>1</w:t>
            </w:r>
            <w:r>
              <w:rPr>
                <w:color w:val="000000" w:themeColor="text1"/>
                <w:sz w:val="24"/>
                <w:szCs w:val="24"/>
                <w:u w:val="none"/>
              </w:rPr>
              <w:t>8)分级判据，确定</w:t>
            </w:r>
            <w:r>
              <w:rPr>
                <w:rFonts w:hint="eastAsia"/>
                <w:color w:val="000000" w:themeColor="text1"/>
                <w:sz w:val="24"/>
                <w:szCs w:val="24"/>
                <w:u w:val="none"/>
              </w:rPr>
              <w:t>本项目</w:t>
            </w:r>
            <w:r>
              <w:rPr>
                <w:color w:val="000000" w:themeColor="text1"/>
                <w:sz w:val="24"/>
                <w:szCs w:val="24"/>
                <w:u w:val="none"/>
              </w:rPr>
              <w:t>大气环境影响评价工作等级为</w:t>
            </w:r>
            <w:r>
              <w:rPr>
                <w:rFonts w:hint="eastAsia"/>
                <w:color w:val="000000" w:themeColor="text1"/>
                <w:sz w:val="24"/>
                <w:szCs w:val="24"/>
                <w:u w:val="none"/>
              </w:rPr>
              <w:t>三</w:t>
            </w:r>
            <w:r>
              <w:rPr>
                <w:color w:val="000000" w:themeColor="text1"/>
                <w:sz w:val="24"/>
                <w:szCs w:val="24"/>
                <w:u w:val="none"/>
              </w:rPr>
              <w:t>级。根据《环境影响评价技术导则 大气环境》（HJ2.2-2018），</w:t>
            </w:r>
            <w:r>
              <w:rPr>
                <w:rFonts w:hint="eastAsia"/>
                <w:color w:val="000000" w:themeColor="text1"/>
                <w:sz w:val="24"/>
                <w:szCs w:val="24"/>
                <w:u w:val="none"/>
              </w:rPr>
              <w:t>三</w:t>
            </w:r>
            <w:r>
              <w:rPr>
                <w:color w:val="000000" w:themeColor="text1"/>
                <w:sz w:val="24"/>
                <w:szCs w:val="24"/>
                <w:u w:val="none"/>
              </w:rPr>
              <w:t>级评价项目</w:t>
            </w:r>
            <w:r>
              <w:rPr>
                <w:rFonts w:hint="eastAsia"/>
                <w:color w:val="000000" w:themeColor="text1"/>
                <w:sz w:val="24"/>
                <w:szCs w:val="24"/>
                <w:u w:val="none"/>
              </w:rPr>
              <w:t>无需确定评价范围</w:t>
            </w:r>
            <w:r>
              <w:rPr>
                <w:color w:val="000000" w:themeColor="text1"/>
                <w:sz w:val="24"/>
                <w:szCs w:val="24"/>
                <w:u w:val="none"/>
              </w:rPr>
              <w:t>。</w:t>
            </w:r>
          </w:p>
          <w:p>
            <w:pPr>
              <w:spacing w:line="360" w:lineRule="auto"/>
              <w:rPr>
                <w:sz w:val="24"/>
                <w:szCs w:val="24"/>
                <w:u w:val="none"/>
              </w:rPr>
            </w:pPr>
            <w:r>
              <w:rPr>
                <w:rFonts w:hint="eastAsia"/>
                <w:sz w:val="24"/>
                <w:szCs w:val="24"/>
                <w:u w:val="none"/>
              </w:rPr>
              <w:t>1.5无组织废气大气环境影响分析</w:t>
            </w:r>
          </w:p>
          <w:p>
            <w:pPr>
              <w:spacing w:line="360" w:lineRule="auto"/>
              <w:ind w:firstLine="482"/>
              <w:rPr>
                <w:sz w:val="24"/>
                <w:szCs w:val="24"/>
                <w:u w:val="single"/>
              </w:rPr>
            </w:pPr>
            <w:r>
              <w:rPr>
                <w:rFonts w:hint="eastAsia"/>
                <w:sz w:val="24"/>
                <w:szCs w:val="24"/>
                <w:u w:val="single"/>
              </w:rPr>
              <w:t>本项目采用</w:t>
            </w:r>
            <w:r>
              <w:rPr>
                <w:sz w:val="24"/>
                <w:szCs w:val="24"/>
                <w:u w:val="single"/>
              </w:rPr>
              <w:t>《环境影响评价技术导则—大气环境》（HJ2.2-20</w:t>
            </w:r>
            <w:r>
              <w:rPr>
                <w:rFonts w:hint="eastAsia"/>
                <w:sz w:val="24"/>
                <w:szCs w:val="24"/>
                <w:u w:val="single"/>
              </w:rPr>
              <w:t>1</w:t>
            </w:r>
            <w:r>
              <w:rPr>
                <w:sz w:val="24"/>
                <w:szCs w:val="24"/>
                <w:u w:val="single"/>
              </w:rPr>
              <w:t>8）推荐模式清单中的估算模式</w:t>
            </w:r>
            <w:r>
              <w:rPr>
                <w:rFonts w:hint="eastAsia"/>
                <w:sz w:val="24"/>
                <w:szCs w:val="24"/>
                <w:u w:val="single"/>
              </w:rPr>
              <w:t>对无组织污染物达标情况进行预测，本项目无组织排放污染源参数和预测结果见下表。</w:t>
            </w:r>
          </w:p>
          <w:p>
            <w:pPr>
              <w:ind w:firstLine="1320" w:firstLineChars="550"/>
              <w:rPr>
                <w:rFonts w:ascii="黑体" w:hAnsi="宋体" w:eastAsia="黑体"/>
                <w:sz w:val="24"/>
                <w:szCs w:val="24"/>
                <w:u w:val="none"/>
              </w:rPr>
            </w:pPr>
            <w:r>
              <w:rPr>
                <w:rFonts w:hint="eastAsia" w:ascii="黑体" w:hAnsi="宋体" w:eastAsia="黑体"/>
                <w:sz w:val="24"/>
                <w:szCs w:val="24"/>
                <w:u w:val="none"/>
              </w:rPr>
              <w:t>表2</w:t>
            </w:r>
            <w:r>
              <w:rPr>
                <w:rFonts w:hint="eastAsia" w:ascii="黑体" w:hAnsi="宋体" w:eastAsia="黑体"/>
                <w:sz w:val="24"/>
                <w:szCs w:val="24"/>
                <w:u w:val="none"/>
                <w:lang w:val="en-US" w:eastAsia="zh-CN"/>
              </w:rPr>
              <w:t>3</w:t>
            </w:r>
            <w:r>
              <w:rPr>
                <w:rFonts w:hint="eastAsia" w:ascii="黑体" w:hAnsi="宋体" w:eastAsia="黑体"/>
                <w:sz w:val="24"/>
                <w:szCs w:val="24"/>
                <w:u w:val="none"/>
              </w:rPr>
              <w:t xml:space="preserve">           无组织污染源排放情况预测结果</w:t>
            </w: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3026"/>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07" w:type="dxa"/>
                  <w:tcMar>
                    <w:left w:w="0" w:type="dxa"/>
                    <w:right w:w="0" w:type="dxa"/>
                  </w:tcMar>
                  <w:vAlign w:val="center"/>
                </w:tcPr>
                <w:p>
                  <w:pPr>
                    <w:jc w:val="center"/>
                    <w:rPr>
                      <w:szCs w:val="21"/>
                      <w:u w:val="none"/>
                    </w:rPr>
                  </w:pPr>
                  <w:r>
                    <w:rPr>
                      <w:szCs w:val="21"/>
                      <w:u w:val="none"/>
                    </w:rPr>
                    <w:t>污染源</w:t>
                  </w:r>
                </w:p>
              </w:tc>
              <w:tc>
                <w:tcPr>
                  <w:tcW w:w="3026" w:type="dxa"/>
                  <w:tcMar>
                    <w:left w:w="0" w:type="dxa"/>
                    <w:right w:w="0" w:type="dxa"/>
                  </w:tcMar>
                  <w:vAlign w:val="center"/>
                </w:tcPr>
                <w:p>
                  <w:pPr>
                    <w:snapToGrid w:val="0"/>
                    <w:jc w:val="center"/>
                    <w:rPr>
                      <w:szCs w:val="21"/>
                      <w:u w:val="none"/>
                    </w:rPr>
                  </w:pPr>
                  <w:r>
                    <w:rPr>
                      <w:rFonts w:hint="eastAsia"/>
                      <w:szCs w:val="21"/>
                      <w:u w:val="none"/>
                    </w:rPr>
                    <w:t>最大落地浓度</w:t>
                  </w:r>
                </w:p>
              </w:tc>
              <w:tc>
                <w:tcPr>
                  <w:tcW w:w="3047" w:type="dxa"/>
                  <w:tcMar>
                    <w:left w:w="0" w:type="dxa"/>
                    <w:right w:w="0" w:type="dxa"/>
                  </w:tcMar>
                  <w:vAlign w:val="center"/>
                </w:tcPr>
                <w:p>
                  <w:pPr>
                    <w:snapToGrid w:val="0"/>
                    <w:jc w:val="center"/>
                    <w:rPr>
                      <w:szCs w:val="21"/>
                      <w:u w:val="none"/>
                    </w:rPr>
                  </w:pPr>
                  <w:r>
                    <w:rPr>
                      <w:rFonts w:hint="eastAsia"/>
                      <w:szCs w:val="21"/>
                      <w:u w:val="none"/>
                    </w:rPr>
                    <w:t>最远影响距离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907" w:type="dxa"/>
                  <w:tcMar>
                    <w:left w:w="0" w:type="dxa"/>
                    <w:right w:w="0" w:type="dxa"/>
                  </w:tcMar>
                  <w:vAlign w:val="center"/>
                </w:tcPr>
                <w:p>
                  <w:pPr>
                    <w:snapToGrid w:val="0"/>
                    <w:jc w:val="center"/>
                    <w:rPr>
                      <w:szCs w:val="21"/>
                      <w:u w:val="none"/>
                    </w:rPr>
                  </w:pPr>
                  <w:r>
                    <w:rPr>
                      <w:rFonts w:hint="eastAsia"/>
                      <w:szCs w:val="21"/>
                      <w:u w:val="none"/>
                    </w:rPr>
                    <w:t>颗粒物</w:t>
                  </w:r>
                </w:p>
              </w:tc>
              <w:tc>
                <w:tcPr>
                  <w:tcW w:w="3026" w:type="dxa"/>
                  <w:vAlign w:val="center"/>
                </w:tcPr>
                <w:p>
                  <w:pPr>
                    <w:snapToGrid w:val="0"/>
                    <w:jc w:val="center"/>
                    <w:rPr>
                      <w:szCs w:val="21"/>
                      <w:u w:val="none"/>
                    </w:rPr>
                  </w:pPr>
                  <w:r>
                    <w:rPr>
                      <w:rFonts w:hint="eastAsia"/>
                      <w:color w:val="000000" w:themeColor="text1"/>
                      <w:sz w:val="22"/>
                      <w:szCs w:val="22"/>
                      <w:u w:val="none"/>
                      <w:lang w:val="en-US" w:eastAsia="zh-CN"/>
                    </w:rPr>
                    <w:t>2.94</w:t>
                  </w:r>
                  <w:r>
                    <w:rPr>
                      <w:szCs w:val="21"/>
                      <w:u w:val="none"/>
                    </w:rPr>
                    <w:t>μg/m³</w:t>
                  </w:r>
                </w:p>
              </w:tc>
              <w:tc>
                <w:tcPr>
                  <w:tcW w:w="3047" w:type="dxa"/>
                  <w:tcMar>
                    <w:left w:w="0" w:type="dxa"/>
                    <w:right w:w="0" w:type="dxa"/>
                  </w:tcMar>
                  <w:vAlign w:val="center"/>
                </w:tcPr>
                <w:p>
                  <w:pPr>
                    <w:snapToGrid w:val="0"/>
                    <w:jc w:val="center"/>
                    <w:rPr>
                      <w:szCs w:val="21"/>
                      <w:u w:val="none"/>
                    </w:rPr>
                  </w:pPr>
                  <w:r>
                    <w:rPr>
                      <w:rFonts w:hint="eastAsia"/>
                      <w:szCs w:val="21"/>
                      <w:u w:val="none"/>
                      <w:lang w:val="en-US" w:eastAsia="zh-CN"/>
                    </w:rPr>
                    <w:t>85</w:t>
                  </w:r>
                  <w:r>
                    <w:rPr>
                      <w:rFonts w:hint="eastAsia"/>
                      <w:szCs w:val="21"/>
                      <w:u w:val="none"/>
                    </w:rPr>
                    <w:t>m</w:t>
                  </w:r>
                </w:p>
              </w:tc>
            </w:tr>
          </w:tbl>
          <w:p>
            <w:pPr>
              <w:spacing w:line="360" w:lineRule="auto"/>
              <w:ind w:firstLine="480" w:firstLineChars="200"/>
              <w:rPr>
                <w:sz w:val="24"/>
                <w:szCs w:val="24"/>
                <w:u w:val="none"/>
              </w:rPr>
            </w:pPr>
            <w:r>
              <w:rPr>
                <w:sz w:val="24"/>
                <w:szCs w:val="24"/>
                <w:u w:val="none"/>
              </w:rPr>
              <w:t>由</w:t>
            </w:r>
            <w:r>
              <w:rPr>
                <w:rFonts w:hint="eastAsia"/>
                <w:sz w:val="24"/>
                <w:szCs w:val="24"/>
                <w:u w:val="none"/>
              </w:rPr>
              <w:t>上表</w:t>
            </w:r>
            <w:r>
              <w:rPr>
                <w:sz w:val="24"/>
                <w:szCs w:val="24"/>
                <w:u w:val="none"/>
              </w:rPr>
              <w:t>可</w:t>
            </w:r>
            <w:r>
              <w:rPr>
                <w:rFonts w:hint="eastAsia"/>
                <w:sz w:val="24"/>
                <w:szCs w:val="24"/>
                <w:u w:val="none"/>
              </w:rPr>
              <w:t>知</w:t>
            </w:r>
            <w:r>
              <w:rPr>
                <w:sz w:val="24"/>
                <w:szCs w:val="24"/>
                <w:u w:val="none"/>
              </w:rPr>
              <w:t>，</w:t>
            </w:r>
            <w:r>
              <w:rPr>
                <w:rFonts w:hint="eastAsia" w:hAnsi="宋体"/>
                <w:sz w:val="24"/>
                <w:szCs w:val="24"/>
                <w:u w:val="none"/>
              </w:rPr>
              <w:t>本项目</w:t>
            </w:r>
            <w:r>
              <w:rPr>
                <w:rFonts w:hint="eastAsia"/>
                <w:sz w:val="24"/>
                <w:szCs w:val="24"/>
                <w:u w:val="none"/>
              </w:rPr>
              <w:t>无组织颗粒物对厂界外最大落地浓度均</w:t>
            </w:r>
            <w:r>
              <w:rPr>
                <w:rFonts w:hAnsi="宋体"/>
                <w:sz w:val="24"/>
                <w:szCs w:val="24"/>
                <w:u w:val="none"/>
              </w:rPr>
              <w:t>能够满足</w:t>
            </w:r>
            <w:r>
              <w:rPr>
                <w:rFonts w:hint="eastAsia" w:hAnsi="宋体"/>
                <w:sz w:val="24"/>
                <w:szCs w:val="24"/>
                <w:u w:val="none"/>
              </w:rPr>
              <w:t>《大气污染物综合排放标准》（GB16297-1996）中表2</w:t>
            </w:r>
            <w:r>
              <w:rPr>
                <w:rFonts w:hint="eastAsia"/>
                <w:sz w:val="24"/>
                <w:szCs w:val="24"/>
                <w:u w:val="none"/>
              </w:rPr>
              <w:t>“</w:t>
            </w:r>
            <w:r>
              <w:rPr>
                <w:rFonts w:hAnsi="宋体"/>
                <w:sz w:val="24"/>
                <w:szCs w:val="24"/>
                <w:u w:val="none"/>
              </w:rPr>
              <w:t>无组织排放监控浓度限值</w:t>
            </w:r>
            <w:r>
              <w:rPr>
                <w:rFonts w:hint="eastAsia"/>
                <w:sz w:val="24"/>
                <w:szCs w:val="24"/>
                <w:u w:val="none"/>
              </w:rPr>
              <w:t>”</w:t>
            </w:r>
            <w:r>
              <w:rPr>
                <w:rFonts w:hAnsi="宋体"/>
                <w:sz w:val="24"/>
                <w:szCs w:val="24"/>
                <w:u w:val="none"/>
              </w:rPr>
              <w:t>要求。</w:t>
            </w:r>
            <w:r>
              <w:rPr>
                <w:rFonts w:hint="eastAsia"/>
                <w:sz w:val="24"/>
                <w:szCs w:val="24"/>
                <w:u w:val="none"/>
              </w:rPr>
              <w:t>本项目无组织排放粉尘对周围环境空气影响较小。</w:t>
            </w:r>
          </w:p>
          <w:p>
            <w:pPr>
              <w:spacing w:line="360" w:lineRule="auto"/>
              <w:rPr>
                <w:color w:val="000000"/>
                <w:sz w:val="24"/>
                <w:u w:val="none"/>
              </w:rPr>
            </w:pPr>
            <w:r>
              <w:rPr>
                <w:rFonts w:hint="eastAsia"/>
                <w:color w:val="000000"/>
                <w:sz w:val="24"/>
                <w:u w:val="none"/>
              </w:rPr>
              <w:t>1.6污染物排放量核算</w:t>
            </w:r>
          </w:p>
          <w:p>
            <w:pPr>
              <w:spacing w:line="360" w:lineRule="auto"/>
              <w:ind w:firstLine="480"/>
              <w:rPr>
                <w:color w:val="000000"/>
                <w:sz w:val="24"/>
                <w:u w:val="none"/>
              </w:rPr>
            </w:pPr>
            <w:r>
              <w:rPr>
                <w:rFonts w:hint="eastAsia"/>
                <w:color w:val="000000"/>
                <w:sz w:val="24"/>
                <w:u w:val="none"/>
              </w:rPr>
              <w:t>项目污染物排放量核算见下表。</w:t>
            </w:r>
          </w:p>
          <w:p>
            <w:pPr>
              <w:adjustRightInd w:val="0"/>
              <w:snapToGrid w:val="0"/>
              <w:jc w:val="center"/>
              <w:rPr>
                <w:rFonts w:ascii="黑体" w:hAnsi="黑体" w:eastAsia="黑体"/>
                <w:color w:val="000000"/>
                <w:sz w:val="24"/>
                <w:u w:val="none"/>
              </w:rPr>
            </w:pPr>
            <w:r>
              <w:rPr>
                <w:rFonts w:hint="eastAsia" w:ascii="黑体" w:hAnsi="黑体" w:eastAsia="黑体"/>
                <w:color w:val="000000"/>
                <w:sz w:val="24"/>
                <w:u w:val="none"/>
              </w:rPr>
              <w:t>表2</w:t>
            </w:r>
            <w:r>
              <w:rPr>
                <w:rFonts w:hint="eastAsia" w:ascii="黑体" w:hAnsi="黑体" w:eastAsia="黑体"/>
                <w:color w:val="000000"/>
                <w:sz w:val="24"/>
                <w:u w:val="none"/>
                <w:lang w:val="en-US" w:eastAsia="zh-CN"/>
              </w:rPr>
              <w:t>4</w:t>
            </w:r>
            <w:r>
              <w:rPr>
                <w:rFonts w:hint="eastAsia" w:ascii="黑体" w:hAnsi="黑体" w:eastAsia="黑体"/>
                <w:color w:val="000000"/>
                <w:sz w:val="24"/>
                <w:u w:val="none"/>
              </w:rPr>
              <w:t xml:space="preserve">   </w:t>
            </w:r>
            <w:r>
              <w:rPr>
                <w:rFonts w:hint="eastAsia" w:ascii="黑体" w:hAnsi="黑体" w:eastAsia="黑体"/>
                <w:color w:val="000000"/>
                <w:sz w:val="24"/>
                <w:u w:val="none"/>
                <w:lang w:val="en-US" w:eastAsia="zh-CN"/>
              </w:rPr>
              <w:t xml:space="preserve">  </w:t>
            </w:r>
            <w:r>
              <w:rPr>
                <w:rFonts w:hint="eastAsia" w:ascii="黑体" w:hAnsi="黑体" w:eastAsia="黑体"/>
                <w:color w:val="000000"/>
                <w:sz w:val="24"/>
                <w:u w:val="none"/>
              </w:rPr>
              <w:t xml:space="preserve">  大气污染物有组织排放量核算表 </w:t>
            </w:r>
          </w:p>
          <w:tbl>
            <w:tblPr>
              <w:tblStyle w:val="28"/>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8"/>
              <w:gridCol w:w="1842"/>
              <w:gridCol w:w="1623"/>
              <w:gridCol w:w="170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30" w:type="dxa"/>
                  <w:vAlign w:val="center"/>
                </w:tcPr>
                <w:p>
                  <w:pPr>
                    <w:jc w:val="center"/>
                    <w:rPr>
                      <w:color w:val="000000"/>
                      <w:sz w:val="18"/>
                      <w:szCs w:val="18"/>
                      <w:u w:val="none"/>
                    </w:rPr>
                  </w:pPr>
                  <w:r>
                    <w:rPr>
                      <w:rFonts w:hint="eastAsia"/>
                      <w:color w:val="000000"/>
                      <w:sz w:val="18"/>
                      <w:szCs w:val="18"/>
                      <w:u w:val="none"/>
                    </w:rPr>
                    <w:t>序号</w:t>
                  </w:r>
                </w:p>
              </w:tc>
              <w:tc>
                <w:tcPr>
                  <w:tcW w:w="1418" w:type="dxa"/>
                  <w:vAlign w:val="center"/>
                </w:tcPr>
                <w:p>
                  <w:pPr>
                    <w:jc w:val="center"/>
                    <w:rPr>
                      <w:color w:val="000000"/>
                      <w:sz w:val="18"/>
                      <w:szCs w:val="18"/>
                      <w:u w:val="none"/>
                    </w:rPr>
                  </w:pPr>
                  <w:r>
                    <w:rPr>
                      <w:rFonts w:hint="eastAsia"/>
                      <w:color w:val="000000"/>
                      <w:sz w:val="18"/>
                      <w:szCs w:val="18"/>
                      <w:u w:val="none"/>
                    </w:rPr>
                    <w:t>排放口编号</w:t>
                  </w:r>
                </w:p>
              </w:tc>
              <w:tc>
                <w:tcPr>
                  <w:tcW w:w="1842" w:type="dxa"/>
                  <w:vAlign w:val="center"/>
                </w:tcPr>
                <w:p>
                  <w:pPr>
                    <w:pStyle w:val="6"/>
                    <w:spacing w:line="240" w:lineRule="auto"/>
                    <w:ind w:firstLine="0" w:firstLineChars="0"/>
                    <w:jc w:val="center"/>
                    <w:rPr>
                      <w:sz w:val="18"/>
                      <w:szCs w:val="18"/>
                      <w:u w:val="none"/>
                    </w:rPr>
                  </w:pPr>
                  <w:r>
                    <w:rPr>
                      <w:rFonts w:hint="eastAsia"/>
                      <w:sz w:val="18"/>
                      <w:szCs w:val="18"/>
                      <w:u w:val="none"/>
                    </w:rPr>
                    <w:t>污染物</w:t>
                  </w:r>
                </w:p>
              </w:tc>
              <w:tc>
                <w:tcPr>
                  <w:tcW w:w="1623" w:type="dxa"/>
                  <w:vAlign w:val="center"/>
                </w:tcPr>
                <w:p>
                  <w:pPr>
                    <w:pStyle w:val="6"/>
                    <w:spacing w:line="240" w:lineRule="auto"/>
                    <w:ind w:firstLine="0" w:firstLineChars="0"/>
                    <w:jc w:val="center"/>
                    <w:rPr>
                      <w:sz w:val="18"/>
                      <w:szCs w:val="18"/>
                      <w:u w:val="none"/>
                    </w:rPr>
                  </w:pPr>
                  <w:r>
                    <w:rPr>
                      <w:rFonts w:hint="eastAsia"/>
                      <w:sz w:val="18"/>
                      <w:szCs w:val="18"/>
                      <w:u w:val="none"/>
                    </w:rPr>
                    <w:t>核算排放浓度/（</w:t>
                  </w:r>
                  <w:r>
                    <w:rPr>
                      <w:rFonts w:hint="eastAsia"/>
                      <w:bCs/>
                      <w:sz w:val="18"/>
                      <w:szCs w:val="18"/>
                      <w:u w:val="none"/>
                    </w:rPr>
                    <w:t>m</w:t>
                  </w:r>
                  <w:r>
                    <w:rPr>
                      <w:rFonts w:hint="eastAsia"/>
                      <w:sz w:val="18"/>
                      <w:szCs w:val="18"/>
                      <w:u w:val="none"/>
                    </w:rPr>
                    <w:t>g/m</w:t>
                  </w:r>
                  <w:r>
                    <w:rPr>
                      <w:rFonts w:hint="eastAsia"/>
                      <w:sz w:val="18"/>
                      <w:szCs w:val="18"/>
                      <w:u w:val="none"/>
                      <w:vertAlign w:val="superscript"/>
                    </w:rPr>
                    <w:t>3</w:t>
                  </w:r>
                  <w:r>
                    <w:rPr>
                      <w:rFonts w:hint="eastAsia"/>
                      <w:sz w:val="18"/>
                      <w:szCs w:val="18"/>
                      <w:u w:val="none"/>
                    </w:rPr>
                    <w:t>）</w:t>
                  </w:r>
                </w:p>
              </w:tc>
              <w:tc>
                <w:tcPr>
                  <w:tcW w:w="1701" w:type="dxa"/>
                </w:tcPr>
                <w:p>
                  <w:pPr>
                    <w:pStyle w:val="6"/>
                    <w:spacing w:line="240" w:lineRule="auto"/>
                    <w:ind w:firstLine="0" w:firstLineChars="0"/>
                    <w:jc w:val="center"/>
                    <w:rPr>
                      <w:sz w:val="18"/>
                      <w:szCs w:val="18"/>
                      <w:u w:val="none"/>
                    </w:rPr>
                  </w:pPr>
                  <w:r>
                    <w:rPr>
                      <w:rFonts w:hint="eastAsia"/>
                      <w:color w:val="000000"/>
                      <w:sz w:val="18"/>
                      <w:szCs w:val="18"/>
                      <w:u w:val="none"/>
                    </w:rPr>
                    <w:t>核算排放速率/（kg/h）</w:t>
                  </w:r>
                </w:p>
              </w:tc>
              <w:tc>
                <w:tcPr>
                  <w:tcW w:w="1641" w:type="dxa"/>
                </w:tcPr>
                <w:p>
                  <w:pPr>
                    <w:pStyle w:val="6"/>
                    <w:spacing w:line="240" w:lineRule="auto"/>
                    <w:ind w:firstLine="0" w:firstLineChars="0"/>
                    <w:jc w:val="center"/>
                    <w:rPr>
                      <w:sz w:val="18"/>
                      <w:szCs w:val="18"/>
                      <w:u w:val="none"/>
                    </w:rPr>
                  </w:pPr>
                  <w:r>
                    <w:rPr>
                      <w:rFonts w:hint="eastAsia"/>
                      <w:sz w:val="18"/>
                      <w:szCs w:val="18"/>
                      <w:u w:val="none"/>
                    </w:rPr>
                    <w:t>核算年</w:t>
                  </w:r>
                </w:p>
                <w:p>
                  <w:pPr>
                    <w:pStyle w:val="6"/>
                    <w:spacing w:line="240" w:lineRule="auto"/>
                    <w:ind w:firstLine="0" w:firstLineChars="0"/>
                    <w:jc w:val="center"/>
                    <w:rPr>
                      <w:sz w:val="18"/>
                      <w:szCs w:val="18"/>
                      <w:u w:val="none"/>
                    </w:rPr>
                  </w:pPr>
                  <w:r>
                    <w:rPr>
                      <w:rFonts w:hint="eastAsia"/>
                      <w:sz w:val="18"/>
                      <w:szCs w:val="18"/>
                      <w:u w:val="none"/>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0" w:type="dxa"/>
                  <w:vAlign w:val="center"/>
                </w:tcPr>
                <w:p>
                  <w:pPr>
                    <w:jc w:val="center"/>
                    <w:rPr>
                      <w:color w:val="000000" w:themeColor="text1"/>
                      <w:sz w:val="18"/>
                      <w:szCs w:val="18"/>
                      <w:u w:val="none"/>
                    </w:rPr>
                  </w:pPr>
                  <w:r>
                    <w:rPr>
                      <w:rFonts w:hint="eastAsia"/>
                      <w:color w:val="000000" w:themeColor="text1"/>
                      <w:sz w:val="18"/>
                      <w:szCs w:val="18"/>
                      <w:u w:val="none"/>
                    </w:rPr>
                    <w:t>1</w:t>
                  </w:r>
                </w:p>
              </w:tc>
              <w:tc>
                <w:tcPr>
                  <w:tcW w:w="1418" w:type="dxa"/>
                  <w:vAlign w:val="center"/>
                </w:tcPr>
                <w:p>
                  <w:pPr>
                    <w:jc w:val="center"/>
                    <w:rPr>
                      <w:color w:val="000000" w:themeColor="text1"/>
                      <w:sz w:val="18"/>
                      <w:szCs w:val="18"/>
                      <w:u w:val="none"/>
                    </w:rPr>
                  </w:pPr>
                  <w:r>
                    <w:rPr>
                      <w:rFonts w:hint="eastAsia"/>
                      <w:color w:val="000000" w:themeColor="text1"/>
                      <w:sz w:val="18"/>
                      <w:szCs w:val="18"/>
                      <w:u w:val="none"/>
                    </w:rPr>
                    <w:t>排气筒</w:t>
                  </w:r>
                </w:p>
              </w:tc>
              <w:tc>
                <w:tcPr>
                  <w:tcW w:w="1842" w:type="dxa"/>
                  <w:vAlign w:val="center"/>
                </w:tcPr>
                <w:p>
                  <w:pPr>
                    <w:pStyle w:val="6"/>
                    <w:spacing w:line="240" w:lineRule="auto"/>
                    <w:ind w:firstLine="0" w:firstLineChars="0"/>
                    <w:jc w:val="center"/>
                    <w:rPr>
                      <w:sz w:val="18"/>
                      <w:szCs w:val="18"/>
                      <w:u w:val="none"/>
                    </w:rPr>
                  </w:pPr>
                  <w:r>
                    <w:rPr>
                      <w:rFonts w:hint="eastAsia"/>
                      <w:sz w:val="18"/>
                      <w:szCs w:val="18"/>
                      <w:u w:val="none"/>
                    </w:rPr>
                    <w:t>颗粒物</w:t>
                  </w:r>
                </w:p>
              </w:tc>
              <w:tc>
                <w:tcPr>
                  <w:tcW w:w="1623" w:type="dxa"/>
                </w:tcPr>
                <w:p>
                  <w:pPr>
                    <w:jc w:val="center"/>
                    <w:rPr>
                      <w:bCs/>
                      <w:color w:val="000000" w:themeColor="text1"/>
                      <w:sz w:val="18"/>
                      <w:szCs w:val="18"/>
                      <w:u w:val="none"/>
                    </w:rPr>
                  </w:pPr>
                  <w:r>
                    <w:rPr>
                      <w:rFonts w:hint="eastAsia"/>
                      <w:bCs/>
                      <w:color w:val="000000" w:themeColor="text1"/>
                      <w:sz w:val="18"/>
                      <w:szCs w:val="18"/>
                      <w:u w:val="none"/>
                      <w:lang w:val="en-US" w:eastAsia="zh-CN"/>
                    </w:rPr>
                    <w:t>1.65</w:t>
                  </w:r>
                  <w:r>
                    <w:rPr>
                      <w:rFonts w:hint="eastAsia"/>
                      <w:bCs/>
                      <w:color w:val="000000" w:themeColor="text1"/>
                      <w:sz w:val="18"/>
                      <w:szCs w:val="18"/>
                      <w:u w:val="none"/>
                    </w:rPr>
                    <w:t>mg/m</w:t>
                  </w:r>
                  <w:r>
                    <w:rPr>
                      <w:rFonts w:hint="eastAsia"/>
                      <w:bCs/>
                      <w:color w:val="000000" w:themeColor="text1"/>
                      <w:sz w:val="18"/>
                      <w:szCs w:val="18"/>
                      <w:u w:val="none"/>
                      <w:vertAlign w:val="superscript"/>
                    </w:rPr>
                    <w:t>3</w:t>
                  </w:r>
                </w:p>
              </w:tc>
              <w:tc>
                <w:tcPr>
                  <w:tcW w:w="1701" w:type="dxa"/>
                </w:tcPr>
                <w:p>
                  <w:pPr>
                    <w:jc w:val="center"/>
                    <w:rPr>
                      <w:bCs/>
                      <w:color w:val="000000" w:themeColor="text1"/>
                      <w:sz w:val="18"/>
                      <w:szCs w:val="18"/>
                      <w:u w:val="none"/>
                    </w:rPr>
                  </w:pPr>
                  <w:r>
                    <w:rPr>
                      <w:rFonts w:hint="eastAsia"/>
                      <w:bCs/>
                      <w:color w:val="000000" w:themeColor="text1"/>
                      <w:sz w:val="18"/>
                      <w:szCs w:val="18"/>
                      <w:u w:val="none"/>
                    </w:rPr>
                    <w:t>0.0</w:t>
                  </w:r>
                  <w:r>
                    <w:rPr>
                      <w:rFonts w:hint="eastAsia"/>
                      <w:bCs/>
                      <w:color w:val="000000" w:themeColor="text1"/>
                      <w:sz w:val="18"/>
                      <w:szCs w:val="18"/>
                      <w:u w:val="none"/>
                      <w:lang w:val="en-US" w:eastAsia="zh-CN"/>
                    </w:rPr>
                    <w:t>022</w:t>
                  </w:r>
                  <w:r>
                    <w:rPr>
                      <w:rFonts w:hint="eastAsia"/>
                      <w:bCs/>
                      <w:color w:val="000000" w:themeColor="text1"/>
                      <w:sz w:val="18"/>
                      <w:szCs w:val="18"/>
                      <w:u w:val="none"/>
                    </w:rPr>
                    <w:t>kg/h</w:t>
                  </w:r>
                </w:p>
              </w:tc>
              <w:tc>
                <w:tcPr>
                  <w:tcW w:w="1641" w:type="dxa"/>
                  <w:vAlign w:val="center"/>
                </w:tcPr>
                <w:p>
                  <w:pPr>
                    <w:jc w:val="center"/>
                    <w:rPr>
                      <w:bCs/>
                      <w:color w:val="000000" w:themeColor="text1"/>
                      <w:sz w:val="18"/>
                      <w:szCs w:val="18"/>
                      <w:u w:val="none"/>
                    </w:rPr>
                  </w:pPr>
                  <w:r>
                    <w:rPr>
                      <w:rFonts w:eastAsia="黑体"/>
                      <w:sz w:val="18"/>
                      <w:szCs w:val="18"/>
                      <w:u w:val="none"/>
                    </w:rPr>
                    <w:t>0.0</w:t>
                  </w:r>
                  <w:r>
                    <w:rPr>
                      <w:rFonts w:hint="eastAsia" w:eastAsia="黑体"/>
                      <w:sz w:val="18"/>
                      <w:szCs w:val="18"/>
                      <w:u w:val="none"/>
                      <w:lang w:val="en-US" w:eastAsia="zh-CN"/>
                    </w:rPr>
                    <w:t>023</w:t>
                  </w:r>
                  <w:r>
                    <w:rPr>
                      <w:rFonts w:hint="eastAsia"/>
                      <w:bCs/>
                      <w:color w:val="000000" w:themeColor="text1"/>
                      <w:sz w:val="18"/>
                      <w:szCs w:val="18"/>
                      <w:u w:val="none"/>
                    </w:rPr>
                    <w:t>t/a</w:t>
                  </w:r>
                </w:p>
              </w:tc>
            </w:tr>
          </w:tbl>
          <w:p>
            <w:pPr>
              <w:adjustRightInd w:val="0"/>
              <w:snapToGrid w:val="0"/>
              <w:ind w:firstLine="2400" w:firstLineChars="1000"/>
              <w:jc w:val="both"/>
              <w:rPr>
                <w:rFonts w:ascii="黑体" w:hAnsi="黑体" w:eastAsia="黑体"/>
                <w:color w:val="000000"/>
                <w:sz w:val="24"/>
                <w:u w:val="none"/>
              </w:rPr>
            </w:pPr>
            <w:r>
              <w:rPr>
                <w:rFonts w:hint="eastAsia" w:ascii="黑体" w:hAnsi="黑体" w:eastAsia="黑体"/>
                <w:color w:val="000000"/>
                <w:sz w:val="24"/>
                <w:u w:val="none"/>
              </w:rPr>
              <w:t>表2</w:t>
            </w:r>
            <w:r>
              <w:rPr>
                <w:rFonts w:hint="eastAsia" w:ascii="黑体" w:hAnsi="黑体" w:eastAsia="黑体"/>
                <w:color w:val="000000"/>
                <w:sz w:val="24"/>
                <w:u w:val="none"/>
                <w:lang w:val="en-US" w:eastAsia="zh-CN"/>
              </w:rPr>
              <w:t>5</w:t>
            </w:r>
            <w:r>
              <w:rPr>
                <w:rFonts w:hint="eastAsia" w:ascii="黑体" w:hAnsi="黑体" w:eastAsia="黑体"/>
                <w:color w:val="000000"/>
                <w:sz w:val="24"/>
                <w:u w:val="none"/>
              </w:rPr>
              <w:t xml:space="preserve"> </w:t>
            </w:r>
            <w:r>
              <w:rPr>
                <w:rFonts w:hint="eastAsia" w:ascii="黑体" w:hAnsi="黑体" w:eastAsia="黑体"/>
                <w:color w:val="000000"/>
                <w:sz w:val="24"/>
                <w:u w:val="none"/>
                <w:lang w:val="en-US" w:eastAsia="zh-CN"/>
              </w:rPr>
              <w:t xml:space="preserve">     </w:t>
            </w:r>
            <w:r>
              <w:rPr>
                <w:rFonts w:hint="eastAsia" w:ascii="黑体" w:hAnsi="黑体" w:eastAsia="黑体"/>
                <w:color w:val="000000"/>
                <w:sz w:val="24"/>
                <w:u w:val="none"/>
              </w:rPr>
              <w:t xml:space="preserve">  大气污染物无组组排放量核算表</w:t>
            </w:r>
          </w:p>
          <w:tbl>
            <w:tblPr>
              <w:tblStyle w:val="27"/>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87"/>
              <w:gridCol w:w="926"/>
              <w:gridCol w:w="1395"/>
              <w:gridCol w:w="977"/>
              <w:gridCol w:w="2092"/>
              <w:gridCol w:w="1216"/>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653" w:type="dxa"/>
                  <w:vMerge w:val="restart"/>
                  <w:vAlign w:val="center"/>
                </w:tcPr>
                <w:p>
                  <w:pPr>
                    <w:jc w:val="center"/>
                    <w:rPr>
                      <w:color w:val="000000"/>
                      <w:sz w:val="18"/>
                      <w:szCs w:val="18"/>
                      <w:u w:val="none"/>
                    </w:rPr>
                  </w:pPr>
                  <w:r>
                    <w:rPr>
                      <w:rFonts w:hint="eastAsia"/>
                      <w:color w:val="000000"/>
                      <w:sz w:val="18"/>
                      <w:szCs w:val="18"/>
                      <w:u w:val="none"/>
                    </w:rPr>
                    <w:t>序号</w:t>
                  </w:r>
                </w:p>
              </w:tc>
              <w:tc>
                <w:tcPr>
                  <w:tcW w:w="887" w:type="dxa"/>
                  <w:vMerge w:val="restart"/>
                  <w:vAlign w:val="center"/>
                </w:tcPr>
                <w:p>
                  <w:pPr>
                    <w:jc w:val="center"/>
                    <w:rPr>
                      <w:color w:val="000000"/>
                      <w:sz w:val="18"/>
                      <w:szCs w:val="18"/>
                      <w:u w:val="none"/>
                    </w:rPr>
                  </w:pPr>
                  <w:r>
                    <w:rPr>
                      <w:rFonts w:hint="eastAsia"/>
                      <w:color w:val="000000"/>
                      <w:sz w:val="18"/>
                      <w:szCs w:val="18"/>
                      <w:u w:val="none"/>
                    </w:rPr>
                    <w:t>排放口</w:t>
                  </w:r>
                </w:p>
                <w:p>
                  <w:pPr>
                    <w:jc w:val="center"/>
                    <w:rPr>
                      <w:color w:val="000000"/>
                      <w:sz w:val="18"/>
                      <w:szCs w:val="18"/>
                      <w:u w:val="none"/>
                    </w:rPr>
                  </w:pPr>
                  <w:r>
                    <w:rPr>
                      <w:rFonts w:hint="eastAsia"/>
                      <w:color w:val="000000"/>
                      <w:sz w:val="18"/>
                      <w:szCs w:val="18"/>
                      <w:u w:val="none"/>
                    </w:rPr>
                    <w:t>编号</w:t>
                  </w:r>
                </w:p>
              </w:tc>
              <w:tc>
                <w:tcPr>
                  <w:tcW w:w="926" w:type="dxa"/>
                  <w:vMerge w:val="restart"/>
                  <w:vAlign w:val="center"/>
                </w:tcPr>
                <w:p>
                  <w:pPr>
                    <w:jc w:val="center"/>
                    <w:rPr>
                      <w:color w:val="000000"/>
                      <w:sz w:val="18"/>
                      <w:szCs w:val="18"/>
                      <w:u w:val="none"/>
                    </w:rPr>
                  </w:pPr>
                  <w:r>
                    <w:rPr>
                      <w:rFonts w:hint="eastAsia"/>
                      <w:color w:val="000000"/>
                      <w:sz w:val="18"/>
                      <w:szCs w:val="18"/>
                      <w:u w:val="none"/>
                    </w:rPr>
                    <w:t>产污</w:t>
                  </w:r>
                </w:p>
                <w:p>
                  <w:pPr>
                    <w:jc w:val="center"/>
                    <w:rPr>
                      <w:color w:val="000000"/>
                      <w:sz w:val="18"/>
                      <w:szCs w:val="18"/>
                      <w:u w:val="none"/>
                    </w:rPr>
                  </w:pPr>
                  <w:r>
                    <w:rPr>
                      <w:rFonts w:hint="eastAsia"/>
                      <w:color w:val="000000"/>
                      <w:sz w:val="18"/>
                      <w:szCs w:val="18"/>
                      <w:u w:val="none"/>
                    </w:rPr>
                    <w:t>环节</w:t>
                  </w:r>
                </w:p>
              </w:tc>
              <w:tc>
                <w:tcPr>
                  <w:tcW w:w="1395" w:type="dxa"/>
                  <w:vMerge w:val="restart"/>
                  <w:vAlign w:val="center"/>
                </w:tcPr>
                <w:p>
                  <w:pPr>
                    <w:jc w:val="center"/>
                    <w:rPr>
                      <w:color w:val="000000"/>
                      <w:sz w:val="18"/>
                      <w:szCs w:val="18"/>
                      <w:u w:val="none"/>
                    </w:rPr>
                  </w:pPr>
                  <w:r>
                    <w:rPr>
                      <w:rFonts w:hint="eastAsia"/>
                      <w:color w:val="000000"/>
                      <w:sz w:val="18"/>
                      <w:szCs w:val="18"/>
                      <w:u w:val="none"/>
                    </w:rPr>
                    <w:t>污染物</w:t>
                  </w:r>
                </w:p>
              </w:tc>
              <w:tc>
                <w:tcPr>
                  <w:tcW w:w="977" w:type="dxa"/>
                  <w:vMerge w:val="restart"/>
                  <w:vAlign w:val="center"/>
                </w:tcPr>
                <w:p>
                  <w:pPr>
                    <w:jc w:val="center"/>
                    <w:rPr>
                      <w:color w:val="000000"/>
                      <w:sz w:val="18"/>
                      <w:szCs w:val="18"/>
                      <w:u w:val="none"/>
                    </w:rPr>
                  </w:pPr>
                  <w:r>
                    <w:rPr>
                      <w:rFonts w:hint="eastAsia"/>
                      <w:color w:val="000000"/>
                      <w:sz w:val="18"/>
                      <w:szCs w:val="18"/>
                      <w:u w:val="none"/>
                    </w:rPr>
                    <w:t>主要污染</w:t>
                  </w:r>
                </w:p>
                <w:p>
                  <w:pPr>
                    <w:jc w:val="center"/>
                    <w:rPr>
                      <w:color w:val="000000"/>
                      <w:sz w:val="18"/>
                      <w:szCs w:val="18"/>
                      <w:u w:val="none"/>
                    </w:rPr>
                  </w:pPr>
                  <w:r>
                    <w:rPr>
                      <w:rFonts w:hint="eastAsia"/>
                      <w:color w:val="000000"/>
                      <w:sz w:val="18"/>
                      <w:szCs w:val="18"/>
                      <w:u w:val="none"/>
                    </w:rPr>
                    <w:t>防治措施</w:t>
                  </w:r>
                </w:p>
              </w:tc>
              <w:tc>
                <w:tcPr>
                  <w:tcW w:w="3308" w:type="dxa"/>
                  <w:gridSpan w:val="2"/>
                  <w:vAlign w:val="center"/>
                </w:tcPr>
                <w:p>
                  <w:pPr>
                    <w:jc w:val="center"/>
                    <w:rPr>
                      <w:color w:val="000000"/>
                      <w:sz w:val="18"/>
                      <w:szCs w:val="18"/>
                      <w:u w:val="none"/>
                    </w:rPr>
                  </w:pPr>
                  <w:r>
                    <w:rPr>
                      <w:rFonts w:hint="eastAsia"/>
                      <w:color w:val="000000"/>
                      <w:sz w:val="18"/>
                      <w:szCs w:val="18"/>
                      <w:u w:val="none"/>
                    </w:rPr>
                    <w:t>国家或地方污染物排放标准</w:t>
                  </w:r>
                </w:p>
              </w:tc>
              <w:tc>
                <w:tcPr>
                  <w:tcW w:w="968" w:type="dxa"/>
                  <w:vMerge w:val="restart"/>
                  <w:vAlign w:val="center"/>
                </w:tcPr>
                <w:p>
                  <w:pPr>
                    <w:jc w:val="center"/>
                    <w:rPr>
                      <w:color w:val="000000"/>
                      <w:sz w:val="18"/>
                      <w:szCs w:val="18"/>
                      <w:u w:val="none"/>
                    </w:rPr>
                  </w:pPr>
                  <w:r>
                    <w:rPr>
                      <w:rFonts w:hint="eastAsia"/>
                      <w:color w:val="000000"/>
                      <w:sz w:val="18"/>
                      <w:szCs w:val="18"/>
                      <w:u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53" w:type="dxa"/>
                  <w:vMerge w:val="continue"/>
                  <w:vAlign w:val="center"/>
                </w:tcPr>
                <w:p>
                  <w:pPr>
                    <w:jc w:val="center"/>
                    <w:rPr>
                      <w:color w:val="000000"/>
                      <w:sz w:val="18"/>
                      <w:szCs w:val="18"/>
                      <w:u w:val="none"/>
                    </w:rPr>
                  </w:pPr>
                </w:p>
              </w:tc>
              <w:tc>
                <w:tcPr>
                  <w:tcW w:w="887" w:type="dxa"/>
                  <w:vMerge w:val="continue"/>
                  <w:vAlign w:val="center"/>
                </w:tcPr>
                <w:p>
                  <w:pPr>
                    <w:jc w:val="center"/>
                    <w:rPr>
                      <w:color w:val="000000"/>
                      <w:sz w:val="18"/>
                      <w:szCs w:val="18"/>
                      <w:u w:val="none"/>
                    </w:rPr>
                  </w:pPr>
                </w:p>
              </w:tc>
              <w:tc>
                <w:tcPr>
                  <w:tcW w:w="926" w:type="dxa"/>
                  <w:vMerge w:val="continue"/>
                  <w:vAlign w:val="center"/>
                </w:tcPr>
                <w:p>
                  <w:pPr>
                    <w:jc w:val="center"/>
                    <w:rPr>
                      <w:color w:val="000000"/>
                      <w:sz w:val="18"/>
                      <w:szCs w:val="18"/>
                      <w:u w:val="none"/>
                    </w:rPr>
                  </w:pPr>
                </w:p>
              </w:tc>
              <w:tc>
                <w:tcPr>
                  <w:tcW w:w="1395" w:type="dxa"/>
                  <w:vMerge w:val="continue"/>
                  <w:vAlign w:val="center"/>
                </w:tcPr>
                <w:p>
                  <w:pPr>
                    <w:jc w:val="center"/>
                    <w:rPr>
                      <w:color w:val="000000"/>
                      <w:sz w:val="18"/>
                      <w:szCs w:val="18"/>
                      <w:u w:val="none"/>
                    </w:rPr>
                  </w:pPr>
                </w:p>
              </w:tc>
              <w:tc>
                <w:tcPr>
                  <w:tcW w:w="977" w:type="dxa"/>
                  <w:vMerge w:val="continue"/>
                  <w:vAlign w:val="center"/>
                </w:tcPr>
                <w:p>
                  <w:pPr>
                    <w:jc w:val="center"/>
                    <w:rPr>
                      <w:color w:val="000000"/>
                      <w:sz w:val="18"/>
                      <w:szCs w:val="18"/>
                      <w:u w:val="none"/>
                    </w:rPr>
                  </w:pPr>
                </w:p>
              </w:tc>
              <w:tc>
                <w:tcPr>
                  <w:tcW w:w="2092" w:type="dxa"/>
                  <w:vAlign w:val="center"/>
                </w:tcPr>
                <w:p>
                  <w:pPr>
                    <w:jc w:val="center"/>
                    <w:rPr>
                      <w:color w:val="000000"/>
                      <w:sz w:val="18"/>
                      <w:szCs w:val="18"/>
                      <w:u w:val="none"/>
                    </w:rPr>
                  </w:pPr>
                  <w:r>
                    <w:rPr>
                      <w:rFonts w:hint="eastAsia"/>
                      <w:color w:val="000000"/>
                      <w:sz w:val="18"/>
                      <w:szCs w:val="18"/>
                      <w:u w:val="none"/>
                    </w:rPr>
                    <w:t>标准名称</w:t>
                  </w:r>
                </w:p>
              </w:tc>
              <w:tc>
                <w:tcPr>
                  <w:tcW w:w="1216" w:type="dxa"/>
                  <w:vAlign w:val="center"/>
                </w:tcPr>
                <w:p>
                  <w:pPr>
                    <w:jc w:val="center"/>
                    <w:rPr>
                      <w:color w:val="000000"/>
                      <w:sz w:val="18"/>
                      <w:szCs w:val="18"/>
                      <w:u w:val="none"/>
                    </w:rPr>
                  </w:pPr>
                  <w:r>
                    <w:rPr>
                      <w:rFonts w:hint="eastAsia"/>
                      <w:color w:val="000000"/>
                      <w:sz w:val="18"/>
                      <w:szCs w:val="18"/>
                      <w:u w:val="none"/>
                    </w:rPr>
                    <w:t>浓度限值/（</w:t>
                  </w:r>
                  <w:r>
                    <w:rPr>
                      <w:color w:val="000000"/>
                      <w:sz w:val="18"/>
                      <w:szCs w:val="18"/>
                      <w:u w:val="none"/>
                    </w:rPr>
                    <w:t>µ</w:t>
                  </w:r>
                  <w:r>
                    <w:rPr>
                      <w:rFonts w:hint="eastAsia"/>
                      <w:color w:val="000000"/>
                      <w:sz w:val="18"/>
                      <w:szCs w:val="18"/>
                      <w:u w:val="none"/>
                    </w:rPr>
                    <w:t>g/m</w:t>
                  </w:r>
                  <w:r>
                    <w:rPr>
                      <w:rFonts w:hint="eastAsia"/>
                      <w:color w:val="000000"/>
                      <w:sz w:val="18"/>
                      <w:szCs w:val="18"/>
                      <w:u w:val="none"/>
                      <w:vertAlign w:val="superscript"/>
                    </w:rPr>
                    <w:t>3</w:t>
                  </w:r>
                  <w:r>
                    <w:rPr>
                      <w:rFonts w:hint="eastAsia"/>
                      <w:color w:val="000000"/>
                      <w:sz w:val="18"/>
                      <w:szCs w:val="18"/>
                      <w:u w:val="none"/>
                    </w:rPr>
                    <w:t>）</w:t>
                  </w:r>
                </w:p>
              </w:tc>
              <w:tc>
                <w:tcPr>
                  <w:tcW w:w="968" w:type="dxa"/>
                  <w:vMerge w:val="continue"/>
                  <w:vAlign w:val="center"/>
                </w:tcPr>
                <w:p>
                  <w:pPr>
                    <w:jc w:val="center"/>
                    <w:rPr>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53" w:type="dxa"/>
                  <w:vAlign w:val="center"/>
                </w:tcPr>
                <w:p>
                  <w:pPr>
                    <w:jc w:val="center"/>
                    <w:rPr>
                      <w:color w:val="000000"/>
                      <w:sz w:val="18"/>
                      <w:szCs w:val="18"/>
                      <w:u w:val="none"/>
                    </w:rPr>
                  </w:pPr>
                  <w:r>
                    <w:rPr>
                      <w:rFonts w:hint="eastAsia"/>
                      <w:color w:val="000000"/>
                      <w:sz w:val="18"/>
                      <w:szCs w:val="18"/>
                      <w:u w:val="none"/>
                    </w:rPr>
                    <w:t>1</w:t>
                  </w:r>
                </w:p>
              </w:tc>
              <w:tc>
                <w:tcPr>
                  <w:tcW w:w="887" w:type="dxa"/>
                  <w:vAlign w:val="center"/>
                </w:tcPr>
                <w:p>
                  <w:pPr>
                    <w:jc w:val="center"/>
                    <w:rPr>
                      <w:color w:val="000000"/>
                      <w:sz w:val="18"/>
                      <w:szCs w:val="18"/>
                      <w:u w:val="none"/>
                    </w:rPr>
                  </w:pPr>
                  <w:r>
                    <w:rPr>
                      <w:rFonts w:hint="eastAsia"/>
                      <w:color w:val="000000"/>
                      <w:sz w:val="18"/>
                      <w:szCs w:val="18"/>
                      <w:u w:val="none"/>
                    </w:rPr>
                    <w:t>生产</w:t>
                  </w:r>
                </w:p>
                <w:p>
                  <w:pPr>
                    <w:jc w:val="center"/>
                    <w:rPr>
                      <w:color w:val="000000"/>
                      <w:sz w:val="18"/>
                      <w:szCs w:val="18"/>
                      <w:u w:val="none"/>
                    </w:rPr>
                  </w:pPr>
                  <w:r>
                    <w:rPr>
                      <w:rFonts w:hint="eastAsia"/>
                      <w:color w:val="000000"/>
                      <w:sz w:val="18"/>
                      <w:szCs w:val="18"/>
                      <w:u w:val="none"/>
                    </w:rPr>
                    <w:t>车间</w:t>
                  </w:r>
                </w:p>
              </w:tc>
              <w:tc>
                <w:tcPr>
                  <w:tcW w:w="926" w:type="dxa"/>
                  <w:vAlign w:val="center"/>
                </w:tcPr>
                <w:p>
                  <w:pPr>
                    <w:jc w:val="center"/>
                    <w:rPr>
                      <w:color w:val="000000"/>
                      <w:sz w:val="18"/>
                      <w:szCs w:val="18"/>
                      <w:u w:val="none"/>
                    </w:rPr>
                  </w:pPr>
                  <w:r>
                    <w:rPr>
                      <w:rFonts w:hint="eastAsia"/>
                      <w:color w:val="000000"/>
                      <w:sz w:val="18"/>
                      <w:szCs w:val="18"/>
                      <w:u w:val="none"/>
                    </w:rPr>
                    <w:t>焊接</w:t>
                  </w:r>
                </w:p>
              </w:tc>
              <w:tc>
                <w:tcPr>
                  <w:tcW w:w="1395" w:type="dxa"/>
                  <w:vAlign w:val="center"/>
                </w:tcPr>
                <w:p>
                  <w:pPr>
                    <w:pStyle w:val="6"/>
                    <w:spacing w:line="240" w:lineRule="auto"/>
                    <w:ind w:firstLine="0" w:firstLineChars="0"/>
                    <w:jc w:val="center"/>
                    <w:rPr>
                      <w:sz w:val="18"/>
                      <w:szCs w:val="18"/>
                      <w:u w:val="none"/>
                    </w:rPr>
                  </w:pPr>
                  <w:r>
                    <w:rPr>
                      <w:rFonts w:hint="eastAsia"/>
                      <w:sz w:val="18"/>
                      <w:szCs w:val="18"/>
                      <w:u w:val="none"/>
                    </w:rPr>
                    <w:t>颗粒物</w:t>
                  </w:r>
                </w:p>
              </w:tc>
              <w:tc>
                <w:tcPr>
                  <w:tcW w:w="977" w:type="dxa"/>
                  <w:vAlign w:val="center"/>
                </w:tcPr>
                <w:p>
                  <w:pPr>
                    <w:jc w:val="center"/>
                    <w:rPr>
                      <w:color w:val="000000"/>
                      <w:sz w:val="18"/>
                      <w:szCs w:val="18"/>
                      <w:u w:val="none"/>
                    </w:rPr>
                  </w:pPr>
                  <w:r>
                    <w:rPr>
                      <w:rFonts w:hint="eastAsia"/>
                      <w:color w:val="000000"/>
                      <w:sz w:val="18"/>
                      <w:szCs w:val="18"/>
                      <w:u w:val="none"/>
                    </w:rPr>
                    <w:t>车间内单间二次密闭</w:t>
                  </w:r>
                </w:p>
              </w:tc>
              <w:tc>
                <w:tcPr>
                  <w:tcW w:w="2092" w:type="dxa"/>
                  <w:vAlign w:val="center"/>
                </w:tcPr>
                <w:p>
                  <w:pPr>
                    <w:jc w:val="center"/>
                    <w:rPr>
                      <w:color w:val="000000"/>
                      <w:sz w:val="18"/>
                      <w:szCs w:val="18"/>
                      <w:u w:val="none"/>
                    </w:rPr>
                  </w:pPr>
                  <w:r>
                    <w:rPr>
                      <w:rFonts w:hint="eastAsia"/>
                      <w:bCs/>
                      <w:color w:val="000000"/>
                      <w:sz w:val="18"/>
                      <w:szCs w:val="18"/>
                      <w:u w:val="none"/>
                    </w:rPr>
                    <w:t>《大气污染物综合排放标准》（GB16297-1996）表2二级标准无组织</w:t>
                  </w:r>
                </w:p>
              </w:tc>
              <w:tc>
                <w:tcPr>
                  <w:tcW w:w="1216" w:type="dxa"/>
                  <w:vAlign w:val="center"/>
                </w:tcPr>
                <w:p>
                  <w:pPr>
                    <w:jc w:val="center"/>
                    <w:rPr>
                      <w:color w:val="000000"/>
                      <w:sz w:val="18"/>
                      <w:szCs w:val="18"/>
                      <w:u w:val="none"/>
                    </w:rPr>
                  </w:pPr>
                  <w:r>
                    <w:rPr>
                      <w:rFonts w:hint="eastAsia"/>
                      <w:color w:val="000000"/>
                      <w:sz w:val="18"/>
                      <w:szCs w:val="18"/>
                      <w:u w:val="none"/>
                    </w:rPr>
                    <w:t>1000</w:t>
                  </w:r>
                </w:p>
              </w:tc>
              <w:tc>
                <w:tcPr>
                  <w:tcW w:w="968" w:type="dxa"/>
                  <w:vAlign w:val="center"/>
                </w:tcPr>
                <w:p>
                  <w:pPr>
                    <w:jc w:val="center"/>
                    <w:rPr>
                      <w:bCs/>
                      <w:color w:val="000000" w:themeColor="text1"/>
                      <w:sz w:val="18"/>
                      <w:szCs w:val="18"/>
                      <w:u w:val="none"/>
                    </w:rPr>
                  </w:pPr>
                  <w:r>
                    <w:rPr>
                      <w:sz w:val="18"/>
                      <w:szCs w:val="18"/>
                      <w:u w:val="none"/>
                    </w:rPr>
                    <w:t>0.0</w:t>
                  </w:r>
                  <w:r>
                    <w:rPr>
                      <w:rFonts w:hint="eastAsia"/>
                      <w:sz w:val="18"/>
                      <w:szCs w:val="18"/>
                      <w:u w:val="none"/>
                    </w:rPr>
                    <w:t>0</w:t>
                  </w:r>
                  <w:r>
                    <w:rPr>
                      <w:rFonts w:hint="eastAsia"/>
                      <w:sz w:val="18"/>
                      <w:szCs w:val="18"/>
                      <w:u w:val="none"/>
                      <w:lang w:val="en-US" w:eastAsia="zh-CN"/>
                    </w:rPr>
                    <w:t>16</w:t>
                  </w:r>
                  <w:r>
                    <w:rPr>
                      <w:sz w:val="18"/>
                      <w:szCs w:val="18"/>
                      <w:u w:val="none"/>
                    </w:rPr>
                    <w:t>t/a</w:t>
                  </w:r>
                </w:p>
              </w:tc>
            </w:tr>
          </w:tbl>
          <w:p>
            <w:pPr>
              <w:ind w:firstLine="1920" w:firstLineChars="800"/>
              <w:rPr>
                <w:rFonts w:ascii="黑体" w:hAnsi="黑体" w:eastAsia="黑体"/>
                <w:sz w:val="24"/>
                <w:szCs w:val="24"/>
                <w:u w:val="none"/>
              </w:rPr>
            </w:pPr>
            <w:r>
              <w:rPr>
                <w:rFonts w:hint="eastAsia" w:ascii="黑体" w:hAnsi="黑体" w:eastAsia="黑体"/>
                <w:sz w:val="24"/>
                <w:szCs w:val="24"/>
                <w:u w:val="none"/>
              </w:rPr>
              <w:t>表2</w:t>
            </w:r>
            <w:r>
              <w:rPr>
                <w:rFonts w:hint="eastAsia" w:ascii="黑体" w:hAnsi="黑体" w:eastAsia="黑体"/>
                <w:sz w:val="24"/>
                <w:szCs w:val="24"/>
                <w:u w:val="none"/>
                <w:lang w:val="en-US" w:eastAsia="zh-CN"/>
              </w:rPr>
              <w:t>6</w:t>
            </w:r>
            <w:r>
              <w:rPr>
                <w:rFonts w:hint="eastAsia" w:ascii="黑体" w:hAnsi="黑体" w:eastAsia="黑体"/>
                <w:sz w:val="24"/>
                <w:szCs w:val="24"/>
                <w:u w:val="none"/>
              </w:rPr>
              <w:t xml:space="preserve">        项目大气污染物年排放量核算表（汇总）</w:t>
            </w:r>
          </w:p>
          <w:tbl>
            <w:tblPr>
              <w:tblStyle w:val="28"/>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302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028" w:type="dxa"/>
                  <w:vAlign w:val="center"/>
                </w:tcPr>
                <w:p>
                  <w:pPr>
                    <w:jc w:val="center"/>
                    <w:rPr>
                      <w:sz w:val="18"/>
                      <w:szCs w:val="18"/>
                      <w:u w:val="none"/>
                    </w:rPr>
                  </w:pPr>
                  <w:r>
                    <w:rPr>
                      <w:rFonts w:hint="eastAsia"/>
                      <w:sz w:val="18"/>
                      <w:szCs w:val="18"/>
                      <w:u w:val="none"/>
                    </w:rPr>
                    <w:t>序号</w:t>
                  </w:r>
                </w:p>
              </w:tc>
              <w:tc>
                <w:tcPr>
                  <w:tcW w:w="3028" w:type="dxa"/>
                  <w:vAlign w:val="center"/>
                </w:tcPr>
                <w:p>
                  <w:pPr>
                    <w:jc w:val="center"/>
                    <w:rPr>
                      <w:sz w:val="18"/>
                      <w:szCs w:val="18"/>
                      <w:u w:val="none"/>
                    </w:rPr>
                  </w:pPr>
                  <w:r>
                    <w:rPr>
                      <w:rFonts w:hint="eastAsia"/>
                      <w:sz w:val="18"/>
                      <w:szCs w:val="18"/>
                      <w:u w:val="none"/>
                    </w:rPr>
                    <w:t>污染物</w:t>
                  </w:r>
                </w:p>
              </w:tc>
              <w:tc>
                <w:tcPr>
                  <w:tcW w:w="3028" w:type="dxa"/>
                  <w:vAlign w:val="center"/>
                </w:tcPr>
                <w:p>
                  <w:pPr>
                    <w:jc w:val="center"/>
                    <w:rPr>
                      <w:sz w:val="18"/>
                      <w:szCs w:val="18"/>
                      <w:u w:val="none"/>
                    </w:rPr>
                  </w:pPr>
                  <w:r>
                    <w:rPr>
                      <w:rFonts w:hint="eastAsia"/>
                      <w:sz w:val="18"/>
                      <w:szCs w:val="18"/>
                      <w:u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028" w:type="dxa"/>
                  <w:vAlign w:val="center"/>
                </w:tcPr>
                <w:p>
                  <w:pPr>
                    <w:jc w:val="center"/>
                    <w:rPr>
                      <w:sz w:val="18"/>
                      <w:szCs w:val="18"/>
                      <w:u w:val="none"/>
                    </w:rPr>
                  </w:pPr>
                  <w:r>
                    <w:rPr>
                      <w:rFonts w:hint="eastAsia"/>
                      <w:sz w:val="18"/>
                      <w:szCs w:val="18"/>
                      <w:u w:val="none"/>
                    </w:rPr>
                    <w:t>1</w:t>
                  </w:r>
                </w:p>
              </w:tc>
              <w:tc>
                <w:tcPr>
                  <w:tcW w:w="3028" w:type="dxa"/>
                  <w:vAlign w:val="center"/>
                </w:tcPr>
                <w:p>
                  <w:pPr>
                    <w:pStyle w:val="6"/>
                    <w:spacing w:line="240" w:lineRule="auto"/>
                    <w:ind w:firstLine="0" w:firstLineChars="0"/>
                    <w:jc w:val="center"/>
                    <w:rPr>
                      <w:sz w:val="18"/>
                      <w:szCs w:val="18"/>
                      <w:u w:val="none"/>
                    </w:rPr>
                  </w:pPr>
                  <w:r>
                    <w:rPr>
                      <w:rFonts w:hint="eastAsia"/>
                      <w:sz w:val="18"/>
                      <w:szCs w:val="18"/>
                      <w:u w:val="none"/>
                    </w:rPr>
                    <w:t>颗粒物</w:t>
                  </w:r>
                </w:p>
              </w:tc>
              <w:tc>
                <w:tcPr>
                  <w:tcW w:w="3028" w:type="dxa"/>
                  <w:vAlign w:val="center"/>
                </w:tcPr>
                <w:p>
                  <w:pPr>
                    <w:jc w:val="center"/>
                    <w:rPr>
                      <w:sz w:val="18"/>
                      <w:szCs w:val="18"/>
                      <w:u w:val="none"/>
                    </w:rPr>
                  </w:pPr>
                  <w:r>
                    <w:rPr>
                      <w:sz w:val="18"/>
                      <w:szCs w:val="18"/>
                      <w:u w:val="none"/>
                    </w:rPr>
                    <w:t>0.0</w:t>
                  </w:r>
                  <w:r>
                    <w:rPr>
                      <w:rFonts w:hint="eastAsia"/>
                      <w:sz w:val="18"/>
                      <w:szCs w:val="18"/>
                      <w:u w:val="none"/>
                      <w:lang w:val="en-US" w:eastAsia="zh-CN"/>
                    </w:rPr>
                    <w:t>039</w:t>
                  </w:r>
                  <w:r>
                    <w:rPr>
                      <w:rFonts w:hint="eastAsia"/>
                      <w:bCs/>
                      <w:color w:val="000000" w:themeColor="text1"/>
                      <w:sz w:val="18"/>
                      <w:szCs w:val="18"/>
                      <w:u w:val="none"/>
                    </w:rPr>
                    <w:t>t/a</w:t>
                  </w:r>
                </w:p>
              </w:tc>
            </w:tr>
          </w:tbl>
          <w:p>
            <w:pPr>
              <w:spacing w:line="360" w:lineRule="auto"/>
              <w:rPr>
                <w:sz w:val="24"/>
                <w:u w:val="none"/>
              </w:rPr>
            </w:pPr>
            <w:r>
              <w:rPr>
                <w:rFonts w:hint="eastAsia"/>
                <w:sz w:val="24"/>
                <w:u w:val="none"/>
              </w:rPr>
              <w:t>1.7监测计划</w:t>
            </w:r>
          </w:p>
          <w:p>
            <w:pPr>
              <w:spacing w:line="360" w:lineRule="auto"/>
              <w:ind w:firstLine="480"/>
              <w:rPr>
                <w:sz w:val="24"/>
                <w:u w:val="single"/>
              </w:rPr>
            </w:pPr>
            <w:r>
              <w:rPr>
                <w:rFonts w:hint="eastAsia"/>
                <w:kern w:val="0"/>
                <w:sz w:val="24"/>
                <w:szCs w:val="24"/>
                <w:u w:val="single"/>
              </w:rPr>
              <w:t>本项目废气有组织及无组织监测为每年一次，</w:t>
            </w:r>
            <w:r>
              <w:rPr>
                <w:rFonts w:hint="eastAsia"/>
                <w:sz w:val="24"/>
                <w:u w:val="single"/>
              </w:rPr>
              <w:t>项目监测计划见下表。</w:t>
            </w:r>
          </w:p>
          <w:p>
            <w:pPr>
              <w:adjustRightInd w:val="0"/>
              <w:snapToGrid w:val="0"/>
              <w:ind w:firstLine="1800" w:firstLineChars="750"/>
              <w:rPr>
                <w:rFonts w:ascii="黑体" w:hAnsi="黑体" w:eastAsia="黑体"/>
                <w:sz w:val="24"/>
                <w:u w:val="single"/>
              </w:rPr>
            </w:pPr>
            <w:r>
              <w:rPr>
                <w:rFonts w:hint="eastAsia" w:ascii="黑体" w:hAnsi="黑体" w:eastAsia="黑体"/>
                <w:sz w:val="24"/>
                <w:u w:val="single"/>
              </w:rPr>
              <w:t>表2</w:t>
            </w:r>
            <w:r>
              <w:rPr>
                <w:rFonts w:hint="eastAsia" w:ascii="黑体" w:hAnsi="黑体" w:eastAsia="黑体"/>
                <w:sz w:val="24"/>
                <w:u w:val="single"/>
                <w:lang w:val="en-US" w:eastAsia="zh-CN"/>
              </w:rPr>
              <w:t>7</w:t>
            </w:r>
            <w:r>
              <w:rPr>
                <w:rFonts w:hint="eastAsia" w:ascii="黑体" w:hAnsi="黑体" w:eastAsia="黑体"/>
                <w:sz w:val="24"/>
                <w:u w:val="single"/>
              </w:rPr>
              <w:t xml:space="preserve">             废气污染源监测</w:t>
            </w:r>
            <w:r>
              <w:rPr>
                <w:rFonts w:hint="eastAsia" w:ascii="黑体" w:hAnsi="黑体" w:eastAsia="黑体"/>
                <w:sz w:val="24"/>
                <w:szCs w:val="24"/>
                <w:u w:val="single"/>
              </w:rPr>
              <w:t>计划表</w:t>
            </w:r>
          </w:p>
          <w:tbl>
            <w:tblPr>
              <w:tblStyle w:val="27"/>
              <w:tblW w:w="916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1187"/>
              <w:gridCol w:w="1682"/>
              <w:gridCol w:w="49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384" w:type="dxa"/>
                  <w:vAlign w:val="center"/>
                </w:tcPr>
                <w:p>
                  <w:pPr>
                    <w:jc w:val="center"/>
                    <w:rPr>
                      <w:sz w:val="18"/>
                      <w:szCs w:val="18"/>
                      <w:u w:val="none"/>
                    </w:rPr>
                  </w:pPr>
                  <w:r>
                    <w:rPr>
                      <w:rFonts w:hint="eastAsia"/>
                      <w:sz w:val="18"/>
                      <w:szCs w:val="18"/>
                      <w:u w:val="none"/>
                    </w:rPr>
                    <w:t>监测点位</w:t>
                  </w:r>
                </w:p>
              </w:tc>
              <w:tc>
                <w:tcPr>
                  <w:tcW w:w="1187" w:type="dxa"/>
                  <w:vAlign w:val="center"/>
                </w:tcPr>
                <w:p>
                  <w:pPr>
                    <w:jc w:val="center"/>
                    <w:rPr>
                      <w:sz w:val="18"/>
                      <w:szCs w:val="18"/>
                      <w:u w:val="none"/>
                    </w:rPr>
                  </w:pPr>
                  <w:r>
                    <w:rPr>
                      <w:rFonts w:hint="eastAsia"/>
                      <w:sz w:val="18"/>
                      <w:szCs w:val="18"/>
                      <w:u w:val="none"/>
                    </w:rPr>
                    <w:t>监测指标</w:t>
                  </w:r>
                </w:p>
              </w:tc>
              <w:tc>
                <w:tcPr>
                  <w:tcW w:w="1682" w:type="dxa"/>
                  <w:vAlign w:val="center"/>
                </w:tcPr>
                <w:p>
                  <w:pPr>
                    <w:jc w:val="center"/>
                    <w:rPr>
                      <w:sz w:val="18"/>
                      <w:szCs w:val="18"/>
                      <w:u w:val="none"/>
                    </w:rPr>
                  </w:pPr>
                  <w:r>
                    <w:rPr>
                      <w:rFonts w:hint="eastAsia"/>
                      <w:sz w:val="18"/>
                      <w:szCs w:val="18"/>
                      <w:u w:val="none"/>
                    </w:rPr>
                    <w:t>监测频次</w:t>
                  </w:r>
                </w:p>
              </w:tc>
              <w:tc>
                <w:tcPr>
                  <w:tcW w:w="4910" w:type="dxa"/>
                  <w:vAlign w:val="center"/>
                </w:tcPr>
                <w:p>
                  <w:pPr>
                    <w:jc w:val="center"/>
                    <w:rPr>
                      <w:sz w:val="18"/>
                      <w:szCs w:val="18"/>
                      <w:u w:val="none"/>
                    </w:rPr>
                  </w:pPr>
                  <w:r>
                    <w:rPr>
                      <w:rFonts w:hint="eastAsia"/>
                      <w:sz w:val="18"/>
                      <w:szCs w:val="18"/>
                      <w:u w:val="none"/>
                    </w:rPr>
                    <w:t>执行排放标准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2" w:hRule="atLeast"/>
                <w:jc w:val="center"/>
              </w:trPr>
              <w:tc>
                <w:tcPr>
                  <w:tcW w:w="1384" w:type="dxa"/>
                  <w:vAlign w:val="center"/>
                </w:tcPr>
                <w:p>
                  <w:pPr>
                    <w:jc w:val="center"/>
                    <w:rPr>
                      <w:sz w:val="18"/>
                      <w:szCs w:val="18"/>
                      <w:u w:val="none"/>
                    </w:rPr>
                  </w:pPr>
                  <w:r>
                    <w:rPr>
                      <w:rFonts w:hint="eastAsia"/>
                      <w:sz w:val="18"/>
                      <w:szCs w:val="18"/>
                      <w:u w:val="none"/>
                    </w:rPr>
                    <w:t>排气筒</w:t>
                  </w:r>
                </w:p>
              </w:tc>
              <w:tc>
                <w:tcPr>
                  <w:tcW w:w="1187" w:type="dxa"/>
                  <w:vAlign w:val="center"/>
                </w:tcPr>
                <w:p>
                  <w:pPr>
                    <w:jc w:val="center"/>
                    <w:rPr>
                      <w:rFonts w:ascii="楷体_GB2312" w:hAnsi="宋体" w:eastAsia="楷体_GB2312" w:cs="宋体"/>
                      <w:kern w:val="0"/>
                      <w:sz w:val="18"/>
                      <w:szCs w:val="18"/>
                      <w:u w:val="none"/>
                    </w:rPr>
                  </w:pPr>
                  <w:r>
                    <w:rPr>
                      <w:rFonts w:hint="eastAsia"/>
                      <w:sz w:val="18"/>
                      <w:szCs w:val="18"/>
                      <w:u w:val="none"/>
                    </w:rPr>
                    <w:t>颗粒物</w:t>
                  </w:r>
                </w:p>
              </w:tc>
              <w:tc>
                <w:tcPr>
                  <w:tcW w:w="1682" w:type="dxa"/>
                  <w:vAlign w:val="center"/>
                </w:tcPr>
                <w:p>
                  <w:pPr>
                    <w:jc w:val="center"/>
                    <w:rPr>
                      <w:sz w:val="18"/>
                      <w:szCs w:val="18"/>
                      <w:u w:val="none"/>
                    </w:rPr>
                  </w:pPr>
                  <w:r>
                    <w:rPr>
                      <w:rFonts w:hint="eastAsia"/>
                      <w:sz w:val="18"/>
                      <w:szCs w:val="18"/>
                      <w:u w:val="none"/>
                    </w:rPr>
                    <w:t>1年1次</w:t>
                  </w:r>
                </w:p>
              </w:tc>
              <w:tc>
                <w:tcPr>
                  <w:tcW w:w="4910" w:type="dxa"/>
                  <w:vAlign w:val="center"/>
                </w:tcPr>
                <w:p>
                  <w:pPr>
                    <w:jc w:val="left"/>
                    <w:rPr>
                      <w:sz w:val="18"/>
                      <w:szCs w:val="18"/>
                      <w:u w:val="none"/>
                    </w:rPr>
                  </w:pPr>
                  <w:r>
                    <w:rPr>
                      <w:rFonts w:hint="eastAsia"/>
                      <w:sz w:val="18"/>
                      <w:szCs w:val="18"/>
                      <w:u w:val="none"/>
                    </w:rPr>
                    <w:t>《大气污染物综合排放标准》（</w:t>
                  </w:r>
                  <w:r>
                    <w:rPr>
                      <w:sz w:val="18"/>
                      <w:szCs w:val="18"/>
                      <w:u w:val="none"/>
                    </w:rPr>
                    <w:t>GB16297</w:t>
                  </w:r>
                  <w:r>
                    <w:rPr>
                      <w:rFonts w:hint="eastAsia"/>
                      <w:sz w:val="18"/>
                      <w:szCs w:val="18"/>
                      <w:u w:val="none"/>
                    </w:rPr>
                    <w:t>-</w:t>
                  </w:r>
                  <w:r>
                    <w:rPr>
                      <w:sz w:val="18"/>
                      <w:szCs w:val="18"/>
                      <w:u w:val="none"/>
                    </w:rPr>
                    <w:t>1996</w:t>
                  </w:r>
                  <w:r>
                    <w:rPr>
                      <w:rFonts w:hint="eastAsia"/>
                      <w:sz w:val="18"/>
                      <w:szCs w:val="18"/>
                      <w:u w:val="none"/>
                    </w:rPr>
                    <w:t>）</w:t>
                  </w:r>
                  <w:r>
                    <w:rPr>
                      <w:sz w:val="18"/>
                      <w:szCs w:val="18"/>
                      <w:u w:val="none"/>
                    </w:rPr>
                    <w:t>表2中二级</w:t>
                  </w:r>
                  <w:r>
                    <w:rPr>
                      <w:rFonts w:hint="eastAsia"/>
                      <w:sz w:val="18"/>
                      <w:szCs w:val="18"/>
                      <w:u w:val="none"/>
                    </w:rPr>
                    <w:t>——15m高排气筒粉尘排放浓度为：120mg/m</w:t>
                  </w:r>
                  <w:r>
                    <w:rPr>
                      <w:rFonts w:hint="eastAsia"/>
                      <w:sz w:val="18"/>
                      <w:szCs w:val="18"/>
                      <w:u w:val="none"/>
                      <w:vertAlign w:val="superscript"/>
                    </w:rPr>
                    <w:t>3</w:t>
                  </w:r>
                  <w:r>
                    <w:rPr>
                      <w:rFonts w:hint="eastAsia"/>
                      <w:sz w:val="18"/>
                      <w:szCs w:val="18"/>
                      <w:u w:val="none"/>
                    </w:rPr>
                    <w:t>，排放速率为：3.5kg/h。</w:t>
                  </w:r>
                  <w:r>
                    <w:rPr>
                      <w:rFonts w:hint="eastAsia"/>
                      <w:bCs/>
                      <w:sz w:val="18"/>
                      <w:szCs w:val="18"/>
                      <w:u w:val="none"/>
                      <w:lang w:eastAsia="zh-CN"/>
                    </w:rPr>
                    <w:t>满足</w:t>
                  </w:r>
                  <w:r>
                    <w:rPr>
                      <w:sz w:val="18"/>
                      <w:szCs w:val="18"/>
                      <w:u w:val="none"/>
                    </w:rPr>
                    <w:t>洛环攻坚</w:t>
                  </w:r>
                  <w:r>
                    <w:rPr>
                      <w:rFonts w:hint="eastAsia"/>
                      <w:sz w:val="18"/>
                      <w:szCs w:val="18"/>
                      <w:u w:val="none"/>
                    </w:rPr>
                    <w:t>办</w:t>
                  </w:r>
                  <w:r>
                    <w:rPr>
                      <w:sz w:val="18"/>
                      <w:szCs w:val="18"/>
                      <w:u w:val="none"/>
                    </w:rPr>
                    <w:t>〔20</w:t>
                  </w:r>
                  <w:r>
                    <w:rPr>
                      <w:rFonts w:hint="eastAsia"/>
                      <w:sz w:val="18"/>
                      <w:szCs w:val="18"/>
                      <w:u w:val="none"/>
                    </w:rPr>
                    <w:t>20</w:t>
                  </w:r>
                  <w:r>
                    <w:rPr>
                      <w:sz w:val="18"/>
                      <w:szCs w:val="18"/>
                      <w:u w:val="none"/>
                    </w:rPr>
                    <w:t>〕1</w:t>
                  </w:r>
                  <w:r>
                    <w:rPr>
                      <w:rFonts w:hint="eastAsia"/>
                      <w:sz w:val="18"/>
                      <w:szCs w:val="18"/>
                      <w:u w:val="none"/>
                    </w:rPr>
                    <w:t>4</w:t>
                  </w:r>
                  <w:r>
                    <w:rPr>
                      <w:sz w:val="18"/>
                      <w:szCs w:val="18"/>
                      <w:u w:val="none"/>
                    </w:rPr>
                    <w:t>号</w:t>
                  </w:r>
                  <w:r>
                    <w:rPr>
                      <w:rFonts w:hint="eastAsia"/>
                      <w:sz w:val="18"/>
                      <w:szCs w:val="18"/>
                      <w:u w:val="none"/>
                      <w:lang w:eastAsia="zh-CN"/>
                    </w:rPr>
                    <w:t>颗粒物</w:t>
                  </w:r>
                  <w:r>
                    <w:rPr>
                      <w:rFonts w:hint="eastAsia"/>
                      <w:sz w:val="18"/>
                      <w:szCs w:val="18"/>
                      <w:u w:val="none"/>
                      <w:lang w:val="en-US" w:eastAsia="zh-CN"/>
                    </w:rPr>
                    <w:t>10</w:t>
                  </w:r>
                  <w:r>
                    <w:rPr>
                      <w:rFonts w:eastAsiaTheme="majorEastAsia"/>
                      <w:sz w:val="18"/>
                      <w:szCs w:val="18"/>
                      <w:u w:val="none"/>
                    </w:rPr>
                    <w:t>mg/m</w:t>
                  </w:r>
                  <w:r>
                    <w:rPr>
                      <w:rFonts w:eastAsiaTheme="majorEastAsia"/>
                      <w:sz w:val="18"/>
                      <w:szCs w:val="18"/>
                      <w:u w:val="none"/>
                      <w:vertAlign w:val="superscript"/>
                    </w:rPr>
                    <w:t>3</w:t>
                  </w:r>
                  <w:r>
                    <w:rPr>
                      <w:rFonts w:hint="eastAsia"/>
                      <w:bCs/>
                      <w:sz w:val="18"/>
                      <w:szCs w:val="18"/>
                      <w:u w:val="none"/>
                    </w:rPr>
                    <w:t>标准</w:t>
                  </w:r>
                  <w:r>
                    <w:rPr>
                      <w:rFonts w:hint="eastAsia"/>
                      <w:bCs/>
                      <w:sz w:val="18"/>
                      <w:szCs w:val="18"/>
                      <w:u w:val="none"/>
                      <w:lang w:eastAsia="zh-CN"/>
                    </w:rPr>
                    <w:t>要求</w:t>
                  </w:r>
                  <w:r>
                    <w:rPr>
                      <w:rFonts w:hint="eastAsia"/>
                      <w:bCs/>
                      <w:sz w:val="18"/>
                      <w:szCs w:val="18"/>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384" w:type="dxa"/>
                  <w:vAlign w:val="center"/>
                </w:tcPr>
                <w:p>
                  <w:pPr>
                    <w:ind w:firstLine="180" w:firstLineChars="100"/>
                    <w:jc w:val="center"/>
                    <w:rPr>
                      <w:sz w:val="18"/>
                      <w:szCs w:val="18"/>
                      <w:u w:val="none"/>
                    </w:rPr>
                  </w:pPr>
                  <w:r>
                    <w:rPr>
                      <w:rFonts w:hint="eastAsia"/>
                      <w:sz w:val="18"/>
                      <w:szCs w:val="18"/>
                      <w:u w:val="none"/>
                    </w:rPr>
                    <w:t>厂区上风向1个点位，下风向3个点位</w:t>
                  </w:r>
                </w:p>
              </w:tc>
              <w:tc>
                <w:tcPr>
                  <w:tcW w:w="1187" w:type="dxa"/>
                  <w:vAlign w:val="center"/>
                </w:tcPr>
                <w:p>
                  <w:pPr>
                    <w:jc w:val="center"/>
                    <w:rPr>
                      <w:color w:val="FF0000"/>
                      <w:sz w:val="18"/>
                      <w:szCs w:val="18"/>
                      <w:u w:val="none"/>
                    </w:rPr>
                  </w:pPr>
                  <w:r>
                    <w:rPr>
                      <w:rFonts w:hint="eastAsia"/>
                      <w:sz w:val="18"/>
                      <w:szCs w:val="18"/>
                      <w:u w:val="none"/>
                    </w:rPr>
                    <w:t>颗粒物</w:t>
                  </w:r>
                </w:p>
                <w:p>
                  <w:pPr>
                    <w:jc w:val="center"/>
                    <w:rPr>
                      <w:sz w:val="18"/>
                      <w:szCs w:val="18"/>
                      <w:u w:val="none"/>
                    </w:rPr>
                  </w:pPr>
                </w:p>
              </w:tc>
              <w:tc>
                <w:tcPr>
                  <w:tcW w:w="1682" w:type="dxa"/>
                  <w:vAlign w:val="center"/>
                </w:tcPr>
                <w:p>
                  <w:pPr>
                    <w:jc w:val="center"/>
                    <w:rPr>
                      <w:sz w:val="18"/>
                      <w:szCs w:val="18"/>
                      <w:u w:val="none"/>
                    </w:rPr>
                  </w:pPr>
                  <w:r>
                    <w:rPr>
                      <w:rFonts w:hint="eastAsia"/>
                      <w:sz w:val="18"/>
                      <w:szCs w:val="18"/>
                      <w:u w:val="none"/>
                    </w:rPr>
                    <w:t>1年1次</w:t>
                  </w:r>
                </w:p>
              </w:tc>
              <w:tc>
                <w:tcPr>
                  <w:tcW w:w="4910" w:type="dxa"/>
                  <w:vAlign w:val="center"/>
                </w:tcPr>
                <w:p>
                  <w:pPr>
                    <w:rPr>
                      <w:sz w:val="18"/>
                      <w:szCs w:val="18"/>
                      <w:u w:val="none"/>
                    </w:rPr>
                  </w:pPr>
                  <w:r>
                    <w:rPr>
                      <w:rFonts w:hint="eastAsia"/>
                      <w:sz w:val="18"/>
                      <w:szCs w:val="18"/>
                      <w:u w:val="none"/>
                    </w:rPr>
                    <w:t>《大气污染物综合排放标准》（</w:t>
                  </w:r>
                  <w:r>
                    <w:rPr>
                      <w:sz w:val="18"/>
                      <w:szCs w:val="18"/>
                      <w:u w:val="none"/>
                    </w:rPr>
                    <w:t>GB16297</w:t>
                  </w:r>
                  <w:r>
                    <w:rPr>
                      <w:rFonts w:hint="eastAsia"/>
                      <w:sz w:val="18"/>
                      <w:szCs w:val="18"/>
                      <w:u w:val="none"/>
                    </w:rPr>
                    <w:t>-</w:t>
                  </w:r>
                  <w:r>
                    <w:rPr>
                      <w:sz w:val="18"/>
                      <w:szCs w:val="18"/>
                      <w:u w:val="none"/>
                    </w:rPr>
                    <w:t>1996</w:t>
                  </w:r>
                  <w:r>
                    <w:rPr>
                      <w:rFonts w:hint="eastAsia"/>
                      <w:sz w:val="18"/>
                      <w:szCs w:val="18"/>
                      <w:u w:val="none"/>
                    </w:rPr>
                    <w:t>）</w:t>
                  </w:r>
                  <w:r>
                    <w:rPr>
                      <w:sz w:val="18"/>
                      <w:szCs w:val="18"/>
                      <w:u w:val="none"/>
                    </w:rPr>
                    <w:t>表2</w:t>
                  </w:r>
                  <w:r>
                    <w:rPr>
                      <w:rFonts w:hint="eastAsia"/>
                      <w:sz w:val="18"/>
                      <w:szCs w:val="18"/>
                      <w:u w:val="none"/>
                    </w:rPr>
                    <w:t>无组织排放监控浓度限值：颗粒物：1.0mg/m</w:t>
                  </w:r>
                  <w:r>
                    <w:rPr>
                      <w:rFonts w:hint="eastAsia"/>
                      <w:sz w:val="18"/>
                      <w:szCs w:val="18"/>
                      <w:u w:val="none"/>
                      <w:vertAlign w:val="superscript"/>
                    </w:rPr>
                    <w:t xml:space="preserve">3 </w:t>
                  </w:r>
                  <w:r>
                    <w:rPr>
                      <w:rFonts w:hint="eastAsia"/>
                      <w:bCs/>
                      <w:sz w:val="18"/>
                      <w:szCs w:val="18"/>
                      <w:u w:val="none"/>
                    </w:rPr>
                    <w:t>。</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u w:val="none"/>
                <w:lang w:val="en-US" w:eastAsia="zh-CN"/>
              </w:rPr>
            </w:pPr>
            <w:r>
              <w:rPr>
                <w:rFonts w:hint="eastAsia"/>
                <w:sz w:val="24"/>
                <w:u w:val="none"/>
                <w:lang w:val="en-US" w:eastAsia="zh-CN"/>
              </w:rPr>
              <w:t>1.8大气环境自查表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sz w:val="24"/>
                <w:u w:val="none"/>
              </w:rPr>
            </w:pPr>
            <w:r>
              <w:rPr>
                <w:rFonts w:hint="eastAsia"/>
                <w:sz w:val="24"/>
                <w:u w:val="none"/>
              </w:rPr>
              <w:t>项目大气环境影响评价自查表见下表。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20" w:firstLineChars="800"/>
              <w:jc w:val="both"/>
              <w:textAlignment w:val="auto"/>
              <w:rPr>
                <w:rFonts w:ascii="黑体" w:hAnsi="黑体" w:eastAsia="黑体"/>
                <w:sz w:val="24"/>
                <w:szCs w:val="24"/>
                <w:u w:val="none"/>
              </w:rPr>
            </w:pPr>
            <w:r>
              <w:rPr>
                <w:rFonts w:hint="eastAsia" w:ascii="黑体" w:hAnsi="黑体" w:eastAsia="黑体"/>
                <w:sz w:val="24"/>
                <w:u w:val="none"/>
              </w:rPr>
              <w:t>表</w:t>
            </w:r>
            <w:r>
              <w:rPr>
                <w:rFonts w:ascii="黑体" w:hAnsi="黑体" w:eastAsia="黑体"/>
                <w:sz w:val="24"/>
                <w:u w:val="none"/>
              </w:rPr>
              <w:t>2</w:t>
            </w:r>
            <w:r>
              <w:rPr>
                <w:rFonts w:hint="eastAsia" w:ascii="黑体" w:hAnsi="黑体" w:eastAsia="黑体"/>
                <w:sz w:val="24"/>
                <w:u w:val="none"/>
                <w:lang w:val="en-US" w:eastAsia="zh-CN"/>
              </w:rPr>
              <w:t>8</w:t>
            </w:r>
            <w:r>
              <w:rPr>
                <w:rFonts w:ascii="黑体" w:hAnsi="黑体" w:eastAsia="黑体"/>
                <w:sz w:val="24"/>
                <w:u w:val="none"/>
              </w:rPr>
              <w:t xml:space="preserve">   </w:t>
            </w:r>
            <w:r>
              <w:rPr>
                <w:rFonts w:hint="eastAsia" w:ascii="黑体" w:hAnsi="黑体" w:eastAsia="黑体"/>
                <w:sz w:val="24"/>
                <w:u w:val="none"/>
                <w:lang w:val="en-US" w:eastAsia="zh-CN"/>
              </w:rPr>
              <w:t xml:space="preserve">    </w:t>
            </w:r>
            <w:r>
              <w:rPr>
                <w:rFonts w:ascii="黑体" w:hAnsi="黑体" w:eastAsia="黑体"/>
                <w:sz w:val="24"/>
                <w:u w:val="none"/>
              </w:rPr>
              <w:t xml:space="preserve">  </w:t>
            </w:r>
            <w:r>
              <w:rPr>
                <w:rFonts w:hint="eastAsia" w:ascii="黑体" w:hAnsi="黑体" w:eastAsia="黑体"/>
                <w:sz w:val="24"/>
                <w:szCs w:val="24"/>
                <w:u w:val="none"/>
              </w:rPr>
              <w:t>建设项目大气环境影响评价自查表</w:t>
            </w:r>
          </w:p>
          <w:tbl>
            <w:tblPr>
              <w:tblStyle w:val="27"/>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767"/>
              <w:gridCol w:w="786"/>
              <w:gridCol w:w="34"/>
              <w:gridCol w:w="648"/>
              <w:gridCol w:w="129"/>
              <w:gridCol w:w="96"/>
              <w:gridCol w:w="290"/>
              <w:gridCol w:w="16"/>
              <w:gridCol w:w="64"/>
              <w:gridCol w:w="781"/>
              <w:gridCol w:w="330"/>
              <w:gridCol w:w="868"/>
              <w:gridCol w:w="20"/>
              <w:gridCol w:w="281"/>
              <w:gridCol w:w="261"/>
              <w:gridCol w:w="169"/>
              <w:gridCol w:w="98"/>
              <w:gridCol w:w="813"/>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8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18"/>
                      <w:szCs w:val="18"/>
                      <w:u w:val="none"/>
                      <w:lang w:val="en-GB" w:eastAsia="zh-TW"/>
                    </w:rPr>
                  </w:pPr>
                  <w:r>
                    <w:rPr>
                      <w:rFonts w:hint="eastAsia"/>
                      <w:b/>
                      <w:sz w:val="18"/>
                      <w:szCs w:val="18"/>
                      <w:u w:val="none"/>
                    </w:rPr>
                    <w:t>工作内容</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18"/>
                      <w:szCs w:val="18"/>
                      <w:u w:val="none"/>
                      <w:lang w:val="en-GB" w:eastAsia="zh-TW"/>
                    </w:rPr>
                  </w:pPr>
                  <w:r>
                    <w:rPr>
                      <w:rFonts w:hint="eastAsia"/>
                      <w:b/>
                      <w:sz w:val="18"/>
                      <w:szCs w:val="18"/>
                      <w:u w:val="none"/>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评价等级</w:t>
                  </w:r>
                </w:p>
                <w:p>
                  <w:pPr>
                    <w:spacing w:line="300" w:lineRule="exact"/>
                    <w:jc w:val="center"/>
                    <w:rPr>
                      <w:sz w:val="18"/>
                      <w:szCs w:val="18"/>
                      <w:u w:val="none"/>
                      <w:lang w:val="en-GB" w:eastAsia="zh-TW"/>
                    </w:rPr>
                  </w:pPr>
                  <w:r>
                    <w:rPr>
                      <w:rFonts w:hint="eastAsia"/>
                      <w:sz w:val="18"/>
                      <w:szCs w:val="18"/>
                      <w:u w:val="none"/>
                    </w:rPr>
                    <w:t>与范围</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评价等级</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一级</w:t>
                  </w:r>
                  <w:r>
                    <w:rPr>
                      <w:rFonts w:hint="eastAsia" w:ascii="宋体" w:hAnsi="宋体"/>
                      <w:sz w:val="18"/>
                      <w:szCs w:val="18"/>
                      <w:u w:val="none"/>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二级</w:t>
                  </w:r>
                  <w:r>
                    <w:rPr>
                      <w:rFonts w:hint="eastAsia" w:ascii="宋体" w:hAnsi="宋体"/>
                      <w:sz w:val="18"/>
                      <w:szCs w:val="18"/>
                      <w:u w:val="none"/>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三级</w:t>
                  </w:r>
                  <w:r>
                    <w:rPr>
                      <w:sz w:val="18"/>
                      <w:szCs w:val="18"/>
                      <w:u w:val="none"/>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评价范围</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=50km</w:t>
                  </w:r>
                  <w:r>
                    <w:rPr>
                      <w:rFonts w:hint="eastAsia" w:ascii="宋体" w:hAnsi="宋体"/>
                      <w:sz w:val="18"/>
                      <w:szCs w:val="18"/>
                      <w:u w:val="none"/>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5~50km</w:t>
                  </w:r>
                  <w:r>
                    <w:rPr>
                      <w:rFonts w:hint="eastAsia" w:ascii="宋体" w:hAnsi="宋体"/>
                      <w:sz w:val="18"/>
                      <w:szCs w:val="18"/>
                      <w:u w:val="none"/>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=5km</w:t>
                  </w:r>
                  <w:r>
                    <w:rPr>
                      <w:sz w:val="18"/>
                      <w:szCs w:val="18"/>
                      <w:u w:val="none"/>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评价因子</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SO</w:t>
                  </w:r>
                  <w:r>
                    <w:rPr>
                      <w:sz w:val="18"/>
                      <w:szCs w:val="18"/>
                      <w:u w:val="none"/>
                      <w:vertAlign w:val="subscript"/>
                    </w:rPr>
                    <w:t>2</w:t>
                  </w:r>
                  <w:r>
                    <w:rPr>
                      <w:sz w:val="18"/>
                      <w:szCs w:val="18"/>
                      <w:u w:val="none"/>
                    </w:rPr>
                    <w:t>+NO</w:t>
                  </w:r>
                  <w:r>
                    <w:rPr>
                      <w:sz w:val="18"/>
                      <w:szCs w:val="18"/>
                      <w:u w:val="none"/>
                      <w:vertAlign w:val="subscript"/>
                    </w:rPr>
                    <w:t>x</w:t>
                  </w:r>
                  <w:r>
                    <w:rPr>
                      <w:rFonts w:hint="eastAsia"/>
                      <w:sz w:val="18"/>
                      <w:szCs w:val="18"/>
                      <w:u w:val="none"/>
                    </w:rPr>
                    <w:t>排放量</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≥2000t/a</w:t>
                  </w:r>
                  <w:r>
                    <w:rPr>
                      <w:rFonts w:hint="eastAsia" w:ascii="宋体" w:hAnsi="宋体"/>
                      <w:sz w:val="18"/>
                      <w:szCs w:val="18"/>
                      <w:u w:val="none"/>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500~2000t/a</w:t>
                  </w:r>
                  <w:r>
                    <w:rPr>
                      <w:rFonts w:hint="eastAsia" w:ascii="宋体" w:hAnsi="宋体"/>
                      <w:sz w:val="18"/>
                      <w:szCs w:val="18"/>
                      <w:u w:val="none"/>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w:t>
                  </w:r>
                  <w:r>
                    <w:rPr>
                      <w:sz w:val="18"/>
                      <w:szCs w:val="18"/>
                      <w:u w:val="none"/>
                    </w:rPr>
                    <w:t>500t/a</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评价因子</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基本污染物（P</w:t>
                  </w:r>
                  <w:r>
                    <w:rPr>
                      <w:sz w:val="18"/>
                      <w:szCs w:val="18"/>
                      <w:u w:val="none"/>
                    </w:rPr>
                    <w:t>M</w:t>
                  </w:r>
                  <w:r>
                    <w:rPr>
                      <w:sz w:val="18"/>
                      <w:szCs w:val="18"/>
                      <w:u w:val="none"/>
                      <w:vertAlign w:val="subscript"/>
                    </w:rPr>
                    <w:t>10</w:t>
                  </w:r>
                  <w:r>
                    <w:rPr>
                      <w:rFonts w:hint="eastAsia"/>
                      <w:sz w:val="18"/>
                      <w:szCs w:val="18"/>
                      <w:u w:val="none"/>
                    </w:rPr>
                    <w:t xml:space="preserve"> ）</w:t>
                  </w:r>
                </w:p>
                <w:p>
                  <w:pPr>
                    <w:spacing w:line="300" w:lineRule="exact"/>
                    <w:jc w:val="center"/>
                    <w:rPr>
                      <w:sz w:val="18"/>
                      <w:szCs w:val="18"/>
                      <w:u w:val="none"/>
                      <w:lang w:val="en-GB" w:eastAsia="zh-TW"/>
                    </w:rPr>
                  </w:pPr>
                  <w:r>
                    <w:rPr>
                      <w:rFonts w:hint="eastAsia"/>
                      <w:sz w:val="18"/>
                      <w:szCs w:val="18"/>
                      <w:u w:val="none"/>
                    </w:rPr>
                    <w:t>其他污染物（氨气）</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position w:val="4"/>
                      <w:sz w:val="18"/>
                      <w:szCs w:val="18"/>
                      <w:u w:val="none"/>
                      <w:vertAlign w:val="subscript"/>
                      <w:lang w:val="en-GB" w:eastAsia="zh-TW"/>
                    </w:rPr>
                  </w:pPr>
                  <w:r>
                    <w:rPr>
                      <w:rFonts w:hint="eastAsia"/>
                      <w:sz w:val="18"/>
                      <w:szCs w:val="18"/>
                      <w:u w:val="none"/>
                    </w:rPr>
                    <w:t>包括二次</w:t>
                  </w:r>
                  <w:r>
                    <w:rPr>
                      <w:sz w:val="18"/>
                      <w:szCs w:val="18"/>
                      <w:u w:val="none"/>
                    </w:rPr>
                    <w:t>PM</w:t>
                  </w:r>
                  <w:r>
                    <w:rPr>
                      <w:position w:val="4"/>
                      <w:sz w:val="18"/>
                      <w:szCs w:val="18"/>
                      <w:u w:val="none"/>
                      <w:vertAlign w:val="subscript"/>
                    </w:rPr>
                    <w:t>2.5</w:t>
                  </w:r>
                  <w:r>
                    <w:rPr>
                      <w:rFonts w:hint="eastAsia" w:ascii="宋体" w:hAnsi="宋体"/>
                      <w:sz w:val="18"/>
                      <w:szCs w:val="18"/>
                      <w:u w:val="none"/>
                    </w:rPr>
                    <w:t>□</w:t>
                  </w:r>
                </w:p>
                <w:p>
                  <w:pPr>
                    <w:spacing w:line="300" w:lineRule="exact"/>
                    <w:jc w:val="center"/>
                    <w:rPr>
                      <w:sz w:val="18"/>
                      <w:szCs w:val="18"/>
                      <w:u w:val="none"/>
                      <w:lang w:val="en-GB" w:eastAsia="zh-TW"/>
                    </w:rPr>
                  </w:pPr>
                  <w:r>
                    <w:rPr>
                      <w:rFonts w:hint="eastAsia"/>
                      <w:sz w:val="18"/>
                      <w:szCs w:val="18"/>
                      <w:u w:val="none"/>
                    </w:rPr>
                    <w:t>不包括二次</w:t>
                  </w:r>
                  <w:r>
                    <w:rPr>
                      <w:sz w:val="18"/>
                      <w:szCs w:val="18"/>
                      <w:u w:val="none"/>
                    </w:rPr>
                    <w:t>PM</w:t>
                  </w:r>
                  <w:r>
                    <w:rPr>
                      <w:sz w:val="18"/>
                      <w:szCs w:val="18"/>
                      <w:u w:val="none"/>
                      <w:vertAlign w:val="subscript"/>
                    </w:rPr>
                    <w:t>2.5</w:t>
                  </w:r>
                  <w:r>
                    <w:rPr>
                      <w:sz w:val="18"/>
                      <w:szCs w:val="18"/>
                      <w:u w:val="none"/>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评价标准</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评价标准</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国家标准</w:t>
                  </w:r>
                  <w:r>
                    <w:rPr>
                      <w:sz w:val="18"/>
                      <w:szCs w:val="18"/>
                      <w:u w:val="none"/>
                      <w:bdr w:val="single" w:color="auto" w:sz="4" w:space="0"/>
                    </w:rPr>
                    <w:t>√</w:t>
                  </w:r>
                </w:p>
              </w:tc>
              <w:tc>
                <w:tcPr>
                  <w:tcW w:w="1706"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地方标准</w:t>
                  </w:r>
                  <w:r>
                    <w:rPr>
                      <w:rFonts w:hint="eastAsia" w:ascii="宋体" w:hAnsi="宋体"/>
                      <w:sz w:val="18"/>
                      <w:szCs w:val="18"/>
                      <w:u w:val="none"/>
                    </w:rPr>
                    <w:t>□</w:t>
                  </w:r>
                </w:p>
              </w:tc>
              <w:tc>
                <w:tcPr>
                  <w:tcW w:w="159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附录</w:t>
                  </w:r>
                  <w:r>
                    <w:rPr>
                      <w:sz w:val="18"/>
                      <w:szCs w:val="18"/>
                      <w:u w:val="none"/>
                    </w:rPr>
                    <w:t>D</w:t>
                  </w:r>
                  <w:r>
                    <w:rPr>
                      <w:rFonts w:hint="eastAsia" w:ascii="宋体" w:hAnsi="宋体"/>
                      <w:sz w:val="18"/>
                      <w:szCs w:val="18"/>
                      <w:u w:val="none"/>
                    </w:rPr>
                    <w:t>□</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其他标准</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现状评价</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环境功能区</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一类区</w:t>
                  </w:r>
                  <w:r>
                    <w:rPr>
                      <w:rFonts w:hint="eastAsia" w:ascii="宋体" w:hAnsi="宋体"/>
                      <w:sz w:val="18"/>
                      <w:szCs w:val="18"/>
                      <w:u w:val="none"/>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二类区</w:t>
                  </w:r>
                  <w:r>
                    <w:rPr>
                      <w:sz w:val="18"/>
                      <w:szCs w:val="18"/>
                      <w:u w:val="none"/>
                      <w:bdr w:val="single" w:color="auto" w:sz="4" w:space="0"/>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一类区和二类区</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评价基准年</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w:t>
                  </w:r>
                  <w:r>
                    <w:rPr>
                      <w:sz w:val="18"/>
                      <w:szCs w:val="18"/>
                      <w:u w:val="none"/>
                    </w:rPr>
                    <w:t>20</w:t>
                  </w:r>
                  <w:r>
                    <w:rPr>
                      <w:rFonts w:hint="eastAsia"/>
                      <w:sz w:val="18"/>
                      <w:szCs w:val="18"/>
                      <w:u w:val="none"/>
                    </w:rPr>
                    <w:t>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环境空气质量</w:t>
                  </w:r>
                </w:p>
                <w:p>
                  <w:pPr>
                    <w:spacing w:line="300" w:lineRule="exact"/>
                    <w:jc w:val="center"/>
                    <w:rPr>
                      <w:sz w:val="18"/>
                      <w:szCs w:val="18"/>
                      <w:u w:val="none"/>
                      <w:lang w:val="en-GB" w:eastAsia="zh-TW"/>
                    </w:rPr>
                  </w:pPr>
                  <w:r>
                    <w:rPr>
                      <w:rFonts w:hint="eastAsia"/>
                      <w:sz w:val="18"/>
                      <w:szCs w:val="18"/>
                      <w:u w:val="none"/>
                    </w:rPr>
                    <w:t>现状调查数据来源</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长期例行监测数据</w:t>
                  </w:r>
                  <w:r>
                    <w:rPr>
                      <w:sz w:val="18"/>
                      <w:szCs w:val="18"/>
                      <w:u w:val="none"/>
                      <w:bdr w:val="single" w:color="auto" w:sz="4" w:space="0"/>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主管部门发布分数据</w:t>
                  </w:r>
                  <w:r>
                    <w:rPr>
                      <w:sz w:val="18"/>
                      <w:szCs w:val="18"/>
                      <w:u w:val="none"/>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现状补充监测</w:t>
                  </w: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现状评价</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达标区</w:t>
                  </w:r>
                  <w:r>
                    <w:rPr>
                      <w:rFonts w:hint="eastAsia" w:ascii="宋体" w:hAnsi="宋体"/>
                      <w:sz w:val="18"/>
                      <w:szCs w:val="18"/>
                      <w:u w:val="none"/>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不达标区</w:t>
                  </w:r>
                  <w:r>
                    <w:rPr>
                      <w:sz w:val="18"/>
                      <w:szCs w:val="18"/>
                      <w:u w:val="none"/>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污染源</w:t>
                  </w:r>
                </w:p>
                <w:p>
                  <w:pPr>
                    <w:spacing w:line="300" w:lineRule="exact"/>
                    <w:jc w:val="center"/>
                    <w:rPr>
                      <w:sz w:val="18"/>
                      <w:szCs w:val="18"/>
                      <w:u w:val="none"/>
                      <w:lang w:val="en-GB" w:eastAsia="zh-TW"/>
                    </w:rPr>
                  </w:pPr>
                  <w:r>
                    <w:rPr>
                      <w:rFonts w:hint="eastAsia"/>
                      <w:sz w:val="18"/>
                      <w:szCs w:val="18"/>
                      <w:u w:val="none"/>
                    </w:rPr>
                    <w:t>调查</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调查内容</w:t>
                  </w:r>
                </w:p>
              </w:tc>
              <w:tc>
                <w:tcPr>
                  <w:tcW w:w="198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ind w:left="-210"/>
                    <w:jc w:val="right"/>
                    <w:rPr>
                      <w:sz w:val="18"/>
                      <w:szCs w:val="18"/>
                      <w:u w:val="none"/>
                      <w:lang w:val="en-GB" w:eastAsia="zh-TW"/>
                    </w:rPr>
                  </w:pPr>
                  <w:r>
                    <w:rPr>
                      <w:rFonts w:hint="eastAsia"/>
                      <w:sz w:val="18"/>
                      <w:szCs w:val="18"/>
                      <w:u w:val="none"/>
                    </w:rPr>
                    <w:t>本项目正常排放源</w:t>
                  </w:r>
                  <w:r>
                    <w:rPr>
                      <w:sz w:val="18"/>
                      <w:szCs w:val="18"/>
                      <w:u w:val="none"/>
                      <w:bdr w:val="single" w:color="auto" w:sz="4" w:space="0"/>
                    </w:rPr>
                    <w:t>√</w:t>
                  </w:r>
                </w:p>
                <w:p>
                  <w:pPr>
                    <w:spacing w:line="300" w:lineRule="exact"/>
                    <w:ind w:left="-210"/>
                    <w:jc w:val="right"/>
                    <w:rPr>
                      <w:sz w:val="18"/>
                      <w:szCs w:val="18"/>
                      <w:u w:val="none"/>
                    </w:rPr>
                  </w:pPr>
                  <w:r>
                    <w:rPr>
                      <w:rFonts w:hint="eastAsia"/>
                      <w:sz w:val="18"/>
                      <w:szCs w:val="18"/>
                      <w:u w:val="none"/>
                    </w:rPr>
                    <w:t>本项目非正常排放源</w:t>
                  </w:r>
                  <w:r>
                    <w:rPr>
                      <w:rFonts w:hint="eastAsia" w:ascii="宋体" w:hAnsi="宋体"/>
                      <w:sz w:val="18"/>
                      <w:szCs w:val="18"/>
                      <w:u w:val="none"/>
                    </w:rPr>
                    <w:t>□</w:t>
                  </w:r>
                </w:p>
                <w:p>
                  <w:pPr>
                    <w:spacing w:line="300" w:lineRule="exact"/>
                    <w:ind w:left="-210"/>
                    <w:jc w:val="right"/>
                    <w:rPr>
                      <w:sz w:val="18"/>
                      <w:szCs w:val="18"/>
                      <w:u w:val="none"/>
                      <w:lang w:val="en-GB" w:eastAsia="zh-TW"/>
                    </w:rPr>
                  </w:pPr>
                  <w:r>
                    <w:rPr>
                      <w:rFonts w:hint="eastAsia"/>
                      <w:sz w:val="18"/>
                      <w:szCs w:val="18"/>
                      <w:u w:val="none"/>
                    </w:rPr>
                    <w:t>现有污染源</w:t>
                  </w:r>
                  <w:r>
                    <w:rPr>
                      <w:rFonts w:hint="eastAsia" w:ascii="宋体" w:hAnsi="宋体"/>
                      <w:sz w:val="18"/>
                      <w:szCs w:val="18"/>
                      <w:u w:val="none"/>
                    </w:rPr>
                    <w:t>□</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rPr>
                  </w:pPr>
                  <w:r>
                    <w:rPr>
                      <w:rFonts w:hint="eastAsia"/>
                      <w:sz w:val="18"/>
                      <w:szCs w:val="18"/>
                      <w:u w:val="none"/>
                    </w:rPr>
                    <w:t>拟替代的</w:t>
                  </w:r>
                </w:p>
                <w:p>
                  <w:pPr>
                    <w:spacing w:line="300" w:lineRule="exact"/>
                    <w:ind w:left="-105" w:right="-105"/>
                    <w:jc w:val="center"/>
                    <w:rPr>
                      <w:sz w:val="18"/>
                      <w:szCs w:val="18"/>
                      <w:u w:val="none"/>
                      <w:lang w:val="en-GB" w:eastAsia="zh-TW"/>
                    </w:rPr>
                  </w:pPr>
                  <w:r>
                    <w:rPr>
                      <w:rFonts w:hint="eastAsia"/>
                      <w:sz w:val="18"/>
                      <w:szCs w:val="18"/>
                      <w:u w:val="none"/>
                    </w:rPr>
                    <w:t>污染源</w:t>
                  </w:r>
                  <w:r>
                    <w:rPr>
                      <w:rFonts w:hint="eastAsia" w:ascii="宋体" w:hAnsi="宋体"/>
                      <w:sz w:val="18"/>
                      <w:szCs w:val="18"/>
                      <w:u w:val="none"/>
                    </w:rPr>
                    <w:t>□</w:t>
                  </w:r>
                </w:p>
              </w:tc>
              <w:tc>
                <w:tcPr>
                  <w:tcW w:w="159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其他在建、拟建</w:t>
                  </w:r>
                </w:p>
                <w:p>
                  <w:pPr>
                    <w:spacing w:line="300" w:lineRule="exact"/>
                    <w:jc w:val="center"/>
                    <w:rPr>
                      <w:sz w:val="18"/>
                      <w:szCs w:val="18"/>
                      <w:u w:val="none"/>
                      <w:lang w:val="en-GB" w:eastAsia="zh-TW"/>
                    </w:rPr>
                  </w:pPr>
                  <w:r>
                    <w:rPr>
                      <w:rFonts w:hint="eastAsia"/>
                      <w:sz w:val="18"/>
                      <w:szCs w:val="18"/>
                      <w:u w:val="none"/>
                    </w:rPr>
                    <w:t>项目污染源</w:t>
                  </w:r>
                  <w:r>
                    <w:rPr>
                      <w:rFonts w:hint="eastAsia" w:ascii="宋体" w:hAnsi="宋体"/>
                      <w:sz w:val="18"/>
                      <w:szCs w:val="18"/>
                      <w:u w:val="none"/>
                    </w:rPr>
                    <w:t>□</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区域污染源</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大气环境</w:t>
                  </w:r>
                </w:p>
                <w:p>
                  <w:pPr>
                    <w:spacing w:line="300" w:lineRule="exact"/>
                    <w:jc w:val="center"/>
                    <w:rPr>
                      <w:sz w:val="18"/>
                      <w:szCs w:val="18"/>
                      <w:u w:val="none"/>
                    </w:rPr>
                  </w:pPr>
                  <w:r>
                    <w:rPr>
                      <w:rFonts w:hint="eastAsia"/>
                      <w:sz w:val="18"/>
                      <w:szCs w:val="18"/>
                      <w:u w:val="none"/>
                    </w:rPr>
                    <w:t>影响预测</w:t>
                  </w:r>
                </w:p>
                <w:p>
                  <w:pPr>
                    <w:spacing w:line="300" w:lineRule="exact"/>
                    <w:jc w:val="center"/>
                    <w:rPr>
                      <w:sz w:val="18"/>
                      <w:szCs w:val="18"/>
                      <w:u w:val="none"/>
                      <w:lang w:val="en-GB" w:eastAsia="zh-TW"/>
                    </w:rPr>
                  </w:pPr>
                  <w:r>
                    <w:rPr>
                      <w:rFonts w:hint="eastAsia"/>
                      <w:sz w:val="18"/>
                      <w:szCs w:val="18"/>
                      <w:u w:val="none"/>
                    </w:rPr>
                    <w:t>与评价</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预测模型</w:t>
                  </w:r>
                </w:p>
              </w:tc>
              <w:tc>
                <w:tcPr>
                  <w:tcW w:w="786"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sz w:val="18"/>
                      <w:szCs w:val="18"/>
                      <w:u w:val="none"/>
                    </w:rPr>
                    <w:t>AERMOD</w:t>
                  </w:r>
                </w:p>
                <w:p>
                  <w:pPr>
                    <w:spacing w:line="300" w:lineRule="exact"/>
                    <w:jc w:val="center"/>
                    <w:rPr>
                      <w:sz w:val="18"/>
                      <w:szCs w:val="18"/>
                      <w:u w:val="none"/>
                      <w:lang w:val="en-GB" w:eastAsia="zh-TW"/>
                    </w:rPr>
                  </w:pPr>
                  <w:r>
                    <w:rPr>
                      <w:rFonts w:hint="eastAsia" w:ascii="宋体" w:hAnsi="宋体"/>
                      <w:sz w:val="18"/>
                      <w:szCs w:val="18"/>
                      <w:u w:val="none"/>
                    </w:rPr>
                    <w:t>□</w:t>
                  </w:r>
                </w:p>
              </w:tc>
              <w:tc>
                <w:tcPr>
                  <w:tcW w:w="90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sz w:val="18"/>
                      <w:szCs w:val="18"/>
                      <w:u w:val="none"/>
                    </w:rPr>
                    <w:t>ADMS</w:t>
                  </w:r>
                </w:p>
                <w:p>
                  <w:pPr>
                    <w:spacing w:line="300" w:lineRule="exact"/>
                    <w:ind w:left="-105" w:right="-105"/>
                    <w:jc w:val="center"/>
                    <w:rPr>
                      <w:sz w:val="18"/>
                      <w:szCs w:val="18"/>
                      <w:u w:val="none"/>
                      <w:lang w:val="en-GB" w:eastAsia="zh-TW"/>
                    </w:rPr>
                  </w:pPr>
                  <w:r>
                    <w:rPr>
                      <w:rFonts w:hint="eastAsia" w:ascii="宋体" w:hAnsi="宋体"/>
                      <w:sz w:val="18"/>
                      <w:szCs w:val="18"/>
                      <w:u w:val="none"/>
                    </w:rPr>
                    <w:t>□</w:t>
                  </w:r>
                </w:p>
              </w:tc>
              <w:tc>
                <w:tcPr>
                  <w:tcW w:w="115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sz w:val="18"/>
                      <w:szCs w:val="18"/>
                      <w:u w:val="none"/>
                    </w:rPr>
                    <w:t>AUSTAL2000</w:t>
                  </w:r>
                </w:p>
                <w:p>
                  <w:pPr>
                    <w:spacing w:line="300" w:lineRule="exact"/>
                    <w:ind w:left="-105" w:right="-105"/>
                    <w:jc w:val="center"/>
                    <w:rPr>
                      <w:sz w:val="18"/>
                      <w:szCs w:val="18"/>
                      <w:u w:val="none"/>
                      <w:lang w:val="en-GB" w:eastAsia="zh-TW"/>
                    </w:rPr>
                  </w:pPr>
                  <w:r>
                    <w:rPr>
                      <w:rFonts w:hint="eastAsia" w:ascii="宋体" w:hAnsi="宋体"/>
                      <w:sz w:val="18"/>
                      <w:szCs w:val="18"/>
                      <w:u w:val="none"/>
                    </w:rPr>
                    <w:t>□</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sz w:val="18"/>
                      <w:szCs w:val="18"/>
                      <w:u w:val="none"/>
                    </w:rPr>
                    <w:t>EDMS/AEDT</w:t>
                  </w:r>
                </w:p>
                <w:p>
                  <w:pPr>
                    <w:spacing w:line="300" w:lineRule="exact"/>
                    <w:ind w:left="-105" w:right="-105"/>
                    <w:jc w:val="center"/>
                    <w:rPr>
                      <w:sz w:val="18"/>
                      <w:szCs w:val="18"/>
                      <w:u w:val="none"/>
                      <w:lang w:val="en-GB" w:eastAsia="zh-TW"/>
                    </w:rPr>
                  </w:pPr>
                  <w:r>
                    <w:rPr>
                      <w:rFonts w:hint="eastAsia" w:ascii="宋体" w:hAnsi="宋体"/>
                      <w:sz w:val="18"/>
                      <w:szCs w:val="18"/>
                      <w:u w:val="none"/>
                    </w:rPr>
                    <w:t>□</w:t>
                  </w:r>
                </w:p>
              </w:tc>
              <w:tc>
                <w:tcPr>
                  <w:tcW w:w="80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sz w:val="18"/>
                      <w:szCs w:val="18"/>
                      <w:u w:val="none"/>
                    </w:rPr>
                    <w:t>CALPUFF</w:t>
                  </w:r>
                </w:p>
                <w:p>
                  <w:pPr>
                    <w:spacing w:line="300" w:lineRule="exact"/>
                    <w:ind w:left="-105" w:right="-105"/>
                    <w:jc w:val="center"/>
                    <w:rPr>
                      <w:sz w:val="18"/>
                      <w:szCs w:val="18"/>
                      <w:u w:val="none"/>
                      <w:lang w:val="en-GB" w:eastAsia="zh-TW"/>
                    </w:rPr>
                  </w:pPr>
                  <w:r>
                    <w:rPr>
                      <w:rFonts w:hint="eastAsia" w:ascii="宋体" w:hAnsi="宋体"/>
                      <w:sz w:val="18"/>
                      <w:szCs w:val="18"/>
                      <w:u w:val="none"/>
                    </w:rPr>
                    <w:t>□</w:t>
                  </w:r>
                </w:p>
              </w:tc>
              <w:tc>
                <w:tcPr>
                  <w:tcW w:w="81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rFonts w:hint="eastAsia"/>
                      <w:sz w:val="18"/>
                      <w:szCs w:val="18"/>
                      <w:u w:val="none"/>
                    </w:rPr>
                    <w:t>网格模型</w:t>
                  </w:r>
                </w:p>
                <w:p>
                  <w:pPr>
                    <w:spacing w:line="300" w:lineRule="exact"/>
                    <w:ind w:left="-105" w:right="-105"/>
                    <w:jc w:val="center"/>
                    <w:rPr>
                      <w:sz w:val="18"/>
                      <w:szCs w:val="18"/>
                      <w:u w:val="none"/>
                      <w:lang w:val="en-GB" w:eastAsia="zh-TW"/>
                    </w:rPr>
                  </w:pPr>
                  <w:r>
                    <w:rPr>
                      <w:rFonts w:hint="eastAsia" w:ascii="宋体" w:hAnsi="宋体"/>
                      <w:sz w:val="18"/>
                      <w:szCs w:val="18"/>
                      <w:u w:val="none"/>
                    </w:rPr>
                    <w:t>□</w:t>
                  </w:r>
                </w:p>
              </w:tc>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rFonts w:hint="eastAsia"/>
                      <w:sz w:val="18"/>
                      <w:szCs w:val="18"/>
                      <w:u w:val="none"/>
                    </w:rPr>
                    <w:t>其他</w:t>
                  </w:r>
                </w:p>
                <w:p>
                  <w:pPr>
                    <w:spacing w:line="300" w:lineRule="exact"/>
                    <w:ind w:left="-105" w:right="-105"/>
                    <w:jc w:val="center"/>
                    <w:rPr>
                      <w:sz w:val="18"/>
                      <w:szCs w:val="18"/>
                      <w:u w:val="none"/>
                      <w:lang w:val="en-GB" w:eastAsia="zh-TW"/>
                    </w:rPr>
                  </w:pP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预测范围</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≥50km</w:t>
                  </w:r>
                  <w:r>
                    <w:rPr>
                      <w:rFonts w:hint="eastAsia" w:ascii="宋体" w:hAnsi="宋体"/>
                      <w:sz w:val="18"/>
                      <w:szCs w:val="18"/>
                      <w:u w:val="none"/>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5~50km</w:t>
                  </w:r>
                  <w:r>
                    <w:rPr>
                      <w:rFonts w:hint="eastAsia" w:ascii="宋体" w:hAnsi="宋体"/>
                      <w:sz w:val="18"/>
                      <w:szCs w:val="18"/>
                      <w:u w:val="none"/>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边长</w:t>
                  </w:r>
                  <w:r>
                    <w:rPr>
                      <w:sz w:val="18"/>
                      <w:szCs w:val="18"/>
                      <w:u w:val="none"/>
                    </w:rPr>
                    <w:t>=5km</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预测因子</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position w:val="4"/>
                      <w:sz w:val="18"/>
                      <w:szCs w:val="18"/>
                      <w:u w:val="none"/>
                      <w:vertAlign w:val="subscript"/>
                      <w:lang w:val="en-GB" w:eastAsia="zh-TW"/>
                    </w:rPr>
                  </w:pPr>
                  <w:r>
                    <w:rPr>
                      <w:rFonts w:hint="eastAsia"/>
                      <w:sz w:val="18"/>
                      <w:szCs w:val="18"/>
                      <w:u w:val="none"/>
                    </w:rPr>
                    <w:t>预测因子（P</w:t>
                  </w:r>
                  <w:r>
                    <w:rPr>
                      <w:sz w:val="18"/>
                      <w:szCs w:val="18"/>
                      <w:u w:val="none"/>
                    </w:rPr>
                    <w:t>M</w:t>
                  </w:r>
                  <w:r>
                    <w:rPr>
                      <w:sz w:val="18"/>
                      <w:szCs w:val="18"/>
                      <w:u w:val="none"/>
                      <w:vertAlign w:val="subscript"/>
                    </w:rPr>
                    <w:t>10</w:t>
                  </w:r>
                  <w:r>
                    <w:rPr>
                      <w:rFonts w:hint="eastAsia"/>
                      <w:sz w:val="18"/>
                      <w:szCs w:val="18"/>
                      <w:u w:val="none"/>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u w:val="none"/>
                    </w:rPr>
                  </w:pPr>
                  <w:r>
                    <w:rPr>
                      <w:rFonts w:hint="eastAsia"/>
                      <w:sz w:val="18"/>
                      <w:szCs w:val="18"/>
                      <w:u w:val="none"/>
                    </w:rPr>
                    <w:t>不包括二次</w:t>
                  </w:r>
                  <w:r>
                    <w:rPr>
                      <w:sz w:val="18"/>
                      <w:szCs w:val="18"/>
                      <w:u w:val="none"/>
                    </w:rPr>
                    <w:t>PM</w:t>
                  </w:r>
                  <w:r>
                    <w:rPr>
                      <w:sz w:val="18"/>
                      <w:szCs w:val="18"/>
                      <w:u w:val="none"/>
                      <w:vertAlign w:val="subscript"/>
                    </w:rPr>
                    <w:t>2.5</w:t>
                  </w:r>
                  <w:r>
                    <w:rPr>
                      <w:rFonts w:hint="eastAsia" w:ascii="宋体" w:hAnsi="宋体"/>
                      <w:sz w:val="18"/>
                      <w:szCs w:val="18"/>
                      <w:u w:val="none"/>
                    </w:rPr>
                    <w:t>□</w:t>
                  </w:r>
                </w:p>
                <w:p>
                  <w:pPr>
                    <w:spacing w:line="300" w:lineRule="exact"/>
                    <w:jc w:val="center"/>
                    <w:rPr>
                      <w:sz w:val="18"/>
                      <w:szCs w:val="18"/>
                      <w:u w:val="none"/>
                      <w:lang w:val="en-GB" w:eastAsia="zh-TW"/>
                    </w:rPr>
                  </w:pPr>
                  <w:r>
                    <w:rPr>
                      <w:rFonts w:hint="eastAsia"/>
                      <w:sz w:val="18"/>
                      <w:szCs w:val="18"/>
                      <w:u w:val="none"/>
                    </w:rPr>
                    <w:t>包括二次</w:t>
                  </w:r>
                  <w:r>
                    <w:rPr>
                      <w:sz w:val="18"/>
                      <w:szCs w:val="18"/>
                      <w:u w:val="none"/>
                    </w:rPr>
                    <w:t>PM</w:t>
                  </w:r>
                  <w:r>
                    <w:rPr>
                      <w:sz w:val="18"/>
                      <w:szCs w:val="18"/>
                      <w:u w:val="none"/>
                      <w:vertAlign w:val="subscript"/>
                    </w:rPr>
                    <w:t>2.5</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正常排放短期</w:t>
                  </w:r>
                </w:p>
                <w:p>
                  <w:pPr>
                    <w:spacing w:line="300" w:lineRule="exact"/>
                    <w:jc w:val="center"/>
                    <w:rPr>
                      <w:sz w:val="18"/>
                      <w:szCs w:val="18"/>
                      <w:u w:val="none"/>
                      <w:lang w:val="en-GB" w:eastAsia="zh-TW"/>
                    </w:rPr>
                  </w:pPr>
                  <w:r>
                    <w:rPr>
                      <w:rFonts w:hint="eastAsia"/>
                      <w:sz w:val="18"/>
                      <w:szCs w:val="18"/>
                      <w:u w:val="none"/>
                    </w:rPr>
                    <w:t>浓度贡献值</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≤100%</w:t>
                  </w:r>
                  <w:r>
                    <w:rPr>
                      <w:rFonts w:hint="eastAsia" w:ascii="宋体" w:hAnsi="宋体"/>
                      <w:sz w:val="18"/>
                      <w:szCs w:val="18"/>
                      <w:u w:val="none"/>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&gt;100%</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正常排放年平</w:t>
                  </w:r>
                </w:p>
                <w:p>
                  <w:pPr>
                    <w:spacing w:line="300" w:lineRule="exact"/>
                    <w:jc w:val="center"/>
                    <w:rPr>
                      <w:sz w:val="18"/>
                      <w:szCs w:val="18"/>
                      <w:u w:val="none"/>
                      <w:lang w:val="en-GB" w:eastAsia="zh-TW"/>
                    </w:rPr>
                  </w:pPr>
                  <w:r>
                    <w:rPr>
                      <w:rFonts w:hint="eastAsia"/>
                      <w:sz w:val="18"/>
                      <w:szCs w:val="18"/>
                      <w:u w:val="none"/>
                    </w:rPr>
                    <w:t>均浓度贡献值</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一类区</w:t>
                  </w:r>
                </w:p>
              </w:tc>
              <w:tc>
                <w:tcPr>
                  <w:tcW w:w="3222"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≤10%</w:t>
                  </w:r>
                  <w:r>
                    <w:rPr>
                      <w:rFonts w:hint="eastAsia" w:ascii="宋体" w:hAnsi="宋体"/>
                      <w:sz w:val="18"/>
                      <w:szCs w:val="18"/>
                      <w:u w:val="none"/>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&gt;10%</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二类区</w:t>
                  </w:r>
                </w:p>
              </w:tc>
              <w:tc>
                <w:tcPr>
                  <w:tcW w:w="3222"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≤30%</w:t>
                  </w:r>
                  <w:r>
                    <w:rPr>
                      <w:sz w:val="18"/>
                      <w:szCs w:val="18"/>
                      <w:u w:val="none"/>
                      <w:bdr w:val="single" w:color="auto" w:sz="4" w:space="0"/>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本项目</w:t>
                  </w:r>
                  <w:r>
                    <w:rPr>
                      <w:rFonts w:hint="eastAsia"/>
                      <w:sz w:val="18"/>
                      <w:szCs w:val="18"/>
                      <w:u w:val="none"/>
                    </w:rPr>
                    <w:t>最大占标率</w:t>
                  </w:r>
                  <w:r>
                    <w:rPr>
                      <w:sz w:val="18"/>
                      <w:szCs w:val="18"/>
                      <w:u w:val="none"/>
                    </w:rPr>
                    <w:t>&gt;30%</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非正常排放</w:t>
                  </w:r>
                </w:p>
                <w:p>
                  <w:pPr>
                    <w:spacing w:line="300" w:lineRule="exact"/>
                    <w:jc w:val="center"/>
                    <w:rPr>
                      <w:sz w:val="18"/>
                      <w:szCs w:val="18"/>
                      <w:u w:val="none"/>
                      <w:lang w:val="en-GB" w:eastAsia="zh-TW"/>
                    </w:rPr>
                  </w:pPr>
                  <w:r>
                    <w:rPr>
                      <w:sz w:val="18"/>
                      <w:szCs w:val="18"/>
                      <w:u w:val="none"/>
                    </w:rPr>
                    <w:t>1h</w:t>
                  </w:r>
                  <w:r>
                    <w:rPr>
                      <w:rFonts w:hint="eastAsia"/>
                      <w:sz w:val="18"/>
                      <w:szCs w:val="18"/>
                      <w:u w:val="none"/>
                    </w:rPr>
                    <w:t>浓度贡献值</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非正常持续时长</w:t>
                  </w:r>
                </w:p>
                <w:p>
                  <w:pPr>
                    <w:spacing w:line="300" w:lineRule="exact"/>
                    <w:jc w:val="center"/>
                    <w:rPr>
                      <w:sz w:val="18"/>
                      <w:szCs w:val="18"/>
                      <w:u w:val="none"/>
                      <w:lang w:val="en-GB" w:eastAsia="zh-TW"/>
                    </w:rPr>
                  </w:pPr>
                  <w:r>
                    <w:rPr>
                      <w:rFonts w:hint="eastAsia"/>
                      <w:sz w:val="18"/>
                      <w:szCs w:val="18"/>
                      <w:u w:val="none"/>
                    </w:rPr>
                    <w:t>（</w:t>
                  </w:r>
                  <w:r>
                    <w:rPr>
                      <w:sz w:val="18"/>
                      <w:szCs w:val="18"/>
                      <w:u w:val="none"/>
                    </w:rPr>
                    <w:t xml:space="preserve"> </w:t>
                  </w:r>
                  <w:r>
                    <w:rPr>
                      <w:rFonts w:hint="eastAsia"/>
                      <w:sz w:val="18"/>
                      <w:szCs w:val="18"/>
                      <w:u w:val="none"/>
                    </w:rPr>
                    <w:t>）</w:t>
                  </w:r>
                  <w:r>
                    <w:rPr>
                      <w:sz w:val="18"/>
                      <w:szCs w:val="18"/>
                      <w:u w:val="none"/>
                    </w:rPr>
                    <w:t>h</w:t>
                  </w:r>
                </w:p>
              </w:tc>
              <w:tc>
                <w:tcPr>
                  <w:tcW w:w="24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非正常</w:t>
                  </w:r>
                  <w:r>
                    <w:rPr>
                      <w:rFonts w:hint="eastAsia"/>
                      <w:sz w:val="18"/>
                      <w:szCs w:val="18"/>
                      <w:u w:val="none"/>
                    </w:rPr>
                    <w:t>最大占标率</w:t>
                  </w:r>
                  <w:r>
                    <w:rPr>
                      <w:sz w:val="18"/>
                      <w:szCs w:val="18"/>
                      <w:u w:val="none"/>
                    </w:rPr>
                    <w:t>≤100%</w:t>
                  </w:r>
                  <w:r>
                    <w:rPr>
                      <w:rFonts w:hint="eastAsia" w:ascii="宋体" w:hAnsi="宋体"/>
                      <w:sz w:val="18"/>
                      <w:szCs w:val="18"/>
                      <w:u w:val="none"/>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非正常</w:t>
                  </w:r>
                  <w:r>
                    <w:rPr>
                      <w:rFonts w:hint="eastAsia"/>
                      <w:sz w:val="18"/>
                      <w:szCs w:val="18"/>
                      <w:u w:val="none"/>
                    </w:rPr>
                    <w:t>最大占标率</w:t>
                  </w:r>
                  <w:r>
                    <w:rPr>
                      <w:sz w:val="18"/>
                      <w:szCs w:val="18"/>
                      <w:u w:val="none"/>
                    </w:rPr>
                    <w:t>&gt;100%</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u w:val="none"/>
                      <w:lang w:val="en-GB" w:eastAsia="zh-TW"/>
                    </w:rPr>
                  </w:pPr>
                  <w:r>
                    <w:rPr>
                      <w:rFonts w:hint="eastAsia"/>
                      <w:sz w:val="18"/>
                      <w:szCs w:val="18"/>
                      <w:u w:val="none"/>
                    </w:rPr>
                    <w:t>保证率日平均浓度</w:t>
                  </w:r>
                </w:p>
                <w:p>
                  <w:pPr>
                    <w:spacing w:line="300" w:lineRule="exact"/>
                    <w:ind w:left="-105" w:right="-105"/>
                    <w:jc w:val="center"/>
                    <w:rPr>
                      <w:sz w:val="18"/>
                      <w:szCs w:val="18"/>
                      <w:u w:val="none"/>
                      <w:lang w:val="en-GB" w:eastAsia="zh-TW"/>
                    </w:rPr>
                  </w:pPr>
                  <w:r>
                    <w:rPr>
                      <w:rFonts w:hint="eastAsia"/>
                      <w:sz w:val="18"/>
                      <w:szCs w:val="18"/>
                      <w:u w:val="none"/>
                    </w:rPr>
                    <w:t>和年平均浓度叠加值</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叠加</w:t>
                  </w:r>
                  <w:r>
                    <w:rPr>
                      <w:rFonts w:hint="eastAsia"/>
                      <w:sz w:val="18"/>
                      <w:szCs w:val="18"/>
                      <w:u w:val="none"/>
                    </w:rPr>
                    <w:t>达标</w:t>
                  </w:r>
                  <w:r>
                    <w:rPr>
                      <w:rFonts w:hint="eastAsia" w:ascii="宋体" w:hAnsi="宋体"/>
                      <w:sz w:val="18"/>
                      <w:szCs w:val="18"/>
                      <w:u w:val="none"/>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C</w:t>
                  </w:r>
                  <w:r>
                    <w:rPr>
                      <w:rFonts w:hint="eastAsia"/>
                      <w:sz w:val="18"/>
                      <w:szCs w:val="18"/>
                      <w:u w:val="none"/>
                      <w:vertAlign w:val="subscript"/>
                    </w:rPr>
                    <w:t>叠加</w:t>
                  </w:r>
                  <w:r>
                    <w:rPr>
                      <w:rFonts w:hint="eastAsia"/>
                      <w:sz w:val="18"/>
                      <w:szCs w:val="18"/>
                      <w:u w:val="none"/>
                    </w:rPr>
                    <w:t>不达标</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区域环境质量的</w:t>
                  </w:r>
                </w:p>
                <w:p>
                  <w:pPr>
                    <w:spacing w:line="300" w:lineRule="exact"/>
                    <w:jc w:val="center"/>
                    <w:rPr>
                      <w:sz w:val="18"/>
                      <w:szCs w:val="18"/>
                      <w:u w:val="none"/>
                      <w:lang w:val="en-GB" w:eastAsia="zh-TW"/>
                    </w:rPr>
                  </w:pPr>
                  <w:r>
                    <w:rPr>
                      <w:rFonts w:hint="eastAsia"/>
                      <w:sz w:val="18"/>
                      <w:szCs w:val="18"/>
                      <w:u w:val="none"/>
                    </w:rPr>
                    <w:t>整体变化情况</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k ≤ -20%</w:t>
                  </w:r>
                  <w:r>
                    <w:rPr>
                      <w:rFonts w:hint="eastAsia" w:ascii="宋体" w:hAnsi="宋体"/>
                      <w:sz w:val="18"/>
                      <w:szCs w:val="18"/>
                      <w:u w:val="none"/>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sz w:val="18"/>
                      <w:szCs w:val="18"/>
                      <w:u w:val="none"/>
                    </w:rPr>
                    <w:t>k &gt;-20%</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环境监测</w:t>
                  </w:r>
                </w:p>
                <w:p>
                  <w:pPr>
                    <w:spacing w:line="300" w:lineRule="exact"/>
                    <w:jc w:val="center"/>
                    <w:rPr>
                      <w:sz w:val="18"/>
                      <w:szCs w:val="18"/>
                      <w:u w:val="none"/>
                      <w:lang w:val="en-GB" w:eastAsia="zh-TW"/>
                    </w:rPr>
                  </w:pPr>
                  <w:r>
                    <w:rPr>
                      <w:rFonts w:hint="eastAsia"/>
                      <w:sz w:val="18"/>
                      <w:szCs w:val="18"/>
                      <w:u w:val="none"/>
                    </w:rPr>
                    <w:t>计划</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污染源监测</w:t>
                  </w:r>
                </w:p>
              </w:tc>
              <w:tc>
                <w:tcPr>
                  <w:tcW w:w="2063"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监测因子：（颗粒物）</w:t>
                  </w:r>
                </w:p>
              </w:tc>
              <w:tc>
                <w:tcPr>
                  <w:tcW w:w="25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有组织废气监测</w:t>
                  </w:r>
                  <w:r>
                    <w:rPr>
                      <w:sz w:val="18"/>
                      <w:szCs w:val="18"/>
                      <w:u w:val="none"/>
                      <w:bdr w:val="single" w:color="auto" w:sz="4" w:space="0"/>
                    </w:rPr>
                    <w:t>√</w:t>
                  </w:r>
                </w:p>
                <w:p>
                  <w:pPr>
                    <w:spacing w:line="300" w:lineRule="exact"/>
                    <w:jc w:val="center"/>
                    <w:rPr>
                      <w:b/>
                      <w:sz w:val="18"/>
                      <w:szCs w:val="18"/>
                      <w:u w:val="none"/>
                      <w:lang w:val="en-GB" w:eastAsia="zh-TW"/>
                    </w:rPr>
                  </w:pPr>
                  <w:r>
                    <w:rPr>
                      <w:rFonts w:hint="eastAsia"/>
                      <w:sz w:val="18"/>
                      <w:szCs w:val="18"/>
                      <w:u w:val="none"/>
                    </w:rPr>
                    <w:t>无组织废气监测</w:t>
                  </w:r>
                  <w:r>
                    <w:rPr>
                      <w:sz w:val="18"/>
                      <w:szCs w:val="18"/>
                      <w:u w:val="none"/>
                      <w:bdr w:val="single" w:color="auto" w:sz="4" w:space="0"/>
                    </w:rPr>
                    <w:t>√</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无监测</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环境质量监测</w:t>
                  </w:r>
                </w:p>
              </w:tc>
              <w:tc>
                <w:tcPr>
                  <w:tcW w:w="2063"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监测因子：（</w:t>
                  </w:r>
                  <w:r>
                    <w:rPr>
                      <w:sz w:val="18"/>
                      <w:szCs w:val="18"/>
                      <w:u w:val="none"/>
                    </w:rPr>
                    <w:t xml:space="preserve">     /     </w:t>
                  </w:r>
                  <w:r>
                    <w:rPr>
                      <w:rFonts w:hint="eastAsia"/>
                      <w:sz w:val="18"/>
                      <w:szCs w:val="18"/>
                      <w:u w:val="none"/>
                    </w:rPr>
                    <w:t>）</w:t>
                  </w:r>
                </w:p>
              </w:tc>
              <w:tc>
                <w:tcPr>
                  <w:tcW w:w="25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监测点位数（</w:t>
                  </w:r>
                  <w:r>
                    <w:rPr>
                      <w:sz w:val="18"/>
                      <w:szCs w:val="18"/>
                      <w:u w:val="none"/>
                    </w:rPr>
                    <w:t xml:space="preserve"> /  </w:t>
                  </w:r>
                  <w:r>
                    <w:rPr>
                      <w:rFonts w:hint="eastAsia"/>
                      <w:sz w:val="18"/>
                      <w:szCs w:val="18"/>
                      <w:u w:val="none"/>
                    </w:rPr>
                    <w:t>）</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无监测</w:t>
                  </w:r>
                  <w:r>
                    <w:rPr>
                      <w:sz w:val="18"/>
                      <w:szCs w:val="18"/>
                      <w:u w:val="none"/>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评价</w:t>
                  </w:r>
                  <w:r>
                    <w:rPr>
                      <w:sz w:val="18"/>
                      <w:szCs w:val="18"/>
                      <w:u w:val="none"/>
                    </w:rPr>
                    <w:t xml:space="preserve">                                           </w:t>
                  </w:r>
                  <w:r>
                    <w:rPr>
                      <w:rFonts w:hint="eastAsia"/>
                      <w:sz w:val="18"/>
                      <w:szCs w:val="18"/>
                      <w:u w:val="none"/>
                    </w:rPr>
                    <w:t>结论</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环境影响</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可以接受</w:t>
                  </w:r>
                  <w:r>
                    <w:rPr>
                      <w:sz w:val="18"/>
                      <w:szCs w:val="18"/>
                      <w:u w:val="none"/>
                      <w:bdr w:val="single" w:color="auto" w:sz="4" w:space="0"/>
                    </w:rPr>
                    <w:t>√</w:t>
                  </w:r>
                  <w:r>
                    <w:rPr>
                      <w:sz w:val="18"/>
                      <w:szCs w:val="18"/>
                      <w:u w:val="none"/>
                    </w:rPr>
                    <w:t xml:space="preserve">                    </w:t>
                  </w:r>
                  <w:r>
                    <w:rPr>
                      <w:rFonts w:hint="eastAsia"/>
                      <w:sz w:val="18"/>
                      <w:szCs w:val="18"/>
                      <w:u w:val="none"/>
                    </w:rPr>
                    <w:t>不可以接受</w:t>
                  </w:r>
                  <w:r>
                    <w:rPr>
                      <w:rFonts w:hint="eastAsia" w:ascii="宋体" w:hAnsi="宋体"/>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rPr>
                  </w:pPr>
                  <w:r>
                    <w:rPr>
                      <w:rFonts w:hint="eastAsia"/>
                      <w:sz w:val="18"/>
                      <w:szCs w:val="18"/>
                      <w:u w:val="none"/>
                    </w:rPr>
                    <w:t>大气环境</w:t>
                  </w:r>
                </w:p>
                <w:p>
                  <w:pPr>
                    <w:spacing w:line="300" w:lineRule="exact"/>
                    <w:jc w:val="center"/>
                    <w:rPr>
                      <w:sz w:val="18"/>
                      <w:szCs w:val="18"/>
                      <w:u w:val="none"/>
                      <w:lang w:val="en-GB" w:eastAsia="zh-TW"/>
                    </w:rPr>
                  </w:pPr>
                  <w:r>
                    <w:rPr>
                      <w:rFonts w:hint="eastAsia"/>
                      <w:sz w:val="18"/>
                      <w:szCs w:val="18"/>
                      <w:u w:val="none"/>
                    </w:rPr>
                    <w:t>防护距离</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距（</w:t>
                  </w:r>
                  <w:r>
                    <w:rPr>
                      <w:sz w:val="18"/>
                      <w:szCs w:val="18"/>
                      <w:u w:val="none"/>
                    </w:rPr>
                    <w:t>/</w:t>
                  </w:r>
                  <w:r>
                    <w:rPr>
                      <w:rFonts w:hint="eastAsia"/>
                      <w:sz w:val="18"/>
                      <w:szCs w:val="18"/>
                      <w:u w:val="none"/>
                    </w:rPr>
                    <w:t>）厂界最远（</w:t>
                  </w:r>
                  <w:r>
                    <w:rPr>
                      <w:sz w:val="18"/>
                      <w:szCs w:val="18"/>
                      <w:u w:val="none"/>
                    </w:rPr>
                    <w:t>/</w:t>
                  </w:r>
                  <w:r>
                    <w:rPr>
                      <w:rFonts w:hint="eastAsia"/>
                      <w:sz w:val="18"/>
                      <w:szCs w:val="18"/>
                      <w:u w:val="none"/>
                    </w:rPr>
                    <w:t>）</w:t>
                  </w:r>
                  <w:r>
                    <w:rPr>
                      <w:sz w:val="18"/>
                      <w:szCs w:val="18"/>
                      <w:u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污染源年排放量</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rPr>
                  </w:pPr>
                  <w:r>
                    <w:rPr>
                      <w:rFonts w:hint="eastAsia"/>
                      <w:sz w:val="18"/>
                      <w:szCs w:val="18"/>
                      <w:u w:val="none"/>
                    </w:rPr>
                    <w:t>颗粒物</w:t>
                  </w:r>
                </w:p>
                <w:p>
                  <w:pPr>
                    <w:spacing w:line="300" w:lineRule="exact"/>
                    <w:jc w:val="center"/>
                    <w:rPr>
                      <w:sz w:val="18"/>
                      <w:szCs w:val="18"/>
                      <w:u w:val="none"/>
                      <w:lang w:val="en-GB" w:eastAsia="zh-TW"/>
                    </w:rPr>
                  </w:pPr>
                  <w:r>
                    <w:rPr>
                      <w:rFonts w:hint="eastAsia"/>
                      <w:sz w:val="18"/>
                      <w:szCs w:val="18"/>
                      <w:u w:val="none"/>
                    </w:rPr>
                    <w:t>（0.</w:t>
                  </w:r>
                  <w:r>
                    <w:rPr>
                      <w:rFonts w:hint="eastAsia"/>
                      <w:sz w:val="18"/>
                      <w:szCs w:val="18"/>
                      <w:u w:val="none"/>
                      <w:lang w:val="en-US" w:eastAsia="zh-CN"/>
                    </w:rPr>
                    <w:t>0039</w:t>
                  </w:r>
                  <w:r>
                    <w:rPr>
                      <w:rFonts w:hint="eastAsia"/>
                      <w:sz w:val="18"/>
                      <w:szCs w:val="18"/>
                      <w:u w:val="none"/>
                    </w:rPr>
                    <w:t>）</w:t>
                  </w:r>
                  <w:r>
                    <w:rPr>
                      <w:sz w:val="18"/>
                      <w:szCs w:val="18"/>
                      <w:u w:val="none"/>
                    </w:rPr>
                    <w:t>t/a</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u w:val="none"/>
                      <w:lang w:val="en-GB" w:eastAsia="zh-TW"/>
                    </w:rPr>
                  </w:pPr>
                  <w:r>
                    <w:rPr>
                      <w:rFonts w:hint="eastAsia"/>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0" w:type="dxa"/>
                  <w:gridSpan w:val="20"/>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u w:val="none"/>
                      <w:lang w:val="en-GB" w:eastAsia="zh-TW"/>
                    </w:rPr>
                  </w:pPr>
                  <w:r>
                    <w:rPr>
                      <w:rFonts w:hint="eastAsia"/>
                      <w:sz w:val="18"/>
                      <w:szCs w:val="18"/>
                      <w:u w:val="none"/>
                    </w:rPr>
                    <w:t>注：</w:t>
                  </w:r>
                  <w:r>
                    <w:rPr>
                      <w:sz w:val="18"/>
                      <w:szCs w:val="18"/>
                      <w:u w:val="none"/>
                    </w:rPr>
                    <w:t>“□”</w:t>
                  </w:r>
                  <w:r>
                    <w:rPr>
                      <w:rFonts w:hint="eastAsia"/>
                      <w:sz w:val="18"/>
                      <w:szCs w:val="18"/>
                      <w:u w:val="none"/>
                    </w:rPr>
                    <w:t>为勾选项，填</w:t>
                  </w:r>
                  <w:r>
                    <w:rPr>
                      <w:sz w:val="18"/>
                      <w:szCs w:val="18"/>
                      <w:u w:val="none"/>
                    </w:rPr>
                    <w:t>“√”</w:t>
                  </w:r>
                  <w:r>
                    <w:rPr>
                      <w:rFonts w:hint="eastAsia"/>
                      <w:sz w:val="18"/>
                      <w:szCs w:val="18"/>
                      <w:u w:val="none"/>
                    </w:rPr>
                    <w:t>；</w:t>
                  </w:r>
                  <w:r>
                    <w:rPr>
                      <w:sz w:val="18"/>
                      <w:szCs w:val="18"/>
                      <w:u w:val="none"/>
                    </w:rPr>
                    <w:t>“</w:t>
                  </w:r>
                  <w:r>
                    <w:rPr>
                      <w:rFonts w:hint="eastAsia"/>
                      <w:sz w:val="18"/>
                      <w:szCs w:val="18"/>
                      <w:u w:val="none"/>
                    </w:rPr>
                    <w:t>（</w:t>
                  </w:r>
                  <w:r>
                    <w:rPr>
                      <w:sz w:val="18"/>
                      <w:szCs w:val="18"/>
                      <w:u w:val="none"/>
                    </w:rPr>
                    <w:t xml:space="preserve">    </w:t>
                  </w:r>
                  <w:r>
                    <w:rPr>
                      <w:rFonts w:hint="eastAsia"/>
                      <w:sz w:val="18"/>
                      <w:szCs w:val="18"/>
                      <w:u w:val="none"/>
                    </w:rPr>
                    <w:t>）</w:t>
                  </w:r>
                  <w:r>
                    <w:rPr>
                      <w:sz w:val="18"/>
                      <w:szCs w:val="18"/>
                      <w:u w:val="none"/>
                    </w:rPr>
                    <w:t>”</w:t>
                  </w:r>
                  <w:r>
                    <w:rPr>
                      <w:rFonts w:hint="eastAsia"/>
                      <w:sz w:val="18"/>
                      <w:szCs w:val="18"/>
                      <w:u w:val="none"/>
                    </w:rPr>
                    <w:t>为内容填写项</w:t>
                  </w:r>
                </w:p>
              </w:tc>
            </w:tr>
          </w:tbl>
          <w:p>
            <w:pPr>
              <w:spacing w:line="360" w:lineRule="auto"/>
              <w:rPr>
                <w:b/>
                <w:sz w:val="24"/>
                <w:szCs w:val="24"/>
                <w:u w:val="none"/>
              </w:rPr>
            </w:pPr>
            <w:r>
              <w:rPr>
                <w:rFonts w:hint="eastAsia"/>
                <w:b/>
                <w:sz w:val="24"/>
                <w:szCs w:val="24"/>
                <w:u w:val="none"/>
              </w:rPr>
              <w:t>2 地表水环境影响分析</w:t>
            </w:r>
          </w:p>
          <w:p>
            <w:pPr>
              <w:spacing w:line="360" w:lineRule="auto"/>
              <w:rPr>
                <w:sz w:val="24"/>
                <w:szCs w:val="24"/>
                <w:u w:val="none"/>
              </w:rPr>
            </w:pPr>
            <w:r>
              <w:rPr>
                <w:rFonts w:hint="eastAsia"/>
                <w:sz w:val="24"/>
                <w:szCs w:val="24"/>
                <w:u w:val="none"/>
              </w:rPr>
              <w:t>2.1</w:t>
            </w:r>
            <w:r>
              <w:rPr>
                <w:sz w:val="24"/>
                <w:szCs w:val="24"/>
                <w:u w:val="none"/>
              </w:rPr>
              <w:t>地表水环境评价等级</w:t>
            </w:r>
          </w:p>
          <w:p>
            <w:pPr>
              <w:spacing w:line="360" w:lineRule="auto"/>
              <w:ind w:firstLine="480" w:firstLineChars="200"/>
              <w:rPr>
                <w:sz w:val="24"/>
                <w:szCs w:val="24"/>
                <w:u w:val="none"/>
              </w:rPr>
            </w:pPr>
            <w:r>
              <w:rPr>
                <w:sz w:val="24"/>
                <w:szCs w:val="24"/>
                <w:u w:val="none"/>
              </w:rPr>
              <w:t>依据《环境影响评价技术导则  地表水环境》（HJ2.3-2018），确定项目地表水环境评价工作等级，分级判据如下表所示。</w:t>
            </w:r>
          </w:p>
          <w:p>
            <w:pPr>
              <w:ind w:firstLine="480" w:firstLineChars="200"/>
              <w:jc w:val="center"/>
              <w:rPr>
                <w:rFonts w:eastAsia="黑体"/>
                <w:sz w:val="24"/>
                <w:szCs w:val="24"/>
                <w:u w:val="none"/>
              </w:rPr>
            </w:pPr>
            <w:r>
              <w:rPr>
                <w:rFonts w:eastAsia="黑体"/>
                <w:sz w:val="24"/>
                <w:szCs w:val="24"/>
                <w:u w:val="none"/>
              </w:rPr>
              <w:t>表</w:t>
            </w:r>
            <w:r>
              <w:rPr>
                <w:rFonts w:hint="eastAsia" w:eastAsia="黑体"/>
                <w:sz w:val="24"/>
                <w:szCs w:val="24"/>
                <w:u w:val="none"/>
              </w:rPr>
              <w:t>2</w:t>
            </w:r>
            <w:r>
              <w:rPr>
                <w:rFonts w:hint="eastAsia" w:eastAsia="黑体"/>
                <w:sz w:val="24"/>
                <w:szCs w:val="24"/>
                <w:u w:val="none"/>
                <w:lang w:val="en-US" w:eastAsia="zh-CN"/>
              </w:rPr>
              <w:t>9</w:t>
            </w:r>
            <w:r>
              <w:rPr>
                <w:rFonts w:hint="eastAsia" w:eastAsia="黑体"/>
                <w:sz w:val="24"/>
                <w:szCs w:val="24"/>
                <w:u w:val="none"/>
              </w:rPr>
              <w:t xml:space="preserve">    </w:t>
            </w:r>
            <w:r>
              <w:rPr>
                <w:rFonts w:eastAsia="黑体"/>
                <w:sz w:val="24"/>
                <w:szCs w:val="24"/>
                <w:u w:val="none"/>
              </w:rPr>
              <w:t xml:space="preserve"> 水污染影响型建设项目评价等级判定</w:t>
            </w:r>
          </w:p>
          <w:tbl>
            <w:tblPr>
              <w:tblStyle w:val="2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21"/>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评价等级</w:t>
                  </w:r>
                </w:p>
              </w:tc>
              <w:tc>
                <w:tcPr>
                  <w:tcW w:w="7500"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u w:val="none"/>
                    </w:rPr>
                  </w:pP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排放方式</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废水排放量Q/（m</w:t>
                  </w:r>
                  <w:r>
                    <w:rPr>
                      <w:sz w:val="18"/>
                      <w:szCs w:val="18"/>
                      <w:u w:val="none"/>
                      <w:vertAlign w:val="superscript"/>
                    </w:rPr>
                    <w:t>3</w:t>
                  </w:r>
                  <w:r>
                    <w:rPr>
                      <w:sz w:val="18"/>
                      <w:szCs w:val="18"/>
                      <w:u w:val="none"/>
                    </w:rPr>
                    <w:t>/d）；水污染物当量数W/（无量纲）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一级</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Q≥20000或W≥600000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二级</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三级A</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三级B</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u w:val="none"/>
                    </w:rPr>
                  </w:pPr>
                  <w:r>
                    <w:rPr>
                      <w:sz w:val="18"/>
                      <w:szCs w:val="18"/>
                      <w:u w:val="none"/>
                    </w:rPr>
                    <w:t>—</w:t>
                  </w:r>
                </w:p>
              </w:tc>
            </w:tr>
          </w:tbl>
          <w:p>
            <w:pPr>
              <w:pStyle w:val="3"/>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u w:val="none"/>
              </w:rPr>
            </w:pPr>
            <w:r>
              <w:rPr>
                <w:rFonts w:hint="eastAsia" w:ascii="Times New Roman" w:eastAsia="宋体"/>
                <w:sz w:val="24"/>
                <w:szCs w:val="24"/>
                <w:u w:val="none"/>
              </w:rPr>
              <w:t>本项目产生的废水主要为职工的生活污水，生活污水由化粪池收集处理后农户肥田，项目污水排放方式属间接排放，因此项目地表水评价等级为三级B。</w:t>
            </w:r>
          </w:p>
          <w:p>
            <w:pPr>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sz w:val="24"/>
                <w:szCs w:val="24"/>
                <w:u w:val="none"/>
              </w:rPr>
            </w:pPr>
            <w:r>
              <w:rPr>
                <w:rFonts w:hint="eastAsia"/>
                <w:sz w:val="24"/>
                <w:szCs w:val="24"/>
                <w:u w:val="none"/>
              </w:rPr>
              <w:t>2.2生活污水</w:t>
            </w:r>
          </w:p>
          <w:p>
            <w:pPr>
              <w:keepLines w:val="0"/>
              <w:pageBreakBefore w:val="0"/>
              <w:widowControl/>
              <w:kinsoku/>
              <w:wordWrap/>
              <w:overflowPunct/>
              <w:topLinePunct w:val="0"/>
              <w:autoSpaceDE/>
              <w:autoSpaceDN/>
              <w:bidi w:val="0"/>
              <w:adjustRightInd/>
              <w:snapToGrid/>
              <w:spacing w:line="360" w:lineRule="auto"/>
              <w:ind w:left="0" w:leftChars="0" w:right="0" w:rightChars="0" w:firstLine="360" w:firstLineChars="150"/>
              <w:jc w:val="both"/>
              <w:textAlignment w:val="auto"/>
              <w:rPr>
                <w:sz w:val="24"/>
                <w:szCs w:val="24"/>
                <w:u w:val="none"/>
              </w:rPr>
            </w:pPr>
            <w:r>
              <w:rPr>
                <w:rFonts w:hint="eastAsia"/>
                <w:sz w:val="24"/>
                <w:szCs w:val="24"/>
                <w:u w:val="none"/>
              </w:rPr>
              <w:t>本项目</w:t>
            </w:r>
            <w:r>
              <w:rPr>
                <w:rFonts w:hint="eastAsia" w:hAnsi="宋体"/>
                <w:bCs/>
                <w:sz w:val="24"/>
                <w:szCs w:val="24"/>
                <w:u w:val="none"/>
              </w:rPr>
              <w:t>生活污水产生量为96m</w:t>
            </w:r>
            <w:r>
              <w:rPr>
                <w:rFonts w:hint="eastAsia" w:hAnsi="宋体"/>
                <w:bCs/>
                <w:sz w:val="24"/>
                <w:szCs w:val="24"/>
                <w:u w:val="none"/>
                <w:vertAlign w:val="superscript"/>
              </w:rPr>
              <w:t>3</w:t>
            </w:r>
            <w:r>
              <w:rPr>
                <w:rFonts w:hint="eastAsia" w:hAnsi="宋体"/>
                <w:bCs/>
                <w:sz w:val="24"/>
                <w:szCs w:val="24"/>
                <w:u w:val="none"/>
              </w:rPr>
              <w:t>/a（0.32</w:t>
            </w:r>
            <w:r>
              <w:rPr>
                <w:rFonts w:hint="eastAsia"/>
                <w:kern w:val="0"/>
                <w:sz w:val="24"/>
                <w:szCs w:val="24"/>
                <w:u w:val="none"/>
              </w:rPr>
              <w:t>m</w:t>
            </w:r>
            <w:r>
              <w:rPr>
                <w:rFonts w:hint="eastAsia"/>
                <w:kern w:val="0"/>
                <w:sz w:val="24"/>
                <w:szCs w:val="24"/>
                <w:u w:val="none"/>
                <w:vertAlign w:val="superscript"/>
              </w:rPr>
              <w:t>3</w:t>
            </w:r>
            <w:r>
              <w:rPr>
                <w:rFonts w:hint="eastAsia"/>
                <w:kern w:val="0"/>
                <w:sz w:val="24"/>
                <w:szCs w:val="24"/>
                <w:u w:val="none"/>
              </w:rPr>
              <w:t>/d，</w:t>
            </w:r>
            <w:r>
              <w:rPr>
                <w:rFonts w:hint="eastAsia" w:hAnsi="宋体"/>
                <w:sz w:val="24"/>
                <w:szCs w:val="24"/>
                <w:u w:val="none"/>
              </w:rPr>
              <w:t>产污系数按80%计</w:t>
            </w:r>
            <w:r>
              <w:rPr>
                <w:rFonts w:hint="eastAsia" w:hAnsi="宋体"/>
                <w:bCs/>
                <w:sz w:val="24"/>
                <w:szCs w:val="24"/>
                <w:u w:val="none"/>
              </w:rPr>
              <w:t>），</w:t>
            </w:r>
            <w:r>
              <w:rPr>
                <w:rFonts w:hint="eastAsia"/>
                <w:bCs/>
                <w:sz w:val="24"/>
                <w:szCs w:val="24"/>
                <w:u w:val="none"/>
              </w:rPr>
              <w:t>依托现有化粪池对废水进行收集处理，</w:t>
            </w:r>
            <w:r>
              <w:rPr>
                <w:sz w:val="24"/>
                <w:szCs w:val="24"/>
                <w:u w:val="none"/>
              </w:rPr>
              <w:t xml:space="preserve">类比同类生活污水水质：COD </w:t>
            </w:r>
            <w:r>
              <w:rPr>
                <w:rFonts w:hint="eastAsia"/>
                <w:sz w:val="24"/>
                <w:szCs w:val="24"/>
                <w:u w:val="none"/>
              </w:rPr>
              <w:t>30</w:t>
            </w:r>
            <w:r>
              <w:rPr>
                <w:sz w:val="24"/>
                <w:szCs w:val="24"/>
                <w:u w:val="none"/>
              </w:rPr>
              <w:t>0</w:t>
            </w:r>
            <w:r>
              <w:rPr>
                <w:bCs/>
                <w:sz w:val="24"/>
                <w:szCs w:val="24"/>
                <w:u w:val="none"/>
              </w:rPr>
              <w:t>mg/L、NH</w:t>
            </w:r>
            <w:r>
              <w:rPr>
                <w:bCs/>
                <w:sz w:val="24"/>
                <w:szCs w:val="24"/>
                <w:u w:val="none"/>
                <w:vertAlign w:val="subscript"/>
              </w:rPr>
              <w:t>3</w:t>
            </w:r>
            <w:r>
              <w:rPr>
                <w:bCs/>
                <w:sz w:val="24"/>
                <w:szCs w:val="24"/>
                <w:u w:val="none"/>
              </w:rPr>
              <w:t>-N</w:t>
            </w:r>
            <w:r>
              <w:rPr>
                <w:rFonts w:hint="eastAsia"/>
                <w:bCs/>
                <w:sz w:val="24"/>
                <w:szCs w:val="24"/>
                <w:u w:val="none"/>
              </w:rPr>
              <w:t>25</w:t>
            </w:r>
            <w:r>
              <w:rPr>
                <w:bCs/>
                <w:sz w:val="24"/>
                <w:szCs w:val="24"/>
                <w:u w:val="none"/>
              </w:rPr>
              <w:t>mg/L</w:t>
            </w:r>
            <w:r>
              <w:rPr>
                <w:rFonts w:hint="eastAsia"/>
                <w:bCs/>
                <w:sz w:val="24"/>
                <w:szCs w:val="24"/>
                <w:u w:val="none"/>
              </w:rPr>
              <w:t>，</w:t>
            </w:r>
            <w:r>
              <w:rPr>
                <w:rFonts w:hint="eastAsia"/>
                <w:sz w:val="24"/>
                <w:szCs w:val="24"/>
                <w:u w:val="none"/>
              </w:rPr>
              <w:t>COD、氨氮产生量分别为0.0288t/a、0.0024t/a。</w:t>
            </w:r>
            <w:r>
              <w:rPr>
                <w:rFonts w:hint="eastAsia"/>
                <w:bCs/>
                <w:sz w:val="24"/>
                <w:szCs w:val="24"/>
                <w:u w:val="none"/>
              </w:rPr>
              <w:t>本项目生活污水经化粪池收集后定期用于周围农户肥田。化粪池对</w:t>
            </w:r>
            <w:r>
              <w:rPr>
                <w:rFonts w:hint="eastAsia"/>
                <w:sz w:val="24"/>
                <w:szCs w:val="24"/>
                <w:u w:val="none"/>
              </w:rPr>
              <w:t>COD、氨氮的处理效率以20%、3%计，生活污水经化粪池处理后COD、氨氮浓度分别为240</w:t>
            </w:r>
            <w:r>
              <w:rPr>
                <w:bCs/>
                <w:sz w:val="24"/>
                <w:szCs w:val="24"/>
                <w:u w:val="none"/>
              </w:rPr>
              <w:t>mg/L</w:t>
            </w:r>
            <w:r>
              <w:rPr>
                <w:rFonts w:hint="eastAsia"/>
                <w:bCs/>
                <w:sz w:val="24"/>
                <w:szCs w:val="24"/>
                <w:u w:val="none"/>
              </w:rPr>
              <w:t>、24.25</w:t>
            </w:r>
            <w:r>
              <w:rPr>
                <w:bCs/>
                <w:sz w:val="24"/>
                <w:szCs w:val="24"/>
                <w:u w:val="none"/>
              </w:rPr>
              <w:t>mg/L</w:t>
            </w:r>
            <w:r>
              <w:rPr>
                <w:rFonts w:hint="eastAsia"/>
                <w:bCs/>
                <w:sz w:val="24"/>
                <w:szCs w:val="24"/>
                <w:u w:val="none"/>
              </w:rPr>
              <w:t>，</w:t>
            </w:r>
            <w:r>
              <w:rPr>
                <w:rFonts w:hint="eastAsia"/>
                <w:sz w:val="24"/>
                <w:szCs w:val="24"/>
                <w:u w:val="none"/>
              </w:rPr>
              <w:t>COD、氨氮排放量分别为0.023t/a、0.0023t/a。</w:t>
            </w:r>
          </w:p>
          <w:p>
            <w:pPr>
              <w:keepLines w:val="0"/>
              <w:pageBreakBefore w:val="0"/>
              <w:kinsoku/>
              <w:wordWrap/>
              <w:overflowPunct/>
              <w:topLinePunct w:val="0"/>
              <w:autoSpaceDE/>
              <w:autoSpaceDN/>
              <w:bidi w:val="0"/>
              <w:adjustRightInd/>
              <w:snapToGrid/>
              <w:spacing w:line="360" w:lineRule="auto"/>
              <w:ind w:left="0" w:leftChars="0" w:right="0" w:rightChars="0"/>
              <w:contextualSpacing/>
              <w:jc w:val="both"/>
              <w:textAlignment w:val="auto"/>
              <w:rPr>
                <w:rFonts w:hAnsi="宋体"/>
                <w:color w:val="000000"/>
                <w:sz w:val="24"/>
                <w:szCs w:val="24"/>
                <w:u w:val="none"/>
              </w:rPr>
            </w:pPr>
            <w:r>
              <w:rPr>
                <w:rFonts w:hint="eastAsia" w:hAnsi="宋体"/>
                <w:color w:val="000000"/>
                <w:sz w:val="24"/>
                <w:szCs w:val="24"/>
                <w:u w:val="none"/>
              </w:rPr>
              <w:t>2.3 生活废水处理及排放措施可行性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rFonts w:hint="eastAsia"/>
                <w:kern w:val="0"/>
                <w:sz w:val="24"/>
                <w:szCs w:val="24"/>
                <w:u w:val="none"/>
              </w:rPr>
            </w:pPr>
            <w:r>
              <w:rPr>
                <w:rFonts w:hint="eastAsia" w:hAnsi="宋体"/>
                <w:color w:val="000000"/>
                <w:sz w:val="24"/>
                <w:szCs w:val="24"/>
                <w:u w:val="none"/>
              </w:rPr>
              <w:t>本项目生活污水产</w:t>
            </w:r>
            <w:r>
              <w:rPr>
                <w:rFonts w:hint="default" w:ascii="Times New Roman" w:hAnsi="Times New Roman" w:cs="Times New Roman"/>
                <w:color w:val="000000"/>
                <w:sz w:val="24"/>
                <w:szCs w:val="24"/>
                <w:u w:val="none"/>
              </w:rPr>
              <w:t>生量为</w:t>
            </w:r>
            <w:r>
              <w:rPr>
                <w:rFonts w:hint="default" w:ascii="Times New Roman" w:hAnsi="Times New Roman" w:cs="Times New Roman"/>
                <w:bCs/>
                <w:color w:val="000000"/>
                <w:sz w:val="24"/>
                <w:szCs w:val="24"/>
                <w:u w:val="none"/>
              </w:rPr>
              <w:t>96m</w:t>
            </w:r>
            <w:r>
              <w:rPr>
                <w:rFonts w:hint="default" w:ascii="Times New Roman" w:hAnsi="Times New Roman" w:cs="Times New Roman"/>
                <w:bCs/>
                <w:color w:val="000000"/>
                <w:sz w:val="24"/>
                <w:szCs w:val="24"/>
                <w:u w:val="none"/>
                <w:vertAlign w:val="superscript"/>
              </w:rPr>
              <w:t>3</w:t>
            </w:r>
            <w:r>
              <w:rPr>
                <w:rFonts w:hint="default" w:ascii="Times New Roman" w:hAnsi="Times New Roman" w:cs="Times New Roman"/>
                <w:bCs/>
                <w:color w:val="000000"/>
                <w:sz w:val="24"/>
                <w:szCs w:val="24"/>
                <w:u w:val="none"/>
              </w:rPr>
              <w:t>/a（</w:t>
            </w:r>
            <w:r>
              <w:rPr>
                <w:rFonts w:hint="default" w:ascii="Times New Roman" w:hAnsi="Times New Roman" w:cs="Times New Roman"/>
                <w:color w:val="000000"/>
                <w:sz w:val="24"/>
                <w:szCs w:val="24"/>
                <w:u w:val="none"/>
              </w:rPr>
              <w:t>0.32</w:t>
            </w:r>
            <w:r>
              <w:rPr>
                <w:rFonts w:hint="default" w:ascii="Times New Roman" w:hAnsi="Times New Roman" w:cs="Times New Roman"/>
                <w:bCs/>
                <w:color w:val="000000"/>
                <w:sz w:val="24"/>
                <w:szCs w:val="24"/>
                <w:u w:val="none"/>
              </w:rPr>
              <w:t>m</w:t>
            </w:r>
            <w:r>
              <w:rPr>
                <w:rFonts w:hint="default" w:ascii="Times New Roman" w:hAnsi="Times New Roman" w:cs="Times New Roman"/>
                <w:bCs/>
                <w:color w:val="000000"/>
                <w:sz w:val="24"/>
                <w:szCs w:val="24"/>
                <w:u w:val="none"/>
                <w:vertAlign w:val="superscript"/>
              </w:rPr>
              <w:t>3</w:t>
            </w:r>
            <w:r>
              <w:rPr>
                <w:rFonts w:hint="default" w:ascii="Times New Roman" w:hAnsi="Times New Roman" w:cs="Times New Roman"/>
                <w:bCs/>
                <w:color w:val="000000"/>
                <w:sz w:val="24"/>
                <w:szCs w:val="24"/>
                <w:u w:val="none"/>
              </w:rPr>
              <w:t>/d），厂区内</w:t>
            </w:r>
            <w:r>
              <w:rPr>
                <w:rFonts w:hint="eastAsia"/>
                <w:sz w:val="24"/>
                <w:szCs w:val="24"/>
                <w:u w:val="none"/>
              </w:rPr>
              <w:t>洛阳金都办公家具有限公司</w:t>
            </w:r>
            <w:r>
              <w:rPr>
                <w:rFonts w:hint="eastAsia" w:hAnsi="宋体"/>
                <w:bCs/>
                <w:sz w:val="24"/>
                <w:szCs w:val="24"/>
                <w:u w:val="none"/>
              </w:rPr>
              <w:t>生活污水产生量为336m</w:t>
            </w:r>
            <w:r>
              <w:rPr>
                <w:rFonts w:hint="eastAsia" w:hAnsi="宋体"/>
                <w:bCs/>
                <w:sz w:val="24"/>
                <w:szCs w:val="24"/>
                <w:u w:val="none"/>
                <w:vertAlign w:val="superscript"/>
              </w:rPr>
              <w:t>3</w:t>
            </w:r>
            <w:r>
              <w:rPr>
                <w:rFonts w:hint="eastAsia" w:hAnsi="宋体"/>
                <w:bCs/>
                <w:sz w:val="24"/>
                <w:szCs w:val="24"/>
                <w:u w:val="none"/>
              </w:rPr>
              <w:t>/a（1.12</w:t>
            </w:r>
            <w:r>
              <w:rPr>
                <w:rFonts w:hint="eastAsia"/>
                <w:kern w:val="0"/>
                <w:sz w:val="24"/>
                <w:szCs w:val="24"/>
                <w:u w:val="none"/>
              </w:rPr>
              <w:t>m</w:t>
            </w:r>
            <w:r>
              <w:rPr>
                <w:rFonts w:hint="eastAsia"/>
                <w:kern w:val="0"/>
                <w:sz w:val="24"/>
                <w:szCs w:val="24"/>
                <w:u w:val="none"/>
                <w:vertAlign w:val="superscript"/>
              </w:rPr>
              <w:t>3</w:t>
            </w:r>
            <w:r>
              <w:rPr>
                <w:rFonts w:hint="eastAsia"/>
                <w:kern w:val="0"/>
                <w:sz w:val="24"/>
                <w:szCs w:val="24"/>
                <w:u w:val="none"/>
              </w:rPr>
              <w:t>/d</w:t>
            </w:r>
            <w:r>
              <w:rPr>
                <w:rFonts w:hint="eastAsia" w:hAnsi="宋体"/>
                <w:bCs/>
                <w:sz w:val="24"/>
                <w:szCs w:val="24"/>
                <w:u w:val="none"/>
              </w:rPr>
              <w:t>）</w:t>
            </w:r>
            <w:r>
              <w:rPr>
                <w:rFonts w:hint="eastAsia" w:hAnsi="宋体"/>
                <w:bCs/>
                <w:sz w:val="24"/>
                <w:szCs w:val="24"/>
                <w:u w:val="none"/>
                <w:lang w:eastAsia="zh-CN"/>
              </w:rPr>
              <w:t>，</w:t>
            </w:r>
            <w:r>
              <w:rPr>
                <w:rFonts w:hint="eastAsia" w:asciiTheme="majorEastAsia" w:hAnsiTheme="majorEastAsia" w:eastAsiaTheme="majorEastAsia"/>
                <w:sz w:val="24"/>
                <w:szCs w:val="24"/>
                <w:u w:val="none"/>
              </w:rPr>
              <w:t>洛阳客思来实业有限公司</w:t>
            </w:r>
            <w:r>
              <w:rPr>
                <w:rFonts w:hint="eastAsia" w:hAnsi="宋体"/>
                <w:bCs/>
                <w:sz w:val="24"/>
                <w:szCs w:val="24"/>
                <w:u w:val="none"/>
              </w:rPr>
              <w:t>生活污水产生量为432m</w:t>
            </w:r>
            <w:r>
              <w:rPr>
                <w:rFonts w:hint="eastAsia" w:hAnsi="宋体"/>
                <w:bCs/>
                <w:sz w:val="24"/>
                <w:szCs w:val="24"/>
                <w:u w:val="none"/>
                <w:vertAlign w:val="superscript"/>
              </w:rPr>
              <w:t>3</w:t>
            </w:r>
            <w:r>
              <w:rPr>
                <w:rFonts w:hint="eastAsia" w:hAnsi="宋体"/>
                <w:bCs/>
                <w:sz w:val="24"/>
                <w:szCs w:val="24"/>
                <w:u w:val="none"/>
              </w:rPr>
              <w:t>/a（1.44</w:t>
            </w:r>
            <w:r>
              <w:rPr>
                <w:rFonts w:hint="eastAsia"/>
                <w:kern w:val="0"/>
                <w:sz w:val="24"/>
                <w:szCs w:val="24"/>
                <w:u w:val="none"/>
              </w:rPr>
              <w:t>m</w:t>
            </w:r>
            <w:r>
              <w:rPr>
                <w:rFonts w:hint="eastAsia"/>
                <w:kern w:val="0"/>
                <w:sz w:val="24"/>
                <w:szCs w:val="24"/>
                <w:u w:val="none"/>
                <w:vertAlign w:val="superscript"/>
              </w:rPr>
              <w:t>3</w:t>
            </w:r>
            <w:r>
              <w:rPr>
                <w:rFonts w:hint="eastAsia"/>
                <w:kern w:val="0"/>
                <w:sz w:val="24"/>
                <w:szCs w:val="24"/>
                <w:u w:val="none"/>
              </w:rPr>
              <w:t>/d</w:t>
            </w:r>
            <w:r>
              <w:rPr>
                <w:rFonts w:hint="eastAsia"/>
                <w:kern w:val="0"/>
                <w:sz w:val="24"/>
                <w:szCs w:val="24"/>
                <w:u w:val="none"/>
                <w:lang w:eastAsia="zh-CN"/>
              </w:rPr>
              <w:t>），</w:t>
            </w:r>
            <w:r>
              <w:rPr>
                <w:rFonts w:hint="default" w:ascii="Times New Roman" w:hAnsi="Times New Roman" w:cs="Times New Roman" w:eastAsiaTheme="majorEastAsia"/>
                <w:sz w:val="24"/>
                <w:szCs w:val="24"/>
                <w:u w:val="none"/>
              </w:rPr>
              <w:t xml:space="preserve"> </w:t>
            </w:r>
            <w:r>
              <w:rPr>
                <w:rFonts w:hint="default" w:ascii="Times New Roman" w:hAnsi="Times New Roman" w:cs="Times New Roman"/>
                <w:bCs/>
                <w:color w:val="000000"/>
                <w:sz w:val="24"/>
                <w:szCs w:val="24"/>
                <w:u w:val="none"/>
              </w:rPr>
              <w:t>废水经</w:t>
            </w:r>
            <w:r>
              <w:rPr>
                <w:rFonts w:hint="eastAsia" w:cs="Times New Roman"/>
                <w:bCs/>
                <w:color w:val="000000"/>
                <w:sz w:val="24"/>
                <w:szCs w:val="24"/>
                <w:u w:val="none"/>
                <w:lang w:val="en-US" w:eastAsia="zh-CN"/>
              </w:rPr>
              <w:t>1</w:t>
            </w:r>
            <w:r>
              <w:rPr>
                <w:rFonts w:hint="default" w:ascii="Times New Roman" w:hAnsi="Times New Roman" w:cs="Times New Roman"/>
                <w:bCs/>
                <w:color w:val="000000"/>
                <w:sz w:val="24"/>
                <w:szCs w:val="24"/>
                <w:u w:val="none"/>
              </w:rPr>
              <w:t>个15m</w:t>
            </w:r>
            <w:r>
              <w:rPr>
                <w:rFonts w:hint="default" w:ascii="Times New Roman" w:hAnsi="Times New Roman" w:cs="Times New Roman"/>
                <w:bCs/>
                <w:color w:val="000000"/>
                <w:sz w:val="24"/>
                <w:szCs w:val="24"/>
                <w:u w:val="none"/>
                <w:vertAlign w:val="superscript"/>
              </w:rPr>
              <w:t>3</w:t>
            </w:r>
            <w:r>
              <w:rPr>
                <w:rFonts w:hint="default" w:ascii="Times New Roman" w:hAnsi="Times New Roman" w:cs="Times New Roman"/>
                <w:bCs/>
                <w:color w:val="000000"/>
                <w:sz w:val="24"/>
                <w:szCs w:val="24"/>
                <w:u w:val="none"/>
              </w:rPr>
              <w:t>化粪池收集处理后农户拉走肥田。</w:t>
            </w:r>
            <w:r>
              <w:rPr>
                <w:rFonts w:hint="default" w:ascii="Times New Roman" w:hAnsi="Times New Roman" w:cs="Times New Roman"/>
                <w:color w:val="000000"/>
                <w:kern w:val="0"/>
                <w:sz w:val="24"/>
                <w:szCs w:val="24"/>
                <w:u w:val="none"/>
              </w:rPr>
              <w:t>根据《建筑给水排水设计规范》（2009年</w:t>
            </w:r>
            <w:r>
              <w:rPr>
                <w:rFonts w:hint="eastAsia"/>
                <w:color w:val="000000"/>
                <w:kern w:val="0"/>
                <w:sz w:val="24"/>
                <w:szCs w:val="24"/>
                <w:u w:val="none"/>
              </w:rPr>
              <w:t>版）要求：化粪池生活污水停留时间为12～24h，本项目完成后全厂生活污水产生量为</w:t>
            </w:r>
            <w:r>
              <w:rPr>
                <w:rFonts w:hint="eastAsia"/>
                <w:color w:val="000000"/>
                <w:kern w:val="0"/>
                <w:sz w:val="24"/>
                <w:szCs w:val="24"/>
                <w:u w:val="none"/>
                <w:lang w:val="en-US" w:eastAsia="zh-CN"/>
              </w:rPr>
              <w:t>2.88</w:t>
            </w:r>
            <w:r>
              <w:rPr>
                <w:rFonts w:hint="eastAsia"/>
                <w:color w:val="000000"/>
                <w:kern w:val="0"/>
                <w:sz w:val="24"/>
                <w:szCs w:val="24"/>
                <w:u w:val="none"/>
              </w:rPr>
              <w:t>m</w:t>
            </w:r>
            <w:r>
              <w:rPr>
                <w:rFonts w:hint="eastAsia"/>
                <w:color w:val="000000"/>
                <w:kern w:val="0"/>
                <w:sz w:val="24"/>
                <w:szCs w:val="24"/>
                <w:u w:val="none"/>
                <w:vertAlign w:val="superscript"/>
              </w:rPr>
              <w:t>3</w:t>
            </w:r>
            <w:r>
              <w:rPr>
                <w:rFonts w:hint="eastAsia"/>
                <w:color w:val="000000"/>
                <w:kern w:val="0"/>
                <w:sz w:val="24"/>
                <w:szCs w:val="24"/>
                <w:u w:val="none"/>
              </w:rPr>
              <w:t>/d，化粪池总容积为</w:t>
            </w:r>
            <w:r>
              <w:rPr>
                <w:rFonts w:hint="eastAsia" w:hAnsi="宋体"/>
                <w:bCs/>
                <w:color w:val="000000"/>
                <w:sz w:val="24"/>
                <w:szCs w:val="24"/>
                <w:u w:val="none"/>
                <w:lang w:val="en-US" w:eastAsia="zh-CN"/>
              </w:rPr>
              <w:t>15</w:t>
            </w:r>
            <w:r>
              <w:rPr>
                <w:rFonts w:hint="eastAsia" w:hAnsi="宋体"/>
                <w:bCs/>
                <w:color w:val="000000"/>
                <w:sz w:val="24"/>
                <w:szCs w:val="24"/>
                <w:u w:val="none"/>
              </w:rPr>
              <w:t>m</w:t>
            </w:r>
            <w:r>
              <w:rPr>
                <w:rFonts w:hint="eastAsia" w:hAnsi="宋体"/>
                <w:bCs/>
                <w:color w:val="000000"/>
                <w:sz w:val="24"/>
                <w:szCs w:val="24"/>
                <w:u w:val="none"/>
                <w:vertAlign w:val="superscript"/>
              </w:rPr>
              <w:t>3</w:t>
            </w:r>
            <w:r>
              <w:rPr>
                <w:rFonts w:hint="eastAsia" w:hAnsi="宋体"/>
                <w:bCs/>
                <w:color w:val="000000"/>
                <w:sz w:val="24"/>
                <w:szCs w:val="24"/>
                <w:u w:val="none"/>
              </w:rPr>
              <w:t>，</w:t>
            </w:r>
            <w:r>
              <w:rPr>
                <w:rFonts w:hint="eastAsia"/>
                <w:color w:val="000000"/>
                <w:kern w:val="0"/>
                <w:sz w:val="24"/>
                <w:szCs w:val="24"/>
                <w:u w:val="none"/>
              </w:rPr>
              <w:t>满足废水停留时间满足12小时以上（每</w:t>
            </w:r>
            <w:r>
              <w:rPr>
                <w:rFonts w:hint="eastAsia"/>
                <w:color w:val="000000"/>
                <w:kern w:val="0"/>
                <w:sz w:val="24"/>
                <w:szCs w:val="24"/>
                <w:u w:val="none"/>
                <w:lang w:val="en-US" w:eastAsia="zh-CN"/>
              </w:rPr>
              <w:t>5</w:t>
            </w:r>
            <w:r>
              <w:rPr>
                <w:rFonts w:hint="eastAsia"/>
                <w:color w:val="000000"/>
                <w:kern w:val="0"/>
                <w:sz w:val="24"/>
                <w:szCs w:val="24"/>
                <w:u w:val="none"/>
              </w:rPr>
              <w:t>天清掏一次）。因此本项目生活污水依托现有化粪池收集处理措施可行。</w:t>
            </w:r>
            <w:r>
              <w:rPr>
                <w:rFonts w:hint="eastAsia"/>
                <w:kern w:val="0"/>
                <w:sz w:val="24"/>
                <w:szCs w:val="24"/>
                <w:u w:val="none"/>
              </w:rPr>
              <w:t>本项目的建设不会对该区域的地表水环境造成大的影响。</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eastAsia"/>
                <w:kern w:val="0"/>
                <w:sz w:val="24"/>
                <w:szCs w:val="24"/>
                <w:u w:val="none"/>
                <w:lang w:val="en-US" w:eastAsia="zh-CN"/>
              </w:rPr>
            </w:pPr>
            <w:r>
              <w:rPr>
                <w:rFonts w:hint="eastAsia"/>
                <w:kern w:val="0"/>
                <w:sz w:val="24"/>
                <w:szCs w:val="24"/>
                <w:u w:val="none"/>
                <w:lang w:val="en-US" w:eastAsia="zh-CN"/>
              </w:rPr>
              <w:t>2.4水环境自查表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sz w:val="24"/>
                <w:szCs w:val="24"/>
                <w:u w:val="none"/>
              </w:rPr>
            </w:pPr>
            <w:r>
              <w:rPr>
                <w:rFonts w:hint="eastAsia"/>
                <w:sz w:val="24"/>
                <w:szCs w:val="24"/>
                <w:u w:val="none"/>
                <w:lang w:eastAsia="zh-CN"/>
              </w:rPr>
              <w:t>本项目</w:t>
            </w:r>
            <w:r>
              <w:rPr>
                <w:rFonts w:hint="eastAsia"/>
                <w:sz w:val="24"/>
                <w:szCs w:val="24"/>
                <w:u w:val="none"/>
              </w:rPr>
              <w:t>水环境影响评价自查表如下：</w:t>
            </w:r>
          </w:p>
          <w:p>
            <w:pPr>
              <w:spacing w:line="240" w:lineRule="auto"/>
              <w:ind w:firstLine="1680" w:firstLineChars="700"/>
              <w:rPr>
                <w:rFonts w:ascii="Calibri" w:hAnsi="Calibri" w:eastAsia="黑体"/>
                <w:sz w:val="24"/>
                <w:szCs w:val="22"/>
                <w:u w:val="none"/>
              </w:rPr>
            </w:pPr>
            <w:r>
              <w:rPr>
                <w:rFonts w:hint="eastAsia" w:ascii="Calibri" w:hAnsi="Calibri" w:eastAsia="黑体"/>
                <w:sz w:val="24"/>
                <w:szCs w:val="22"/>
                <w:u w:val="none"/>
              </w:rPr>
              <w:t>表</w:t>
            </w:r>
            <w:r>
              <w:rPr>
                <w:rFonts w:hint="eastAsia" w:ascii="Calibri" w:hAnsi="Calibri" w:eastAsia="黑体"/>
                <w:sz w:val="24"/>
                <w:szCs w:val="22"/>
                <w:u w:val="none"/>
                <w:lang w:val="en-US" w:eastAsia="zh-CN"/>
              </w:rPr>
              <w:t>30</w:t>
            </w:r>
            <w:r>
              <w:rPr>
                <w:rFonts w:hint="eastAsia" w:ascii="Calibri" w:hAnsi="Calibri" w:eastAsia="黑体"/>
                <w:sz w:val="24"/>
                <w:szCs w:val="22"/>
                <w:u w:val="none"/>
              </w:rPr>
              <w:t xml:space="preserve">         </w:t>
            </w:r>
            <w:r>
              <w:rPr>
                <w:rFonts w:ascii="Calibri" w:hAnsi="Calibri" w:eastAsia="黑体"/>
                <w:sz w:val="24"/>
                <w:szCs w:val="22"/>
                <w:u w:val="none"/>
              </w:rPr>
              <w:t xml:space="preserve">  </w:t>
            </w:r>
            <w:r>
              <w:rPr>
                <w:rFonts w:hint="eastAsia" w:ascii="Calibri" w:hAnsi="Calibri" w:eastAsia="黑体"/>
                <w:sz w:val="24"/>
                <w:szCs w:val="22"/>
                <w:u w:val="none"/>
              </w:rPr>
              <w:t>地表水环境影响评价自查表</w:t>
            </w:r>
          </w:p>
          <w:tbl>
            <w:tblPr>
              <w:tblStyle w:val="27"/>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085"/>
              <w:gridCol w:w="1510"/>
              <w:gridCol w:w="270"/>
              <w:gridCol w:w="412"/>
              <w:gridCol w:w="822"/>
              <w:gridCol w:w="1173"/>
              <w:gridCol w:w="336"/>
              <w:gridCol w:w="949"/>
              <w:gridCol w:w="559"/>
              <w:gridCol w:w="18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工作内容</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影响识别</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影响类型</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水污染影响型</w:t>
                  </w:r>
                  <w:r>
                    <w:rPr>
                      <w:sz w:val="18"/>
                      <w:szCs w:val="18"/>
                      <w:u w:val="none"/>
                    </w:rPr>
                    <w:t xml:space="preserve"> </w:t>
                  </w:r>
                  <w:r>
                    <w:rPr>
                      <w:sz w:val="18"/>
                      <w:szCs w:val="18"/>
                      <w:u w:val="none"/>
                      <w:bdr w:val="single" w:color="auto" w:sz="4" w:space="0"/>
                    </w:rPr>
                    <w:t>√</w:t>
                  </w:r>
                  <w:r>
                    <w:rPr>
                      <w:rFonts w:hint="eastAsia"/>
                      <w:sz w:val="18"/>
                      <w:szCs w:val="18"/>
                      <w:u w:val="none"/>
                    </w:rPr>
                    <w:t>；水文要素影响型</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水环境保护目标</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饮用水水源保护区</w:t>
                  </w:r>
                  <w:r>
                    <w:rPr>
                      <w:sz w:val="18"/>
                      <w:szCs w:val="18"/>
                      <w:u w:val="none"/>
                    </w:rPr>
                    <w:t xml:space="preserve"> □</w:t>
                  </w:r>
                  <w:r>
                    <w:rPr>
                      <w:rFonts w:hint="eastAsia"/>
                      <w:sz w:val="18"/>
                      <w:szCs w:val="18"/>
                      <w:u w:val="none"/>
                    </w:rPr>
                    <w:t>；饮用水取水口</w:t>
                  </w:r>
                  <w:r>
                    <w:rPr>
                      <w:sz w:val="18"/>
                      <w:szCs w:val="18"/>
                      <w:u w:val="none"/>
                    </w:rPr>
                    <w:t xml:space="preserve"> □</w:t>
                  </w:r>
                  <w:r>
                    <w:rPr>
                      <w:rFonts w:hint="eastAsia"/>
                      <w:sz w:val="18"/>
                      <w:szCs w:val="18"/>
                      <w:u w:val="none"/>
                    </w:rPr>
                    <w:t>；涉水的自然保护区</w:t>
                  </w:r>
                  <w:r>
                    <w:rPr>
                      <w:sz w:val="18"/>
                      <w:szCs w:val="18"/>
                      <w:u w:val="none"/>
                    </w:rPr>
                    <w:t xml:space="preserve"> □</w:t>
                  </w:r>
                  <w:r>
                    <w:rPr>
                      <w:rFonts w:hint="eastAsia"/>
                      <w:sz w:val="18"/>
                      <w:szCs w:val="18"/>
                      <w:u w:val="none"/>
                    </w:rPr>
                    <w:t>；重要湿地</w:t>
                  </w:r>
                  <w:r>
                    <w:rPr>
                      <w:sz w:val="18"/>
                      <w:szCs w:val="18"/>
                      <w:u w:val="none"/>
                    </w:rPr>
                    <w:t xml:space="preserve"> □</w:t>
                  </w:r>
                  <w:r>
                    <w:rPr>
                      <w:rFonts w:hint="eastAsia"/>
                      <w:sz w:val="18"/>
                      <w:szCs w:val="18"/>
                      <w:u w:val="none"/>
                    </w:rPr>
                    <w:t>；重点保护与珍稀水生生物的栖息地</w:t>
                  </w:r>
                  <w:r>
                    <w:rPr>
                      <w:sz w:val="18"/>
                      <w:szCs w:val="18"/>
                      <w:u w:val="none"/>
                    </w:rPr>
                    <w:t xml:space="preserve"> □</w:t>
                  </w:r>
                  <w:r>
                    <w:rPr>
                      <w:rFonts w:hint="eastAsia"/>
                      <w:sz w:val="18"/>
                      <w:szCs w:val="18"/>
                      <w:u w:val="none"/>
                    </w:rPr>
                    <w:t>；重要水生生物的自然产卵场及索饵场、越冬场和洄游通道、天然渔场等渔业水体</w:t>
                  </w:r>
                  <w:r>
                    <w:rPr>
                      <w:sz w:val="18"/>
                      <w:szCs w:val="18"/>
                      <w:u w:val="none"/>
                    </w:rPr>
                    <w:t xml:space="preserve"> □</w:t>
                  </w:r>
                  <w:r>
                    <w:rPr>
                      <w:rFonts w:hint="eastAsia"/>
                      <w:sz w:val="18"/>
                      <w:szCs w:val="18"/>
                      <w:u w:val="none"/>
                    </w:rPr>
                    <w:t>；涉水的风景名胜区</w:t>
                  </w:r>
                  <w:r>
                    <w:rPr>
                      <w:sz w:val="18"/>
                      <w:szCs w:val="18"/>
                      <w:u w:val="none"/>
                    </w:rPr>
                    <w:t xml:space="preserve"> □</w:t>
                  </w:r>
                  <w:r>
                    <w:rPr>
                      <w:rFonts w:hint="eastAsia"/>
                      <w:sz w:val="18"/>
                      <w:szCs w:val="18"/>
                      <w:u w:val="none"/>
                    </w:rPr>
                    <w:t>；其他</w:t>
                  </w: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影响途径</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水污染影响型</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直接排放</w:t>
                  </w:r>
                  <w:r>
                    <w:rPr>
                      <w:sz w:val="18"/>
                      <w:szCs w:val="18"/>
                      <w:u w:val="none"/>
                    </w:rPr>
                    <w:t>□</w:t>
                  </w:r>
                  <w:r>
                    <w:rPr>
                      <w:rFonts w:hint="eastAsia"/>
                      <w:sz w:val="18"/>
                      <w:szCs w:val="18"/>
                      <w:u w:val="none"/>
                    </w:rPr>
                    <w:t>；间接排放</w:t>
                  </w:r>
                  <w:r>
                    <w:rPr>
                      <w:sz w:val="18"/>
                      <w:szCs w:val="18"/>
                      <w:u w:val="none"/>
                    </w:rPr>
                    <w:t>□</w:t>
                  </w:r>
                  <w:r>
                    <w:rPr>
                      <w:rFonts w:hint="eastAsia"/>
                      <w:sz w:val="18"/>
                      <w:szCs w:val="18"/>
                      <w:u w:val="none"/>
                    </w:rPr>
                    <w:t>；其他</w:t>
                  </w:r>
                  <w:r>
                    <w:rPr>
                      <w:sz w:val="18"/>
                      <w:szCs w:val="18"/>
                      <w:u w:val="none"/>
                    </w:rPr>
                    <w:t xml:space="preserve">√ </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水温</w:t>
                  </w:r>
                  <w:r>
                    <w:rPr>
                      <w:sz w:val="18"/>
                      <w:szCs w:val="18"/>
                      <w:u w:val="none"/>
                    </w:rPr>
                    <w:t xml:space="preserve"> □</w:t>
                  </w:r>
                  <w:r>
                    <w:rPr>
                      <w:rFonts w:hint="eastAsia"/>
                      <w:sz w:val="18"/>
                      <w:szCs w:val="18"/>
                      <w:u w:val="none"/>
                    </w:rPr>
                    <w:t>；径流</w:t>
                  </w:r>
                  <w:r>
                    <w:rPr>
                      <w:sz w:val="18"/>
                      <w:szCs w:val="18"/>
                      <w:u w:val="none"/>
                    </w:rPr>
                    <w:t xml:space="preserve"> □</w:t>
                  </w:r>
                  <w:r>
                    <w:rPr>
                      <w:rFonts w:hint="eastAsia"/>
                      <w:sz w:val="18"/>
                      <w:szCs w:val="18"/>
                      <w:u w:val="none"/>
                    </w:rPr>
                    <w:t>；水域面积</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影响因子</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持久性污染物</w:t>
                  </w:r>
                  <w:r>
                    <w:rPr>
                      <w:sz w:val="18"/>
                      <w:szCs w:val="18"/>
                      <w:u w:val="none"/>
                    </w:rPr>
                    <w:t xml:space="preserve"> □</w:t>
                  </w:r>
                  <w:r>
                    <w:rPr>
                      <w:rFonts w:hint="eastAsia"/>
                      <w:sz w:val="18"/>
                      <w:szCs w:val="18"/>
                      <w:u w:val="none"/>
                    </w:rPr>
                    <w:t>；有毒有害污染物</w:t>
                  </w:r>
                  <w:r>
                    <w:rPr>
                      <w:sz w:val="18"/>
                      <w:szCs w:val="18"/>
                      <w:u w:val="none"/>
                    </w:rPr>
                    <w:t xml:space="preserve"> □</w:t>
                  </w:r>
                  <w:r>
                    <w:rPr>
                      <w:rFonts w:hint="eastAsia"/>
                      <w:sz w:val="18"/>
                      <w:szCs w:val="18"/>
                      <w:u w:val="none"/>
                    </w:rPr>
                    <w:t>；非持久性污染物</w:t>
                  </w:r>
                  <w:r>
                    <w:rPr>
                      <w:sz w:val="18"/>
                      <w:szCs w:val="18"/>
                      <w:u w:val="none"/>
                    </w:rPr>
                    <w:t xml:space="preserve"> </w:t>
                  </w:r>
                  <w:r>
                    <w:rPr>
                      <w:sz w:val="18"/>
                      <w:szCs w:val="18"/>
                      <w:u w:val="none"/>
                      <w:bdr w:val="single" w:color="auto" w:sz="4" w:space="0"/>
                    </w:rPr>
                    <w:t>√</w:t>
                  </w:r>
                  <w:r>
                    <w:rPr>
                      <w:rFonts w:hint="eastAsia"/>
                      <w:sz w:val="18"/>
                      <w:szCs w:val="18"/>
                      <w:u w:val="none"/>
                    </w:rPr>
                    <w:t>；</w:t>
                  </w:r>
                  <w:r>
                    <w:rPr>
                      <w:sz w:val="18"/>
                      <w:szCs w:val="18"/>
                      <w:u w:val="none"/>
                    </w:rPr>
                    <w:t>pH</w:t>
                  </w:r>
                  <w:r>
                    <w:rPr>
                      <w:rFonts w:hint="eastAsia"/>
                      <w:sz w:val="18"/>
                      <w:szCs w:val="18"/>
                      <w:u w:val="none"/>
                    </w:rPr>
                    <w:t>值</w:t>
                  </w:r>
                  <w:r>
                    <w:rPr>
                      <w:sz w:val="18"/>
                      <w:szCs w:val="18"/>
                      <w:u w:val="none"/>
                    </w:rPr>
                    <w:t xml:space="preserve"> □</w:t>
                  </w:r>
                  <w:r>
                    <w:rPr>
                      <w:rFonts w:hint="eastAsia"/>
                      <w:sz w:val="18"/>
                      <w:szCs w:val="18"/>
                      <w:u w:val="none"/>
                    </w:rPr>
                    <w:t>；热污染</w:t>
                  </w:r>
                  <w:r>
                    <w:rPr>
                      <w:sz w:val="18"/>
                      <w:szCs w:val="18"/>
                      <w:u w:val="none"/>
                    </w:rPr>
                    <w:t xml:space="preserve"> □</w:t>
                  </w:r>
                  <w:r>
                    <w:rPr>
                      <w:rFonts w:hint="eastAsia"/>
                      <w:sz w:val="18"/>
                      <w:szCs w:val="18"/>
                      <w:u w:val="none"/>
                    </w:rPr>
                    <w:t>；富营养化</w:t>
                  </w:r>
                  <w:r>
                    <w:rPr>
                      <w:sz w:val="18"/>
                      <w:szCs w:val="18"/>
                      <w:u w:val="none"/>
                    </w:rPr>
                    <w:t xml:space="preserve"> □</w:t>
                  </w:r>
                  <w:r>
                    <w:rPr>
                      <w:rFonts w:hint="eastAsia"/>
                      <w:sz w:val="18"/>
                      <w:szCs w:val="18"/>
                      <w:u w:val="none"/>
                    </w:rPr>
                    <w:t>；其他</w:t>
                  </w:r>
                  <w:r>
                    <w:rPr>
                      <w:sz w:val="18"/>
                      <w:szCs w:val="18"/>
                      <w:u w:val="none"/>
                    </w:rPr>
                    <w:t xml:space="preserve"> □ </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left"/>
                    <w:rPr>
                      <w:sz w:val="18"/>
                      <w:szCs w:val="18"/>
                      <w:u w:val="none"/>
                    </w:rPr>
                  </w:pPr>
                  <w:r>
                    <w:rPr>
                      <w:rFonts w:hint="eastAsia"/>
                      <w:sz w:val="18"/>
                      <w:szCs w:val="18"/>
                      <w:u w:val="none"/>
                    </w:rPr>
                    <w:t>水温</w:t>
                  </w:r>
                  <w:r>
                    <w:rPr>
                      <w:sz w:val="18"/>
                      <w:szCs w:val="18"/>
                      <w:u w:val="none"/>
                    </w:rPr>
                    <w:t xml:space="preserve"> □</w:t>
                  </w:r>
                  <w:r>
                    <w:rPr>
                      <w:rFonts w:hint="eastAsia"/>
                      <w:sz w:val="18"/>
                      <w:szCs w:val="18"/>
                      <w:u w:val="none"/>
                    </w:rPr>
                    <w:t>；水位（水深）</w:t>
                  </w:r>
                  <w:r>
                    <w:rPr>
                      <w:sz w:val="18"/>
                      <w:szCs w:val="18"/>
                      <w:u w:val="none"/>
                    </w:rPr>
                    <w:t xml:space="preserve"> □</w:t>
                  </w:r>
                  <w:r>
                    <w:rPr>
                      <w:rFonts w:hint="eastAsia"/>
                      <w:sz w:val="18"/>
                      <w:szCs w:val="18"/>
                      <w:u w:val="none"/>
                    </w:rPr>
                    <w:t>；流速</w:t>
                  </w:r>
                  <w:r>
                    <w:rPr>
                      <w:sz w:val="18"/>
                      <w:szCs w:val="18"/>
                      <w:u w:val="none"/>
                    </w:rPr>
                    <w:t xml:space="preserve"> □</w:t>
                  </w:r>
                  <w:r>
                    <w:rPr>
                      <w:rFonts w:hint="eastAsia"/>
                      <w:sz w:val="18"/>
                      <w:szCs w:val="18"/>
                      <w:u w:val="none"/>
                    </w:rPr>
                    <w:t>；流量</w:t>
                  </w:r>
                  <w:r>
                    <w:rPr>
                      <w:sz w:val="18"/>
                      <w:szCs w:val="18"/>
                      <w:u w:val="none"/>
                    </w:rPr>
                    <w:t xml:space="preserve"> □</w:t>
                  </w:r>
                  <w:r>
                    <w:rPr>
                      <w:rFonts w:hint="eastAsia"/>
                      <w:sz w:val="18"/>
                      <w:szCs w:val="18"/>
                      <w:u w:val="none"/>
                    </w:rPr>
                    <w:t>；其他</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评价等级</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水污染影响型</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一级</w:t>
                  </w:r>
                  <w:r>
                    <w:rPr>
                      <w:sz w:val="18"/>
                      <w:szCs w:val="18"/>
                      <w:u w:val="none"/>
                    </w:rPr>
                    <w:t xml:space="preserve"> □</w:t>
                  </w:r>
                  <w:r>
                    <w:rPr>
                      <w:rFonts w:hint="eastAsia"/>
                      <w:sz w:val="18"/>
                      <w:szCs w:val="18"/>
                      <w:u w:val="none"/>
                    </w:rPr>
                    <w:t>；二级</w:t>
                  </w:r>
                  <w:r>
                    <w:rPr>
                      <w:sz w:val="18"/>
                      <w:szCs w:val="18"/>
                      <w:u w:val="none"/>
                    </w:rPr>
                    <w:t>□</w:t>
                  </w:r>
                  <w:r>
                    <w:rPr>
                      <w:rFonts w:hint="eastAsia"/>
                      <w:sz w:val="18"/>
                      <w:szCs w:val="18"/>
                      <w:u w:val="none"/>
                    </w:rPr>
                    <w:t>；三级</w:t>
                  </w:r>
                  <w:r>
                    <w:rPr>
                      <w:sz w:val="18"/>
                      <w:szCs w:val="18"/>
                      <w:u w:val="none"/>
                    </w:rPr>
                    <w:t xml:space="preserve"> A □</w:t>
                  </w:r>
                  <w:r>
                    <w:rPr>
                      <w:rFonts w:hint="eastAsia"/>
                      <w:sz w:val="18"/>
                      <w:szCs w:val="18"/>
                      <w:u w:val="none"/>
                    </w:rPr>
                    <w:t>；三级</w:t>
                  </w:r>
                  <w:r>
                    <w:rPr>
                      <w:sz w:val="18"/>
                      <w:szCs w:val="18"/>
                      <w:u w:val="none"/>
                    </w:rPr>
                    <w:t xml:space="preserve"> B </w:t>
                  </w:r>
                  <w:r>
                    <w:rPr>
                      <w:sz w:val="18"/>
                      <w:szCs w:val="18"/>
                      <w:u w:val="none"/>
                      <w:bdr w:val="single" w:color="auto" w:sz="4" w:space="0"/>
                    </w:rPr>
                    <w:t>√</w:t>
                  </w:r>
                  <w:r>
                    <w:rPr>
                      <w:sz w:val="18"/>
                      <w:szCs w:val="18"/>
                      <w:u w:val="none"/>
                    </w:rPr>
                    <w:t xml:space="preserve">  </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一级</w:t>
                  </w:r>
                  <w:r>
                    <w:rPr>
                      <w:sz w:val="18"/>
                      <w:szCs w:val="18"/>
                      <w:u w:val="none"/>
                    </w:rPr>
                    <w:t xml:space="preserve"> □</w:t>
                  </w:r>
                  <w:r>
                    <w:rPr>
                      <w:rFonts w:hint="eastAsia"/>
                      <w:sz w:val="18"/>
                      <w:szCs w:val="18"/>
                      <w:u w:val="none"/>
                    </w:rPr>
                    <w:t>；二级</w:t>
                  </w:r>
                  <w:r>
                    <w:rPr>
                      <w:sz w:val="18"/>
                      <w:szCs w:val="18"/>
                      <w:u w:val="none"/>
                    </w:rPr>
                    <w:t xml:space="preserve"> □</w:t>
                  </w:r>
                  <w:r>
                    <w:rPr>
                      <w:rFonts w:hint="eastAsia"/>
                      <w:sz w:val="18"/>
                      <w:szCs w:val="18"/>
                      <w:u w:val="none"/>
                    </w:rPr>
                    <w:t>；三级</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现状调查</w:t>
                  </w: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区域污染源</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调查项目</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78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已建</w:t>
                  </w:r>
                  <w:r>
                    <w:rPr>
                      <w:sz w:val="18"/>
                      <w:szCs w:val="18"/>
                      <w:u w:val="none"/>
                    </w:rPr>
                    <w:t xml:space="preserve"> □</w:t>
                  </w:r>
                  <w:r>
                    <w:rPr>
                      <w:rFonts w:hint="eastAsia"/>
                      <w:sz w:val="18"/>
                      <w:szCs w:val="18"/>
                      <w:u w:val="none"/>
                    </w:rPr>
                    <w:t>；在建</w:t>
                  </w:r>
                  <w:r>
                    <w:rPr>
                      <w:sz w:val="18"/>
                      <w:szCs w:val="18"/>
                      <w:u w:val="none"/>
                    </w:rPr>
                    <w:t xml:space="preserve"> □</w:t>
                  </w:r>
                  <w:r>
                    <w:rPr>
                      <w:rFonts w:hint="eastAsia"/>
                      <w:sz w:val="18"/>
                      <w:szCs w:val="18"/>
                      <w:u w:val="none"/>
                    </w:rPr>
                    <w:t>；拟建</w:t>
                  </w:r>
                  <w:r>
                    <w:rPr>
                      <w:sz w:val="18"/>
                      <w:szCs w:val="18"/>
                      <w:u w:val="none"/>
                    </w:rPr>
                    <w:t xml:space="preserve"> □</w:t>
                  </w:r>
                  <w:r>
                    <w:rPr>
                      <w:rFonts w:hint="eastAsia"/>
                      <w:sz w:val="18"/>
                      <w:szCs w:val="18"/>
                      <w:u w:val="none"/>
                    </w:rPr>
                    <w:t>；</w:t>
                  </w:r>
                </w:p>
                <w:p>
                  <w:pPr>
                    <w:adjustRightInd w:val="0"/>
                    <w:snapToGrid w:val="0"/>
                    <w:rPr>
                      <w:sz w:val="18"/>
                      <w:szCs w:val="18"/>
                      <w:u w:val="none"/>
                    </w:rPr>
                  </w:pPr>
                  <w:r>
                    <w:rPr>
                      <w:rFonts w:hint="eastAsia"/>
                      <w:sz w:val="18"/>
                      <w:szCs w:val="18"/>
                      <w:u w:val="none"/>
                    </w:rPr>
                    <w:t>其他</w:t>
                  </w:r>
                  <w:r>
                    <w:rPr>
                      <w:sz w:val="18"/>
                      <w:szCs w:val="18"/>
                      <w:u w:val="none"/>
                    </w:rPr>
                    <w:t xml:space="preserve"> □</w:t>
                  </w:r>
                </w:p>
              </w:tc>
              <w:tc>
                <w:tcPr>
                  <w:tcW w:w="240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拟替代的污染源</w:t>
                  </w:r>
                  <w:r>
                    <w:rPr>
                      <w:sz w:val="18"/>
                      <w:szCs w:val="18"/>
                      <w:u w:val="none"/>
                    </w:rPr>
                    <w:t xml:space="preserve"> □</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排污许可证</w:t>
                  </w:r>
                  <w:r>
                    <w:rPr>
                      <w:sz w:val="18"/>
                      <w:szCs w:val="18"/>
                      <w:u w:val="none"/>
                    </w:rPr>
                    <w:t xml:space="preserve"> □</w:t>
                  </w:r>
                  <w:r>
                    <w:rPr>
                      <w:rFonts w:hint="eastAsia"/>
                      <w:sz w:val="18"/>
                      <w:szCs w:val="18"/>
                      <w:u w:val="none"/>
                    </w:rPr>
                    <w:t>；环评</w:t>
                  </w:r>
                  <w:r>
                    <w:rPr>
                      <w:sz w:val="18"/>
                      <w:szCs w:val="18"/>
                      <w:u w:val="none"/>
                    </w:rPr>
                    <w:t xml:space="preserve"> □</w:t>
                  </w:r>
                  <w:r>
                    <w:rPr>
                      <w:rFonts w:hint="eastAsia"/>
                      <w:sz w:val="18"/>
                      <w:szCs w:val="18"/>
                      <w:u w:val="none"/>
                    </w:rPr>
                    <w:t>；环保验收</w:t>
                  </w:r>
                  <w:r>
                    <w:rPr>
                      <w:sz w:val="18"/>
                      <w:szCs w:val="18"/>
                      <w:u w:val="none"/>
                    </w:rPr>
                    <w:t xml:space="preserve"> □</w:t>
                  </w:r>
                  <w:r>
                    <w:rPr>
                      <w:rFonts w:hint="eastAsia"/>
                      <w:sz w:val="18"/>
                      <w:szCs w:val="18"/>
                      <w:u w:val="none"/>
                    </w:rPr>
                    <w:t>；既有实测</w:t>
                  </w:r>
                  <w:r>
                    <w:rPr>
                      <w:sz w:val="18"/>
                      <w:szCs w:val="18"/>
                      <w:u w:val="none"/>
                    </w:rPr>
                    <w:t xml:space="preserve"> □</w:t>
                  </w:r>
                  <w:r>
                    <w:rPr>
                      <w:rFonts w:hint="eastAsia"/>
                      <w:sz w:val="18"/>
                      <w:szCs w:val="18"/>
                      <w:u w:val="none"/>
                    </w:rPr>
                    <w:t>；现场监测</w:t>
                  </w:r>
                  <w:r>
                    <w:rPr>
                      <w:sz w:val="18"/>
                      <w:szCs w:val="18"/>
                      <w:u w:val="none"/>
                    </w:rPr>
                    <w:t xml:space="preserve"> □</w:t>
                  </w:r>
                  <w:r>
                    <w:rPr>
                      <w:rFonts w:hint="eastAsia"/>
                      <w:sz w:val="18"/>
                      <w:szCs w:val="18"/>
                      <w:u w:val="none"/>
                    </w:rPr>
                    <w:t>；入河排放口数据</w:t>
                  </w:r>
                  <w:r>
                    <w:rPr>
                      <w:sz w:val="18"/>
                      <w:szCs w:val="18"/>
                      <w:u w:val="none"/>
                    </w:rPr>
                    <w:t xml:space="preserve"> □</w:t>
                  </w:r>
                  <w:r>
                    <w:rPr>
                      <w:rFonts w:hint="eastAsia"/>
                      <w:sz w:val="18"/>
                      <w:szCs w:val="18"/>
                      <w:u w:val="none"/>
                    </w:rPr>
                    <w:t>；其他</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受影响水体水环境质量</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调查时间</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丰水期</w:t>
                  </w:r>
                  <w:r>
                    <w:rPr>
                      <w:sz w:val="18"/>
                      <w:szCs w:val="18"/>
                      <w:u w:val="none"/>
                    </w:rPr>
                    <w:t>□</w:t>
                  </w:r>
                  <w:r>
                    <w:rPr>
                      <w:rFonts w:hint="eastAsia"/>
                      <w:sz w:val="18"/>
                      <w:szCs w:val="18"/>
                      <w:u w:val="none"/>
                    </w:rPr>
                    <w:t>；平水期</w:t>
                  </w:r>
                  <w:r>
                    <w:rPr>
                      <w:sz w:val="18"/>
                      <w:szCs w:val="18"/>
                      <w:u w:val="none"/>
                    </w:rPr>
                    <w:t xml:space="preserve"> □</w:t>
                  </w:r>
                  <w:r>
                    <w:rPr>
                      <w:rFonts w:hint="eastAsia"/>
                      <w:sz w:val="18"/>
                      <w:szCs w:val="18"/>
                      <w:u w:val="none"/>
                    </w:rPr>
                    <w:t>；枯水期</w:t>
                  </w:r>
                  <w:r>
                    <w:rPr>
                      <w:sz w:val="18"/>
                      <w:szCs w:val="18"/>
                      <w:u w:val="none"/>
                    </w:rPr>
                    <w:t xml:space="preserve"> □</w:t>
                  </w:r>
                  <w:r>
                    <w:rPr>
                      <w:rFonts w:hint="eastAsia"/>
                      <w:sz w:val="18"/>
                      <w:szCs w:val="18"/>
                      <w:u w:val="none"/>
                    </w:rPr>
                    <w:t>；冰封期</w:t>
                  </w:r>
                  <w:r>
                    <w:rPr>
                      <w:sz w:val="18"/>
                      <w:szCs w:val="18"/>
                      <w:u w:val="none"/>
                    </w:rPr>
                    <w:t xml:space="preserve"> □</w:t>
                  </w:r>
                </w:p>
                <w:p>
                  <w:pPr>
                    <w:adjustRightInd w:val="0"/>
                    <w:snapToGrid w:val="0"/>
                    <w:rPr>
                      <w:sz w:val="18"/>
                      <w:szCs w:val="18"/>
                      <w:u w:val="none"/>
                    </w:rPr>
                  </w:pPr>
                  <w:r>
                    <w:rPr>
                      <w:rFonts w:hint="eastAsia"/>
                      <w:sz w:val="18"/>
                      <w:szCs w:val="18"/>
                      <w:u w:val="none"/>
                    </w:rPr>
                    <w:t>春季</w:t>
                  </w:r>
                  <w:r>
                    <w:rPr>
                      <w:sz w:val="18"/>
                      <w:szCs w:val="18"/>
                      <w:u w:val="none"/>
                    </w:rPr>
                    <w:t xml:space="preserve"> □</w:t>
                  </w:r>
                  <w:r>
                    <w:rPr>
                      <w:rFonts w:hint="eastAsia"/>
                      <w:sz w:val="18"/>
                      <w:szCs w:val="18"/>
                      <w:u w:val="none"/>
                    </w:rPr>
                    <w:t>；夏季</w:t>
                  </w:r>
                  <w:r>
                    <w:rPr>
                      <w:sz w:val="18"/>
                      <w:szCs w:val="18"/>
                      <w:u w:val="none"/>
                    </w:rPr>
                    <w:t xml:space="preserve"> □</w:t>
                  </w:r>
                  <w:r>
                    <w:rPr>
                      <w:rFonts w:hint="eastAsia"/>
                      <w:sz w:val="18"/>
                      <w:szCs w:val="18"/>
                      <w:u w:val="none"/>
                    </w:rPr>
                    <w:t>；秋季</w:t>
                  </w:r>
                  <w:r>
                    <w:rPr>
                      <w:sz w:val="18"/>
                      <w:szCs w:val="18"/>
                      <w:u w:val="none"/>
                    </w:rPr>
                    <w:t xml:space="preserve"> □</w:t>
                  </w:r>
                  <w:r>
                    <w:rPr>
                      <w:rFonts w:hint="eastAsia"/>
                      <w:sz w:val="18"/>
                      <w:szCs w:val="18"/>
                      <w:u w:val="none"/>
                    </w:rPr>
                    <w:t>；冬季</w:t>
                  </w:r>
                  <w:r>
                    <w:rPr>
                      <w:sz w:val="18"/>
                      <w:szCs w:val="18"/>
                      <w:u w:val="none"/>
                    </w:rPr>
                    <w:t xml:space="preserve"> □</w:t>
                  </w:r>
                </w:p>
              </w:tc>
              <w:tc>
                <w:tcPr>
                  <w:tcW w:w="336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u w:val="none"/>
                    </w:rPr>
                  </w:pPr>
                  <w:r>
                    <w:rPr>
                      <w:rFonts w:hint="eastAsia"/>
                      <w:sz w:val="18"/>
                      <w:szCs w:val="18"/>
                      <w:u w:val="none"/>
                    </w:rPr>
                    <w:t>生态环境保护主管部门</w:t>
                  </w:r>
                  <w:r>
                    <w:rPr>
                      <w:sz w:val="18"/>
                      <w:szCs w:val="18"/>
                      <w:u w:val="none"/>
                    </w:rPr>
                    <w:t xml:space="preserve"> □</w:t>
                  </w:r>
                  <w:r>
                    <w:rPr>
                      <w:rFonts w:hint="eastAsia"/>
                      <w:sz w:val="18"/>
                      <w:szCs w:val="18"/>
                      <w:u w:val="none"/>
                    </w:rPr>
                    <w:t>；补充监测</w:t>
                  </w:r>
                  <w:r>
                    <w:rPr>
                      <w:sz w:val="18"/>
                      <w:szCs w:val="18"/>
                      <w:u w:val="none"/>
                    </w:rPr>
                    <w:t xml:space="preserve"> □</w:t>
                  </w:r>
                  <w:r>
                    <w:rPr>
                      <w:rFonts w:hint="eastAsia"/>
                      <w:sz w:val="18"/>
                      <w:szCs w:val="18"/>
                      <w:u w:val="none"/>
                    </w:rPr>
                    <w:t>；其他</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区域水资源开发利用状况</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未开发</w:t>
                  </w:r>
                  <w:r>
                    <w:rPr>
                      <w:sz w:val="18"/>
                      <w:szCs w:val="18"/>
                      <w:u w:val="none"/>
                    </w:rPr>
                    <w:t xml:space="preserve"> □</w:t>
                  </w:r>
                  <w:r>
                    <w:rPr>
                      <w:rFonts w:hint="eastAsia"/>
                      <w:sz w:val="18"/>
                      <w:szCs w:val="18"/>
                      <w:u w:val="none"/>
                    </w:rPr>
                    <w:t>；开发量</w:t>
                  </w:r>
                  <w:r>
                    <w:rPr>
                      <w:sz w:val="18"/>
                      <w:szCs w:val="18"/>
                      <w:u w:val="none"/>
                    </w:rPr>
                    <w:t xml:space="preserve"> 40%</w:t>
                  </w:r>
                  <w:r>
                    <w:rPr>
                      <w:rFonts w:hint="eastAsia"/>
                      <w:sz w:val="18"/>
                      <w:szCs w:val="18"/>
                      <w:u w:val="none"/>
                    </w:rPr>
                    <w:t>以下</w:t>
                  </w:r>
                  <w:r>
                    <w:rPr>
                      <w:sz w:val="18"/>
                      <w:szCs w:val="18"/>
                      <w:u w:val="none"/>
                    </w:rPr>
                    <w:t xml:space="preserve"> □</w:t>
                  </w:r>
                  <w:r>
                    <w:rPr>
                      <w:rFonts w:hint="eastAsia"/>
                      <w:sz w:val="18"/>
                      <w:szCs w:val="18"/>
                      <w:u w:val="none"/>
                    </w:rPr>
                    <w:t>；开发量</w:t>
                  </w:r>
                  <w:r>
                    <w:rPr>
                      <w:sz w:val="18"/>
                      <w:szCs w:val="18"/>
                      <w:u w:val="none"/>
                    </w:rPr>
                    <w:t xml:space="preserve"> 40%</w:t>
                  </w:r>
                  <w:r>
                    <w:rPr>
                      <w:rFonts w:hint="eastAsia"/>
                      <w:sz w:val="18"/>
                      <w:szCs w:val="18"/>
                      <w:u w:val="none"/>
                    </w:rPr>
                    <w:t>以上</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水文情势调查</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调查时期</w:t>
                  </w:r>
                </w:p>
              </w:tc>
              <w:tc>
                <w:tcPr>
                  <w:tcW w:w="3360"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丰水期</w:t>
                  </w:r>
                  <w:r>
                    <w:rPr>
                      <w:sz w:val="18"/>
                      <w:szCs w:val="18"/>
                      <w:u w:val="none"/>
                    </w:rPr>
                    <w:t xml:space="preserve"> □</w:t>
                  </w:r>
                  <w:r>
                    <w:rPr>
                      <w:rFonts w:hint="eastAsia"/>
                      <w:sz w:val="18"/>
                      <w:szCs w:val="18"/>
                      <w:u w:val="none"/>
                    </w:rPr>
                    <w:t>；平水期</w:t>
                  </w:r>
                  <w:r>
                    <w:rPr>
                      <w:sz w:val="18"/>
                      <w:szCs w:val="18"/>
                      <w:u w:val="none"/>
                    </w:rPr>
                    <w:t xml:space="preserve"> □</w:t>
                  </w:r>
                  <w:r>
                    <w:rPr>
                      <w:rFonts w:hint="eastAsia"/>
                      <w:sz w:val="18"/>
                      <w:szCs w:val="18"/>
                      <w:u w:val="none"/>
                    </w:rPr>
                    <w:t>；枯水期</w:t>
                  </w:r>
                  <w:r>
                    <w:rPr>
                      <w:sz w:val="18"/>
                      <w:szCs w:val="18"/>
                      <w:u w:val="none"/>
                    </w:rPr>
                    <w:t xml:space="preserve"> □</w:t>
                  </w:r>
                  <w:r>
                    <w:rPr>
                      <w:rFonts w:hint="eastAsia"/>
                      <w:sz w:val="18"/>
                      <w:szCs w:val="18"/>
                      <w:u w:val="none"/>
                    </w:rPr>
                    <w:t>；冰封期</w:t>
                  </w:r>
                  <w:r>
                    <w:rPr>
                      <w:sz w:val="18"/>
                      <w:szCs w:val="18"/>
                      <w:u w:val="none"/>
                    </w:rPr>
                    <w:t xml:space="preserve"> □</w:t>
                  </w:r>
                </w:p>
                <w:p>
                  <w:pPr>
                    <w:adjustRightInd w:val="0"/>
                    <w:snapToGrid w:val="0"/>
                    <w:rPr>
                      <w:sz w:val="18"/>
                      <w:szCs w:val="18"/>
                      <w:u w:val="none"/>
                    </w:rPr>
                  </w:pPr>
                  <w:r>
                    <w:rPr>
                      <w:rFonts w:hint="eastAsia"/>
                      <w:sz w:val="18"/>
                      <w:szCs w:val="18"/>
                      <w:u w:val="none"/>
                    </w:rPr>
                    <w:t>春季</w:t>
                  </w:r>
                  <w:r>
                    <w:rPr>
                      <w:sz w:val="18"/>
                      <w:szCs w:val="18"/>
                      <w:u w:val="none"/>
                    </w:rPr>
                    <w:t xml:space="preserve"> □</w:t>
                  </w:r>
                  <w:r>
                    <w:rPr>
                      <w:rFonts w:hint="eastAsia"/>
                      <w:sz w:val="18"/>
                      <w:szCs w:val="18"/>
                      <w:u w:val="none"/>
                    </w:rPr>
                    <w:t>；夏季</w:t>
                  </w:r>
                  <w:r>
                    <w:rPr>
                      <w:sz w:val="18"/>
                      <w:szCs w:val="18"/>
                      <w:u w:val="none"/>
                    </w:rPr>
                    <w:t xml:space="preserve"> □</w:t>
                  </w:r>
                  <w:r>
                    <w:rPr>
                      <w:rFonts w:hint="eastAsia"/>
                      <w:sz w:val="18"/>
                      <w:szCs w:val="18"/>
                      <w:u w:val="none"/>
                    </w:rPr>
                    <w:t>；秋季</w:t>
                  </w:r>
                  <w:r>
                    <w:rPr>
                      <w:sz w:val="18"/>
                      <w:szCs w:val="18"/>
                      <w:u w:val="none"/>
                    </w:rPr>
                    <w:t xml:space="preserve"> □</w:t>
                  </w:r>
                  <w:r>
                    <w:rPr>
                      <w:rFonts w:hint="eastAsia"/>
                      <w:sz w:val="18"/>
                      <w:szCs w:val="18"/>
                      <w:u w:val="none"/>
                    </w:rPr>
                    <w:t>；冬季</w:t>
                  </w:r>
                  <w:r>
                    <w:rPr>
                      <w:sz w:val="18"/>
                      <w:szCs w:val="18"/>
                      <w:u w:val="none"/>
                    </w:rPr>
                    <w:t xml:space="preserve"> □</w:t>
                  </w:r>
                </w:p>
              </w:tc>
              <w:tc>
                <w:tcPr>
                  <w:tcW w:w="336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u w:val="none"/>
                    </w:rPr>
                  </w:pPr>
                  <w:r>
                    <w:rPr>
                      <w:rFonts w:hint="eastAsia"/>
                      <w:sz w:val="18"/>
                      <w:szCs w:val="18"/>
                      <w:u w:val="none"/>
                    </w:rPr>
                    <w:t>水行政主管部门</w:t>
                  </w:r>
                  <w:r>
                    <w:rPr>
                      <w:sz w:val="18"/>
                      <w:szCs w:val="18"/>
                      <w:u w:val="none"/>
                    </w:rPr>
                    <w:t xml:space="preserve"> □</w:t>
                  </w:r>
                  <w:r>
                    <w:rPr>
                      <w:rFonts w:hint="eastAsia"/>
                      <w:sz w:val="18"/>
                      <w:szCs w:val="18"/>
                      <w:u w:val="none"/>
                    </w:rPr>
                    <w:t>；补充监测</w:t>
                  </w:r>
                  <w:r>
                    <w:rPr>
                      <w:sz w:val="18"/>
                      <w:szCs w:val="18"/>
                      <w:u w:val="none"/>
                    </w:rPr>
                    <w:t xml:space="preserve"> □</w:t>
                  </w:r>
                  <w:r>
                    <w:rPr>
                      <w:rFonts w:hint="eastAsia"/>
                      <w:sz w:val="18"/>
                      <w:szCs w:val="18"/>
                      <w:u w:val="none"/>
                    </w:rPr>
                    <w:t>；其他</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补充监测</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监测时期</w:t>
                  </w:r>
                </w:p>
              </w:tc>
              <w:tc>
                <w:tcPr>
                  <w:tcW w:w="1285"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监测因子</w:t>
                  </w:r>
                  <w:r>
                    <w:rPr>
                      <w:sz w:val="18"/>
                      <w:szCs w:val="18"/>
                      <w:u w:val="none"/>
                    </w:rPr>
                    <w:t xml:space="preserve"> </w:t>
                  </w:r>
                </w:p>
              </w:tc>
              <w:tc>
                <w:tcPr>
                  <w:tcW w:w="2075"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丰水期</w:t>
                  </w:r>
                  <w:r>
                    <w:rPr>
                      <w:sz w:val="18"/>
                      <w:szCs w:val="18"/>
                      <w:u w:val="none"/>
                    </w:rPr>
                    <w:t xml:space="preserve"> □</w:t>
                  </w:r>
                  <w:r>
                    <w:rPr>
                      <w:rFonts w:hint="eastAsia"/>
                      <w:sz w:val="18"/>
                      <w:szCs w:val="18"/>
                      <w:u w:val="none"/>
                    </w:rPr>
                    <w:t>；平水期</w:t>
                  </w:r>
                  <w:r>
                    <w:rPr>
                      <w:sz w:val="18"/>
                      <w:szCs w:val="18"/>
                      <w:u w:val="none"/>
                    </w:rPr>
                    <w:t xml:space="preserve"> □</w:t>
                  </w:r>
                  <w:r>
                    <w:rPr>
                      <w:rFonts w:hint="eastAsia"/>
                      <w:sz w:val="18"/>
                      <w:szCs w:val="18"/>
                      <w:u w:val="none"/>
                    </w:rPr>
                    <w:t>；枯水期</w:t>
                  </w:r>
                  <w:r>
                    <w:rPr>
                      <w:sz w:val="18"/>
                      <w:szCs w:val="18"/>
                      <w:u w:val="none"/>
                    </w:rPr>
                    <w:t xml:space="preserve"> □</w:t>
                  </w:r>
                  <w:r>
                    <w:rPr>
                      <w:rFonts w:hint="eastAsia"/>
                      <w:sz w:val="18"/>
                      <w:szCs w:val="18"/>
                      <w:u w:val="none"/>
                    </w:rPr>
                    <w:t>；冰封期</w:t>
                  </w:r>
                  <w:r>
                    <w:rPr>
                      <w:sz w:val="18"/>
                      <w:szCs w:val="18"/>
                      <w:u w:val="none"/>
                    </w:rPr>
                    <w:t xml:space="preserve"> □</w:t>
                  </w:r>
                </w:p>
                <w:p>
                  <w:pPr>
                    <w:adjustRightInd w:val="0"/>
                    <w:snapToGrid w:val="0"/>
                    <w:rPr>
                      <w:sz w:val="18"/>
                      <w:szCs w:val="18"/>
                      <w:u w:val="none"/>
                    </w:rPr>
                  </w:pPr>
                  <w:r>
                    <w:rPr>
                      <w:rFonts w:hint="eastAsia"/>
                      <w:sz w:val="18"/>
                      <w:szCs w:val="18"/>
                      <w:u w:val="none"/>
                    </w:rPr>
                    <w:t>春季</w:t>
                  </w:r>
                  <w:r>
                    <w:rPr>
                      <w:sz w:val="18"/>
                      <w:szCs w:val="18"/>
                      <w:u w:val="none"/>
                    </w:rPr>
                    <w:t xml:space="preserve"> □</w:t>
                  </w:r>
                  <w:r>
                    <w:rPr>
                      <w:rFonts w:hint="eastAsia"/>
                      <w:sz w:val="18"/>
                      <w:szCs w:val="18"/>
                      <w:u w:val="none"/>
                    </w:rPr>
                    <w:t>；夏季</w:t>
                  </w:r>
                  <w:r>
                    <w:rPr>
                      <w:sz w:val="18"/>
                      <w:szCs w:val="18"/>
                      <w:u w:val="none"/>
                    </w:rPr>
                    <w:t xml:space="preserve"> □</w:t>
                  </w:r>
                  <w:r>
                    <w:rPr>
                      <w:rFonts w:hint="eastAsia"/>
                      <w:sz w:val="18"/>
                      <w:szCs w:val="18"/>
                      <w:u w:val="none"/>
                    </w:rPr>
                    <w:t>；秋季</w:t>
                  </w:r>
                  <w:r>
                    <w:rPr>
                      <w:sz w:val="18"/>
                      <w:szCs w:val="18"/>
                      <w:u w:val="none"/>
                    </w:rPr>
                    <w:t xml:space="preserve"> □</w:t>
                  </w:r>
                  <w:r>
                    <w:rPr>
                      <w:rFonts w:hint="eastAsia"/>
                      <w:sz w:val="18"/>
                      <w:szCs w:val="18"/>
                      <w:u w:val="none"/>
                    </w:rPr>
                    <w:t>；冬季</w:t>
                  </w:r>
                  <w:r>
                    <w:rPr>
                      <w:sz w:val="18"/>
                      <w:szCs w:val="18"/>
                      <w:u w:val="none"/>
                    </w:rPr>
                    <w:t xml:space="preserve"> □</w:t>
                  </w:r>
                </w:p>
              </w:tc>
              <w:tc>
                <w:tcPr>
                  <w:tcW w:w="12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2075"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r>
                    <w:rPr>
                      <w:rFonts w:hint="eastAsia"/>
                      <w:sz w:val="18"/>
                      <w:szCs w:val="18"/>
                      <w:u w:val="none"/>
                    </w:rPr>
                    <w:t>监测断面或点位个数</w:t>
                  </w:r>
                </w:p>
                <w:p>
                  <w:pPr>
                    <w:adjustRightInd w:val="0"/>
                    <w:snapToGrid w:val="0"/>
                    <w:jc w:val="center"/>
                    <w:rPr>
                      <w:sz w:val="18"/>
                      <w:szCs w:val="18"/>
                      <w:u w:val="none"/>
                    </w:rPr>
                  </w:pPr>
                  <w:r>
                    <w:rPr>
                      <w:rFonts w:hint="eastAsia"/>
                      <w:sz w:val="18"/>
                      <w:szCs w:val="18"/>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现状评价</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调查范围</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河流：长度（</w:t>
                  </w:r>
                  <w:r>
                    <w:rPr>
                      <w:sz w:val="18"/>
                      <w:szCs w:val="18"/>
                      <w:u w:val="none"/>
                    </w:rPr>
                    <w:t xml:space="preserve">  </w:t>
                  </w:r>
                  <w:r>
                    <w:rPr>
                      <w:rFonts w:hint="eastAsia"/>
                      <w:sz w:val="18"/>
                      <w:szCs w:val="18"/>
                      <w:u w:val="none"/>
                    </w:rPr>
                    <w:t>）</w:t>
                  </w:r>
                  <w:r>
                    <w:rPr>
                      <w:sz w:val="18"/>
                      <w:szCs w:val="18"/>
                      <w:u w:val="none"/>
                    </w:rPr>
                    <w:t>km</w:t>
                  </w:r>
                  <w:r>
                    <w:rPr>
                      <w:rFonts w:hint="eastAsia"/>
                      <w:sz w:val="18"/>
                      <w:szCs w:val="18"/>
                      <w:u w:val="none"/>
                    </w:rPr>
                    <w:t>；湖库、河口及近岸海域：面积（</w:t>
                  </w:r>
                  <w:r>
                    <w:rPr>
                      <w:sz w:val="18"/>
                      <w:szCs w:val="18"/>
                      <w:u w:val="none"/>
                    </w:rPr>
                    <w:t xml:space="preserve"> </w:t>
                  </w:r>
                  <w:r>
                    <w:rPr>
                      <w:rFonts w:hint="eastAsia"/>
                      <w:sz w:val="18"/>
                      <w:szCs w:val="18"/>
                      <w:u w:val="none"/>
                    </w:rPr>
                    <w:t>）</w:t>
                  </w:r>
                  <w:r>
                    <w:rPr>
                      <w:sz w:val="18"/>
                      <w:szCs w:val="18"/>
                      <w:u w:val="none"/>
                    </w:rPr>
                    <w:t>km</w:t>
                  </w:r>
                  <w:r>
                    <w:rPr>
                      <w:sz w:val="18"/>
                      <w:szCs w:val="18"/>
                      <w:u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调查因子</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评价标准</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河流、湖库、河口：</w:t>
                  </w:r>
                  <w:r>
                    <w:rPr>
                      <w:rFonts w:hint="eastAsia" w:ascii="宋体" w:hAnsi="宋体" w:cs="宋体"/>
                      <w:sz w:val="18"/>
                      <w:szCs w:val="18"/>
                      <w:u w:val="none"/>
                    </w:rPr>
                    <w:t>Ⅰ</w:t>
                  </w:r>
                  <w:r>
                    <w:rPr>
                      <w:rFonts w:hint="eastAsia"/>
                      <w:sz w:val="18"/>
                      <w:szCs w:val="18"/>
                      <w:u w:val="none"/>
                    </w:rPr>
                    <w:t>类</w:t>
                  </w:r>
                  <w:r>
                    <w:rPr>
                      <w:sz w:val="18"/>
                      <w:szCs w:val="18"/>
                      <w:u w:val="none"/>
                    </w:rPr>
                    <w:t xml:space="preserve"> □</w:t>
                  </w:r>
                  <w:r>
                    <w:rPr>
                      <w:rFonts w:hint="eastAsia"/>
                      <w:sz w:val="18"/>
                      <w:szCs w:val="18"/>
                      <w:u w:val="none"/>
                    </w:rPr>
                    <w:t>；</w:t>
                  </w:r>
                  <w:r>
                    <w:rPr>
                      <w:rFonts w:hint="eastAsia" w:ascii="宋体" w:hAnsi="宋体" w:cs="宋体"/>
                      <w:sz w:val="18"/>
                      <w:szCs w:val="18"/>
                      <w:u w:val="none"/>
                    </w:rPr>
                    <w:t>Ⅱ</w:t>
                  </w:r>
                  <w:r>
                    <w:rPr>
                      <w:rFonts w:hint="eastAsia"/>
                      <w:sz w:val="18"/>
                      <w:szCs w:val="18"/>
                      <w:u w:val="none"/>
                    </w:rPr>
                    <w:t>类</w:t>
                  </w:r>
                  <w:r>
                    <w:rPr>
                      <w:sz w:val="18"/>
                      <w:szCs w:val="18"/>
                      <w:u w:val="none"/>
                    </w:rPr>
                    <w:t xml:space="preserve"> □</w:t>
                  </w:r>
                  <w:r>
                    <w:rPr>
                      <w:rFonts w:hint="eastAsia"/>
                      <w:sz w:val="18"/>
                      <w:szCs w:val="18"/>
                      <w:u w:val="none"/>
                    </w:rPr>
                    <w:t>；</w:t>
                  </w:r>
                  <w:r>
                    <w:rPr>
                      <w:rFonts w:hint="eastAsia" w:ascii="宋体" w:hAnsi="宋体" w:cs="宋体"/>
                      <w:sz w:val="18"/>
                      <w:szCs w:val="18"/>
                      <w:u w:val="none"/>
                    </w:rPr>
                    <w:t>Ⅲ</w:t>
                  </w:r>
                  <w:r>
                    <w:rPr>
                      <w:rFonts w:hint="eastAsia"/>
                      <w:sz w:val="18"/>
                      <w:szCs w:val="18"/>
                      <w:u w:val="none"/>
                    </w:rPr>
                    <w:t>类</w:t>
                  </w:r>
                  <w:r>
                    <w:rPr>
                      <w:sz w:val="18"/>
                      <w:szCs w:val="18"/>
                      <w:u w:val="none"/>
                    </w:rPr>
                    <w:t>□</w:t>
                  </w:r>
                  <w:r>
                    <w:rPr>
                      <w:rFonts w:hint="eastAsia"/>
                      <w:sz w:val="18"/>
                      <w:szCs w:val="18"/>
                      <w:u w:val="none"/>
                    </w:rPr>
                    <w:t>；</w:t>
                  </w:r>
                  <w:r>
                    <w:rPr>
                      <w:rFonts w:hint="eastAsia" w:ascii="宋体" w:hAnsi="宋体" w:cs="宋体"/>
                      <w:sz w:val="18"/>
                      <w:szCs w:val="18"/>
                      <w:u w:val="none"/>
                    </w:rPr>
                    <w:t>Ⅳ</w:t>
                  </w:r>
                  <w:r>
                    <w:rPr>
                      <w:rFonts w:hint="eastAsia"/>
                      <w:sz w:val="18"/>
                      <w:szCs w:val="18"/>
                      <w:u w:val="none"/>
                    </w:rPr>
                    <w:t>类</w:t>
                  </w:r>
                  <w:r>
                    <w:rPr>
                      <w:sz w:val="18"/>
                      <w:szCs w:val="18"/>
                      <w:u w:val="none"/>
                    </w:rPr>
                    <w:t xml:space="preserve"> □</w:t>
                  </w:r>
                  <w:r>
                    <w:rPr>
                      <w:rFonts w:hint="eastAsia"/>
                      <w:sz w:val="18"/>
                      <w:szCs w:val="18"/>
                      <w:u w:val="none"/>
                    </w:rPr>
                    <w:t>；</w:t>
                  </w:r>
                  <w:r>
                    <w:rPr>
                      <w:rFonts w:hint="eastAsia" w:ascii="宋体" w:hAnsi="宋体" w:cs="宋体"/>
                      <w:sz w:val="18"/>
                      <w:szCs w:val="18"/>
                      <w:u w:val="none"/>
                    </w:rPr>
                    <w:t>Ⅴ</w:t>
                  </w:r>
                  <w:r>
                    <w:rPr>
                      <w:rFonts w:hint="eastAsia"/>
                      <w:sz w:val="18"/>
                      <w:szCs w:val="18"/>
                      <w:u w:val="none"/>
                    </w:rPr>
                    <w:t>类</w:t>
                  </w:r>
                  <w:r>
                    <w:rPr>
                      <w:sz w:val="18"/>
                      <w:szCs w:val="18"/>
                      <w:u w:val="none"/>
                    </w:rPr>
                    <w:t xml:space="preserve">  □</w:t>
                  </w:r>
                </w:p>
                <w:p>
                  <w:pPr>
                    <w:adjustRightInd w:val="0"/>
                    <w:snapToGrid w:val="0"/>
                    <w:rPr>
                      <w:sz w:val="18"/>
                      <w:szCs w:val="18"/>
                      <w:u w:val="none"/>
                    </w:rPr>
                  </w:pPr>
                  <w:r>
                    <w:rPr>
                      <w:rFonts w:hint="eastAsia"/>
                      <w:sz w:val="18"/>
                      <w:szCs w:val="18"/>
                      <w:u w:val="none"/>
                    </w:rPr>
                    <w:t>近岸海域：第一类</w:t>
                  </w:r>
                  <w:r>
                    <w:rPr>
                      <w:sz w:val="18"/>
                      <w:szCs w:val="18"/>
                      <w:u w:val="none"/>
                    </w:rPr>
                    <w:t xml:space="preserve"> □</w:t>
                  </w:r>
                  <w:r>
                    <w:rPr>
                      <w:rFonts w:hint="eastAsia"/>
                      <w:sz w:val="18"/>
                      <w:szCs w:val="18"/>
                      <w:u w:val="none"/>
                    </w:rPr>
                    <w:t>；第二类</w:t>
                  </w:r>
                  <w:r>
                    <w:rPr>
                      <w:sz w:val="18"/>
                      <w:szCs w:val="18"/>
                      <w:u w:val="none"/>
                    </w:rPr>
                    <w:t xml:space="preserve"> □</w:t>
                  </w:r>
                  <w:r>
                    <w:rPr>
                      <w:rFonts w:hint="eastAsia"/>
                      <w:sz w:val="18"/>
                      <w:szCs w:val="18"/>
                      <w:u w:val="none"/>
                    </w:rPr>
                    <w:t>；第三类</w:t>
                  </w:r>
                  <w:r>
                    <w:rPr>
                      <w:sz w:val="18"/>
                      <w:szCs w:val="18"/>
                      <w:u w:val="none"/>
                    </w:rPr>
                    <w:t xml:space="preserve"> □</w:t>
                  </w:r>
                  <w:r>
                    <w:rPr>
                      <w:rFonts w:hint="eastAsia"/>
                      <w:sz w:val="18"/>
                      <w:szCs w:val="18"/>
                      <w:u w:val="none"/>
                    </w:rPr>
                    <w:t>；第四类</w:t>
                  </w:r>
                  <w:r>
                    <w:rPr>
                      <w:sz w:val="18"/>
                      <w:szCs w:val="18"/>
                      <w:u w:val="none"/>
                    </w:rPr>
                    <w:t xml:space="preserve"> □</w:t>
                  </w:r>
                </w:p>
                <w:p>
                  <w:pPr>
                    <w:adjustRightInd w:val="0"/>
                    <w:snapToGrid w:val="0"/>
                    <w:rPr>
                      <w:sz w:val="18"/>
                      <w:szCs w:val="18"/>
                      <w:u w:val="none"/>
                    </w:rPr>
                  </w:pPr>
                  <w:r>
                    <w:rPr>
                      <w:rFonts w:hint="eastAsia"/>
                      <w:sz w:val="18"/>
                      <w:szCs w:val="18"/>
                      <w:u w:val="none"/>
                    </w:rPr>
                    <w:t>规划年评价标准（</w:t>
                  </w:r>
                  <w:r>
                    <w:rPr>
                      <w:sz w:val="18"/>
                      <w:szCs w:val="18"/>
                      <w:u w:val="none"/>
                    </w:rPr>
                    <w:t xml:space="preserve"> </w:t>
                  </w:r>
                  <w:r>
                    <w:rPr>
                      <w:rFonts w:hint="eastAsia"/>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评价时期</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丰水期</w:t>
                  </w:r>
                  <w:r>
                    <w:rPr>
                      <w:sz w:val="18"/>
                      <w:szCs w:val="18"/>
                      <w:u w:val="none"/>
                    </w:rPr>
                    <w:t xml:space="preserve"> □</w:t>
                  </w:r>
                  <w:r>
                    <w:rPr>
                      <w:rFonts w:hint="eastAsia"/>
                      <w:sz w:val="18"/>
                      <w:szCs w:val="18"/>
                      <w:u w:val="none"/>
                    </w:rPr>
                    <w:t>；平水期</w:t>
                  </w:r>
                  <w:r>
                    <w:rPr>
                      <w:sz w:val="18"/>
                      <w:szCs w:val="18"/>
                      <w:u w:val="none"/>
                    </w:rPr>
                    <w:t xml:space="preserve"> □</w:t>
                  </w:r>
                  <w:r>
                    <w:rPr>
                      <w:rFonts w:hint="eastAsia"/>
                      <w:sz w:val="18"/>
                      <w:szCs w:val="18"/>
                      <w:u w:val="none"/>
                    </w:rPr>
                    <w:t>；枯水期</w:t>
                  </w:r>
                  <w:r>
                    <w:rPr>
                      <w:sz w:val="18"/>
                      <w:szCs w:val="18"/>
                      <w:u w:val="none"/>
                    </w:rPr>
                    <w:t xml:space="preserve"> □</w:t>
                  </w:r>
                  <w:r>
                    <w:rPr>
                      <w:rFonts w:hint="eastAsia"/>
                      <w:sz w:val="18"/>
                      <w:szCs w:val="18"/>
                      <w:u w:val="none"/>
                    </w:rPr>
                    <w:t>；冰封期</w:t>
                  </w:r>
                  <w:r>
                    <w:rPr>
                      <w:sz w:val="18"/>
                      <w:szCs w:val="18"/>
                      <w:u w:val="none"/>
                    </w:rPr>
                    <w:t xml:space="preserve"> □</w:t>
                  </w:r>
                </w:p>
                <w:p>
                  <w:pPr>
                    <w:adjustRightInd w:val="0"/>
                    <w:snapToGrid w:val="0"/>
                    <w:rPr>
                      <w:sz w:val="18"/>
                      <w:szCs w:val="18"/>
                      <w:u w:val="none"/>
                    </w:rPr>
                  </w:pPr>
                  <w:r>
                    <w:rPr>
                      <w:rFonts w:hint="eastAsia"/>
                      <w:sz w:val="18"/>
                      <w:szCs w:val="18"/>
                      <w:u w:val="none"/>
                    </w:rPr>
                    <w:t>春季</w:t>
                  </w:r>
                  <w:r>
                    <w:rPr>
                      <w:sz w:val="18"/>
                      <w:szCs w:val="18"/>
                      <w:u w:val="none"/>
                    </w:rPr>
                    <w:t xml:space="preserve"> □</w:t>
                  </w:r>
                  <w:r>
                    <w:rPr>
                      <w:rFonts w:hint="eastAsia"/>
                      <w:sz w:val="18"/>
                      <w:szCs w:val="18"/>
                      <w:u w:val="none"/>
                    </w:rPr>
                    <w:t>；夏季</w:t>
                  </w:r>
                  <w:r>
                    <w:rPr>
                      <w:sz w:val="18"/>
                      <w:szCs w:val="18"/>
                      <w:u w:val="none"/>
                    </w:rPr>
                    <w:t xml:space="preserve"> □</w:t>
                  </w:r>
                  <w:r>
                    <w:rPr>
                      <w:rFonts w:hint="eastAsia"/>
                      <w:sz w:val="18"/>
                      <w:szCs w:val="18"/>
                      <w:u w:val="none"/>
                    </w:rPr>
                    <w:t>；秋季</w:t>
                  </w:r>
                  <w:r>
                    <w:rPr>
                      <w:sz w:val="18"/>
                      <w:szCs w:val="18"/>
                      <w:u w:val="none"/>
                    </w:rPr>
                    <w:t xml:space="preserve"> □</w:t>
                  </w:r>
                  <w:r>
                    <w:rPr>
                      <w:rFonts w:hint="eastAsia"/>
                      <w:sz w:val="18"/>
                      <w:szCs w:val="18"/>
                      <w:u w:val="none"/>
                    </w:rPr>
                    <w:t>；冬季</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评价结论</w:t>
                  </w:r>
                </w:p>
              </w:tc>
              <w:tc>
                <w:tcPr>
                  <w:tcW w:w="6220"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水环境功能区或水功能区、近岸海域环境功能区水质达标状况</w:t>
                  </w:r>
                  <w:r>
                    <w:rPr>
                      <w:sz w:val="18"/>
                      <w:szCs w:val="18"/>
                      <w:u w:val="none"/>
                    </w:rPr>
                    <w:t xml:space="preserve"> □</w:t>
                  </w:r>
                  <w:r>
                    <w:rPr>
                      <w:rFonts w:hint="eastAsia"/>
                      <w:sz w:val="18"/>
                      <w:szCs w:val="18"/>
                      <w:u w:val="none"/>
                    </w:rPr>
                    <w:t>：达标</w:t>
                  </w:r>
                  <w:r>
                    <w:rPr>
                      <w:sz w:val="18"/>
                      <w:szCs w:val="18"/>
                      <w:u w:val="none"/>
                    </w:rPr>
                    <w:t xml:space="preserve"> □</w:t>
                  </w:r>
                  <w:r>
                    <w:rPr>
                      <w:rFonts w:hint="eastAsia"/>
                      <w:sz w:val="18"/>
                      <w:szCs w:val="18"/>
                      <w:u w:val="none"/>
                    </w:rPr>
                    <w:t>；不达标</w:t>
                  </w:r>
                  <w:r>
                    <w:rPr>
                      <w:sz w:val="18"/>
                      <w:szCs w:val="18"/>
                      <w:u w:val="none"/>
                    </w:rPr>
                    <w:t>□</w:t>
                  </w:r>
                </w:p>
                <w:p>
                  <w:pPr>
                    <w:adjustRightInd w:val="0"/>
                    <w:snapToGrid w:val="0"/>
                    <w:rPr>
                      <w:sz w:val="18"/>
                      <w:szCs w:val="18"/>
                      <w:u w:val="none"/>
                    </w:rPr>
                  </w:pPr>
                  <w:r>
                    <w:rPr>
                      <w:rFonts w:hint="eastAsia"/>
                      <w:sz w:val="18"/>
                      <w:szCs w:val="18"/>
                      <w:u w:val="none"/>
                    </w:rPr>
                    <w:t>水环境控制单元或断面水质达标状况</w:t>
                  </w:r>
                  <w:r>
                    <w:rPr>
                      <w:sz w:val="18"/>
                      <w:szCs w:val="18"/>
                      <w:u w:val="none"/>
                    </w:rPr>
                    <w:t xml:space="preserve"> □</w:t>
                  </w:r>
                  <w:r>
                    <w:rPr>
                      <w:rFonts w:hint="eastAsia"/>
                      <w:sz w:val="18"/>
                      <w:szCs w:val="18"/>
                      <w:u w:val="none"/>
                    </w:rPr>
                    <w:t>：达标</w:t>
                  </w:r>
                  <w:r>
                    <w:rPr>
                      <w:sz w:val="18"/>
                      <w:szCs w:val="18"/>
                      <w:u w:val="none"/>
                    </w:rPr>
                    <w:t xml:space="preserve"> □</w:t>
                  </w:r>
                  <w:r>
                    <w:rPr>
                      <w:rFonts w:hint="eastAsia"/>
                      <w:sz w:val="18"/>
                      <w:szCs w:val="18"/>
                      <w:u w:val="none"/>
                    </w:rPr>
                    <w:t>；不达标</w:t>
                  </w:r>
                  <w:r>
                    <w:rPr>
                      <w:sz w:val="18"/>
                      <w:szCs w:val="18"/>
                      <w:u w:val="none"/>
                    </w:rPr>
                    <w:t xml:space="preserve">  □</w:t>
                  </w:r>
                </w:p>
                <w:p>
                  <w:pPr>
                    <w:adjustRightInd w:val="0"/>
                    <w:snapToGrid w:val="0"/>
                    <w:rPr>
                      <w:sz w:val="18"/>
                      <w:szCs w:val="18"/>
                      <w:u w:val="none"/>
                    </w:rPr>
                  </w:pPr>
                  <w:r>
                    <w:rPr>
                      <w:rFonts w:hint="eastAsia"/>
                      <w:sz w:val="18"/>
                      <w:szCs w:val="18"/>
                      <w:u w:val="none"/>
                    </w:rPr>
                    <w:t>水环境保护目标质量状况</w:t>
                  </w:r>
                  <w:r>
                    <w:rPr>
                      <w:sz w:val="18"/>
                      <w:szCs w:val="18"/>
                      <w:u w:val="none"/>
                    </w:rPr>
                    <w:t xml:space="preserve"> □</w:t>
                  </w:r>
                  <w:r>
                    <w:rPr>
                      <w:rFonts w:hint="eastAsia"/>
                      <w:sz w:val="18"/>
                      <w:szCs w:val="18"/>
                      <w:u w:val="none"/>
                    </w:rPr>
                    <w:t>：达标</w:t>
                  </w:r>
                  <w:r>
                    <w:rPr>
                      <w:sz w:val="18"/>
                      <w:szCs w:val="18"/>
                      <w:u w:val="none"/>
                    </w:rPr>
                    <w:t xml:space="preserve"> □</w:t>
                  </w:r>
                  <w:r>
                    <w:rPr>
                      <w:rFonts w:hint="eastAsia"/>
                      <w:sz w:val="18"/>
                      <w:szCs w:val="18"/>
                      <w:u w:val="none"/>
                    </w:rPr>
                    <w:t>；不达标</w:t>
                  </w:r>
                  <w:r>
                    <w:rPr>
                      <w:sz w:val="18"/>
                      <w:szCs w:val="18"/>
                      <w:u w:val="none"/>
                    </w:rPr>
                    <w:t xml:space="preserve"> □</w:t>
                  </w:r>
                </w:p>
                <w:p>
                  <w:pPr>
                    <w:adjustRightInd w:val="0"/>
                    <w:snapToGrid w:val="0"/>
                    <w:rPr>
                      <w:sz w:val="18"/>
                      <w:szCs w:val="18"/>
                      <w:u w:val="none"/>
                    </w:rPr>
                  </w:pPr>
                  <w:r>
                    <w:rPr>
                      <w:rFonts w:hint="eastAsia"/>
                      <w:sz w:val="18"/>
                      <w:szCs w:val="18"/>
                      <w:u w:val="none"/>
                    </w:rPr>
                    <w:t>对照断面、控制断面等代表性断面的水质状况</w:t>
                  </w:r>
                  <w:r>
                    <w:rPr>
                      <w:sz w:val="18"/>
                      <w:szCs w:val="18"/>
                      <w:u w:val="none"/>
                    </w:rPr>
                    <w:t xml:space="preserve"> □</w:t>
                  </w:r>
                  <w:r>
                    <w:rPr>
                      <w:rFonts w:hint="eastAsia"/>
                      <w:sz w:val="18"/>
                      <w:szCs w:val="18"/>
                      <w:u w:val="none"/>
                    </w:rPr>
                    <w:t>：达标</w:t>
                  </w:r>
                  <w:r>
                    <w:rPr>
                      <w:sz w:val="18"/>
                      <w:szCs w:val="18"/>
                      <w:u w:val="none"/>
                    </w:rPr>
                    <w:t xml:space="preserve"> □</w:t>
                  </w:r>
                  <w:r>
                    <w:rPr>
                      <w:rFonts w:hint="eastAsia"/>
                      <w:sz w:val="18"/>
                      <w:szCs w:val="18"/>
                      <w:u w:val="none"/>
                    </w:rPr>
                    <w:t>；不达标</w:t>
                  </w:r>
                  <w:r>
                    <w:rPr>
                      <w:sz w:val="18"/>
                      <w:szCs w:val="18"/>
                      <w:u w:val="none"/>
                    </w:rPr>
                    <w:t xml:space="preserve"> □</w:t>
                  </w:r>
                </w:p>
                <w:p>
                  <w:pPr>
                    <w:adjustRightInd w:val="0"/>
                    <w:snapToGrid w:val="0"/>
                    <w:rPr>
                      <w:sz w:val="18"/>
                      <w:szCs w:val="18"/>
                      <w:u w:val="none"/>
                    </w:rPr>
                  </w:pPr>
                  <w:r>
                    <w:rPr>
                      <w:rFonts w:hint="eastAsia"/>
                      <w:sz w:val="18"/>
                      <w:szCs w:val="18"/>
                      <w:u w:val="none"/>
                    </w:rPr>
                    <w:t>底泥污染评价</w:t>
                  </w:r>
                  <w:r>
                    <w:rPr>
                      <w:sz w:val="18"/>
                      <w:szCs w:val="18"/>
                      <w:u w:val="none"/>
                    </w:rPr>
                    <w:t xml:space="preserve"> □</w:t>
                  </w:r>
                </w:p>
                <w:p>
                  <w:pPr>
                    <w:adjustRightInd w:val="0"/>
                    <w:snapToGrid w:val="0"/>
                    <w:rPr>
                      <w:sz w:val="18"/>
                      <w:szCs w:val="18"/>
                      <w:u w:val="none"/>
                    </w:rPr>
                  </w:pPr>
                  <w:r>
                    <w:rPr>
                      <w:rFonts w:hint="eastAsia"/>
                      <w:sz w:val="18"/>
                      <w:szCs w:val="18"/>
                      <w:u w:val="none"/>
                    </w:rPr>
                    <w:t>水资源与开发利用程度及其水文情势评价</w:t>
                  </w:r>
                  <w:r>
                    <w:rPr>
                      <w:sz w:val="18"/>
                      <w:szCs w:val="18"/>
                      <w:u w:val="none"/>
                    </w:rPr>
                    <w:t xml:space="preserve"> □</w:t>
                  </w:r>
                </w:p>
                <w:p>
                  <w:pPr>
                    <w:adjustRightInd w:val="0"/>
                    <w:snapToGrid w:val="0"/>
                    <w:rPr>
                      <w:sz w:val="18"/>
                      <w:szCs w:val="18"/>
                      <w:u w:val="none"/>
                    </w:rPr>
                  </w:pPr>
                  <w:r>
                    <w:rPr>
                      <w:rFonts w:hint="eastAsia"/>
                      <w:sz w:val="18"/>
                      <w:szCs w:val="18"/>
                      <w:u w:val="none"/>
                    </w:rPr>
                    <w:t>水环境质量回顾评价</w:t>
                  </w:r>
                  <w:r>
                    <w:rPr>
                      <w:sz w:val="18"/>
                      <w:szCs w:val="18"/>
                      <w:u w:val="none"/>
                    </w:rPr>
                    <w:t xml:space="preserve"> □</w:t>
                  </w:r>
                </w:p>
                <w:p>
                  <w:pPr>
                    <w:adjustRightInd w:val="0"/>
                    <w:snapToGrid w:val="0"/>
                    <w:rPr>
                      <w:sz w:val="18"/>
                      <w:szCs w:val="18"/>
                      <w:u w:val="none"/>
                    </w:rPr>
                  </w:pPr>
                  <w:r>
                    <w:rPr>
                      <w:rFonts w:hint="eastAsia"/>
                      <w:sz w:val="18"/>
                      <w:szCs w:val="18"/>
                      <w:u w:val="none"/>
                    </w:rPr>
                    <w:t>流域（区域）水资源（包括水能资源）与开发利用总体状况、生态流量管理要求与现状满足程度、建设项目占用水域空间的水流状况与河湖演变状况</w:t>
                  </w:r>
                  <w:r>
                    <w:rPr>
                      <w:sz w:val="18"/>
                      <w:szCs w:val="18"/>
                      <w:u w:val="none"/>
                    </w:rPr>
                    <w:t xml:space="preserve"> □</w:t>
                  </w:r>
                </w:p>
              </w:tc>
              <w:tc>
                <w:tcPr>
                  <w:tcW w:w="13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达标区</w:t>
                  </w:r>
                  <w:r>
                    <w:rPr>
                      <w:sz w:val="18"/>
                      <w:szCs w:val="18"/>
                      <w:u w:val="none"/>
                    </w:rPr>
                    <w:t xml:space="preserve"> </w:t>
                  </w:r>
                </w:p>
                <w:p>
                  <w:pPr>
                    <w:adjustRightInd w:val="0"/>
                    <w:snapToGrid w:val="0"/>
                    <w:jc w:val="center"/>
                    <w:rPr>
                      <w:sz w:val="18"/>
                      <w:szCs w:val="18"/>
                      <w:u w:val="none"/>
                    </w:rPr>
                  </w:pPr>
                  <w:r>
                    <w:rPr>
                      <w:rFonts w:hint="eastAsia"/>
                      <w:sz w:val="18"/>
                      <w:szCs w:val="18"/>
                      <w:u w:val="none"/>
                    </w:rPr>
                    <w:t>不达标区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影响预测</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预测范围</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河流：长度（</w:t>
                  </w:r>
                  <w:r>
                    <w:rPr>
                      <w:sz w:val="18"/>
                      <w:szCs w:val="18"/>
                      <w:u w:val="none"/>
                    </w:rPr>
                    <w:t xml:space="preserve"> </w:t>
                  </w:r>
                  <w:r>
                    <w:rPr>
                      <w:rFonts w:hint="eastAsia"/>
                      <w:sz w:val="18"/>
                      <w:szCs w:val="18"/>
                      <w:u w:val="none"/>
                    </w:rPr>
                    <w:t>）</w:t>
                  </w:r>
                  <w:r>
                    <w:rPr>
                      <w:sz w:val="18"/>
                      <w:szCs w:val="18"/>
                      <w:u w:val="none"/>
                    </w:rPr>
                    <w:t>km</w:t>
                  </w:r>
                  <w:r>
                    <w:rPr>
                      <w:rFonts w:hint="eastAsia"/>
                      <w:sz w:val="18"/>
                      <w:szCs w:val="18"/>
                      <w:u w:val="none"/>
                    </w:rPr>
                    <w:t>；湖库、河口及近岸海域：面积（</w:t>
                  </w:r>
                  <w:r>
                    <w:rPr>
                      <w:sz w:val="18"/>
                      <w:szCs w:val="18"/>
                      <w:u w:val="none"/>
                    </w:rPr>
                    <w:t xml:space="preserve"> </w:t>
                  </w:r>
                  <w:r>
                    <w:rPr>
                      <w:rFonts w:hint="eastAsia"/>
                      <w:sz w:val="18"/>
                      <w:szCs w:val="18"/>
                      <w:u w:val="none"/>
                    </w:rPr>
                    <w:t>）</w:t>
                  </w:r>
                  <w:r>
                    <w:rPr>
                      <w:sz w:val="18"/>
                      <w:szCs w:val="18"/>
                      <w:u w:val="none"/>
                    </w:rPr>
                    <w:t>km</w:t>
                  </w:r>
                  <w:r>
                    <w:rPr>
                      <w:sz w:val="18"/>
                      <w:szCs w:val="18"/>
                      <w:u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预测因子</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预测时期</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丰水期</w:t>
                  </w:r>
                  <w:r>
                    <w:rPr>
                      <w:sz w:val="18"/>
                      <w:szCs w:val="18"/>
                      <w:u w:val="none"/>
                    </w:rPr>
                    <w:t xml:space="preserve"> □</w:t>
                  </w:r>
                  <w:r>
                    <w:rPr>
                      <w:rFonts w:hint="eastAsia"/>
                      <w:sz w:val="18"/>
                      <w:szCs w:val="18"/>
                      <w:u w:val="none"/>
                    </w:rPr>
                    <w:t>；平水期</w:t>
                  </w:r>
                  <w:r>
                    <w:rPr>
                      <w:sz w:val="18"/>
                      <w:szCs w:val="18"/>
                      <w:u w:val="none"/>
                    </w:rPr>
                    <w:t xml:space="preserve"> □</w:t>
                  </w:r>
                  <w:r>
                    <w:rPr>
                      <w:rFonts w:hint="eastAsia"/>
                      <w:sz w:val="18"/>
                      <w:szCs w:val="18"/>
                      <w:u w:val="none"/>
                    </w:rPr>
                    <w:t>；枯水期</w:t>
                  </w:r>
                  <w:r>
                    <w:rPr>
                      <w:sz w:val="18"/>
                      <w:szCs w:val="18"/>
                      <w:u w:val="none"/>
                    </w:rPr>
                    <w:t xml:space="preserve"> □</w:t>
                  </w:r>
                  <w:r>
                    <w:rPr>
                      <w:rFonts w:hint="eastAsia"/>
                      <w:sz w:val="18"/>
                      <w:szCs w:val="18"/>
                      <w:u w:val="none"/>
                    </w:rPr>
                    <w:t>；冰封期</w:t>
                  </w:r>
                  <w:r>
                    <w:rPr>
                      <w:sz w:val="18"/>
                      <w:szCs w:val="18"/>
                      <w:u w:val="none"/>
                    </w:rPr>
                    <w:t xml:space="preserve"> □</w:t>
                  </w:r>
                </w:p>
                <w:p>
                  <w:pPr>
                    <w:adjustRightInd w:val="0"/>
                    <w:snapToGrid w:val="0"/>
                    <w:rPr>
                      <w:sz w:val="18"/>
                      <w:szCs w:val="18"/>
                      <w:u w:val="none"/>
                    </w:rPr>
                  </w:pPr>
                  <w:r>
                    <w:rPr>
                      <w:rFonts w:hint="eastAsia"/>
                      <w:sz w:val="18"/>
                      <w:szCs w:val="18"/>
                      <w:u w:val="none"/>
                    </w:rPr>
                    <w:t>春季</w:t>
                  </w:r>
                  <w:r>
                    <w:rPr>
                      <w:sz w:val="18"/>
                      <w:szCs w:val="18"/>
                      <w:u w:val="none"/>
                    </w:rPr>
                    <w:t xml:space="preserve"> □</w:t>
                  </w:r>
                  <w:r>
                    <w:rPr>
                      <w:rFonts w:hint="eastAsia"/>
                      <w:sz w:val="18"/>
                      <w:szCs w:val="18"/>
                      <w:u w:val="none"/>
                    </w:rPr>
                    <w:t>；夏季</w:t>
                  </w:r>
                  <w:r>
                    <w:rPr>
                      <w:sz w:val="18"/>
                      <w:szCs w:val="18"/>
                      <w:u w:val="none"/>
                    </w:rPr>
                    <w:t xml:space="preserve"> □</w:t>
                  </w:r>
                  <w:r>
                    <w:rPr>
                      <w:rFonts w:hint="eastAsia"/>
                      <w:sz w:val="18"/>
                      <w:szCs w:val="18"/>
                      <w:u w:val="none"/>
                    </w:rPr>
                    <w:t>；秋季</w:t>
                  </w:r>
                  <w:r>
                    <w:rPr>
                      <w:sz w:val="18"/>
                      <w:szCs w:val="18"/>
                      <w:u w:val="none"/>
                    </w:rPr>
                    <w:t xml:space="preserve"> □</w:t>
                  </w:r>
                  <w:r>
                    <w:rPr>
                      <w:rFonts w:hint="eastAsia"/>
                      <w:sz w:val="18"/>
                      <w:szCs w:val="18"/>
                      <w:u w:val="none"/>
                    </w:rPr>
                    <w:t>；冬季</w:t>
                  </w:r>
                  <w:r>
                    <w:rPr>
                      <w:sz w:val="18"/>
                      <w:szCs w:val="18"/>
                      <w:u w:val="none"/>
                    </w:rPr>
                    <w:t xml:space="preserve"> □</w:t>
                  </w:r>
                </w:p>
                <w:p>
                  <w:pPr>
                    <w:adjustRightInd w:val="0"/>
                    <w:snapToGrid w:val="0"/>
                    <w:rPr>
                      <w:sz w:val="18"/>
                      <w:szCs w:val="18"/>
                      <w:u w:val="none"/>
                    </w:rPr>
                  </w:pPr>
                  <w:r>
                    <w:rPr>
                      <w:rFonts w:hint="eastAsia"/>
                      <w:sz w:val="18"/>
                      <w:szCs w:val="18"/>
                      <w:u w:val="none"/>
                    </w:rPr>
                    <w:t>设计水文条件</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预测情景</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建设期</w:t>
                  </w:r>
                  <w:r>
                    <w:rPr>
                      <w:sz w:val="18"/>
                      <w:szCs w:val="18"/>
                      <w:u w:val="none"/>
                    </w:rPr>
                    <w:t xml:space="preserve"> □</w:t>
                  </w:r>
                  <w:r>
                    <w:rPr>
                      <w:rFonts w:hint="eastAsia"/>
                      <w:sz w:val="18"/>
                      <w:szCs w:val="18"/>
                      <w:u w:val="none"/>
                    </w:rPr>
                    <w:t>；生产运行期</w:t>
                  </w:r>
                  <w:r>
                    <w:rPr>
                      <w:sz w:val="18"/>
                      <w:szCs w:val="18"/>
                      <w:u w:val="none"/>
                    </w:rPr>
                    <w:t xml:space="preserve"> □</w:t>
                  </w:r>
                  <w:r>
                    <w:rPr>
                      <w:rFonts w:hint="eastAsia"/>
                      <w:sz w:val="18"/>
                      <w:szCs w:val="18"/>
                      <w:u w:val="none"/>
                    </w:rPr>
                    <w:t>；服务期满后</w:t>
                  </w:r>
                  <w:r>
                    <w:rPr>
                      <w:sz w:val="18"/>
                      <w:szCs w:val="18"/>
                      <w:u w:val="none"/>
                    </w:rPr>
                    <w:t xml:space="preserve"> □</w:t>
                  </w:r>
                </w:p>
                <w:p>
                  <w:pPr>
                    <w:adjustRightInd w:val="0"/>
                    <w:snapToGrid w:val="0"/>
                    <w:rPr>
                      <w:sz w:val="18"/>
                      <w:szCs w:val="18"/>
                      <w:u w:val="none"/>
                    </w:rPr>
                  </w:pPr>
                  <w:r>
                    <w:rPr>
                      <w:rFonts w:hint="eastAsia"/>
                      <w:sz w:val="18"/>
                      <w:szCs w:val="18"/>
                      <w:u w:val="none"/>
                    </w:rPr>
                    <w:t>正常工况</w:t>
                  </w:r>
                  <w:r>
                    <w:rPr>
                      <w:sz w:val="18"/>
                      <w:szCs w:val="18"/>
                      <w:u w:val="none"/>
                    </w:rPr>
                    <w:t xml:space="preserve"> □</w:t>
                  </w:r>
                  <w:r>
                    <w:rPr>
                      <w:rFonts w:hint="eastAsia"/>
                      <w:sz w:val="18"/>
                      <w:szCs w:val="18"/>
                      <w:u w:val="none"/>
                    </w:rPr>
                    <w:t>；非正常工况</w:t>
                  </w:r>
                  <w:r>
                    <w:rPr>
                      <w:sz w:val="18"/>
                      <w:szCs w:val="18"/>
                      <w:u w:val="none"/>
                    </w:rPr>
                    <w:t xml:space="preserve"> □</w:t>
                  </w:r>
                </w:p>
                <w:p>
                  <w:pPr>
                    <w:adjustRightInd w:val="0"/>
                    <w:snapToGrid w:val="0"/>
                    <w:rPr>
                      <w:sz w:val="18"/>
                      <w:szCs w:val="18"/>
                      <w:u w:val="none"/>
                    </w:rPr>
                  </w:pPr>
                  <w:r>
                    <w:rPr>
                      <w:rFonts w:hint="eastAsia"/>
                      <w:sz w:val="18"/>
                      <w:szCs w:val="18"/>
                      <w:u w:val="none"/>
                    </w:rPr>
                    <w:t>污染控制和减缓措施方案</w:t>
                  </w:r>
                  <w:r>
                    <w:rPr>
                      <w:sz w:val="18"/>
                      <w:szCs w:val="18"/>
                      <w:u w:val="none"/>
                    </w:rPr>
                    <w:t>□</w:t>
                  </w:r>
                </w:p>
                <w:p>
                  <w:pPr>
                    <w:adjustRightInd w:val="0"/>
                    <w:snapToGrid w:val="0"/>
                    <w:rPr>
                      <w:sz w:val="18"/>
                      <w:szCs w:val="18"/>
                      <w:u w:val="none"/>
                    </w:rPr>
                  </w:pPr>
                  <w:r>
                    <w:rPr>
                      <w:rFonts w:hint="eastAsia"/>
                      <w:sz w:val="18"/>
                      <w:szCs w:val="18"/>
                      <w:u w:val="none"/>
                    </w:rPr>
                    <w:t>区（流）域环境质量改善目标要求情景</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预测方法</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数值解</w:t>
                  </w:r>
                  <w:r>
                    <w:rPr>
                      <w:sz w:val="18"/>
                      <w:szCs w:val="18"/>
                      <w:u w:val="none"/>
                    </w:rPr>
                    <w:t xml:space="preserve"> □</w:t>
                  </w:r>
                  <w:r>
                    <w:rPr>
                      <w:rFonts w:hint="eastAsia"/>
                      <w:sz w:val="18"/>
                      <w:szCs w:val="18"/>
                      <w:u w:val="none"/>
                    </w:rPr>
                    <w:t>：解析解</w:t>
                  </w:r>
                  <w:r>
                    <w:rPr>
                      <w:sz w:val="18"/>
                      <w:szCs w:val="18"/>
                      <w:u w:val="none"/>
                    </w:rPr>
                    <w:t xml:space="preserve"> □</w:t>
                  </w:r>
                  <w:r>
                    <w:rPr>
                      <w:rFonts w:hint="eastAsia"/>
                      <w:sz w:val="18"/>
                      <w:szCs w:val="18"/>
                      <w:u w:val="none"/>
                    </w:rPr>
                    <w:t>；其他</w:t>
                  </w:r>
                  <w:r>
                    <w:rPr>
                      <w:sz w:val="18"/>
                      <w:szCs w:val="18"/>
                      <w:u w:val="none"/>
                    </w:rPr>
                    <w:t xml:space="preserve"> □</w:t>
                  </w:r>
                </w:p>
                <w:p>
                  <w:pPr>
                    <w:adjustRightInd w:val="0"/>
                    <w:snapToGrid w:val="0"/>
                    <w:rPr>
                      <w:sz w:val="18"/>
                      <w:szCs w:val="18"/>
                      <w:u w:val="none"/>
                    </w:rPr>
                  </w:pPr>
                  <w:r>
                    <w:rPr>
                      <w:rFonts w:hint="eastAsia"/>
                      <w:sz w:val="18"/>
                      <w:szCs w:val="18"/>
                      <w:u w:val="none"/>
                    </w:rPr>
                    <w:t>导则推荐模式</w:t>
                  </w:r>
                  <w:r>
                    <w:rPr>
                      <w:sz w:val="18"/>
                      <w:szCs w:val="18"/>
                      <w:u w:val="none"/>
                    </w:rPr>
                    <w:t xml:space="preserve"> □</w:t>
                  </w:r>
                  <w:r>
                    <w:rPr>
                      <w:rFonts w:hint="eastAsia"/>
                      <w:sz w:val="18"/>
                      <w:szCs w:val="18"/>
                      <w:u w:val="none"/>
                    </w:rPr>
                    <w:t>：其他</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影响评价</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水污染控制和水环境影响减缓措施有效性评价</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u w:val="none"/>
                    </w:rPr>
                  </w:pPr>
                  <w:r>
                    <w:rPr>
                      <w:rFonts w:hint="eastAsia"/>
                      <w:sz w:val="18"/>
                      <w:szCs w:val="18"/>
                      <w:u w:val="none"/>
                    </w:rPr>
                    <w:t>区（流）域水环境质量改善目标</w:t>
                  </w:r>
                  <w:r>
                    <w:rPr>
                      <w:sz w:val="18"/>
                      <w:szCs w:val="18"/>
                      <w:u w:val="none"/>
                    </w:rPr>
                    <w:t>□</w:t>
                  </w:r>
                  <w:r>
                    <w:rPr>
                      <w:rFonts w:hint="eastAsia"/>
                      <w:sz w:val="18"/>
                      <w:szCs w:val="18"/>
                      <w:u w:val="none"/>
                    </w:rPr>
                    <w:t>；替代削减源</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水环境影响评价</w:t>
                  </w:r>
                </w:p>
              </w:tc>
              <w:tc>
                <w:tcPr>
                  <w:tcW w:w="7547"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u w:val="none"/>
                    </w:rPr>
                  </w:pPr>
                  <w:r>
                    <w:rPr>
                      <w:rFonts w:hint="eastAsia"/>
                      <w:sz w:val="18"/>
                      <w:szCs w:val="18"/>
                      <w:u w:val="none"/>
                    </w:rPr>
                    <w:t>排放口混合区外满足水环境管理要求</w:t>
                  </w:r>
                  <w:r>
                    <w:rPr>
                      <w:sz w:val="18"/>
                      <w:szCs w:val="18"/>
                      <w:u w:val="none"/>
                    </w:rPr>
                    <w:t xml:space="preserve"> □</w:t>
                  </w:r>
                </w:p>
                <w:p>
                  <w:pPr>
                    <w:adjustRightInd w:val="0"/>
                    <w:snapToGrid w:val="0"/>
                    <w:rPr>
                      <w:sz w:val="18"/>
                      <w:szCs w:val="18"/>
                      <w:u w:val="none"/>
                    </w:rPr>
                  </w:pPr>
                  <w:r>
                    <w:rPr>
                      <w:rFonts w:hint="eastAsia"/>
                      <w:sz w:val="18"/>
                      <w:szCs w:val="18"/>
                      <w:u w:val="none"/>
                    </w:rPr>
                    <w:t>水环境功能区或水功能区、近岸海域环境功能区水质达标</w:t>
                  </w:r>
                  <w:r>
                    <w:rPr>
                      <w:sz w:val="18"/>
                      <w:szCs w:val="18"/>
                      <w:u w:val="none"/>
                    </w:rPr>
                    <w:t xml:space="preserve"> □</w:t>
                  </w:r>
                </w:p>
                <w:p>
                  <w:pPr>
                    <w:adjustRightInd w:val="0"/>
                    <w:snapToGrid w:val="0"/>
                    <w:rPr>
                      <w:sz w:val="18"/>
                      <w:szCs w:val="18"/>
                      <w:u w:val="none"/>
                    </w:rPr>
                  </w:pPr>
                  <w:r>
                    <w:rPr>
                      <w:rFonts w:hint="eastAsia"/>
                      <w:sz w:val="18"/>
                      <w:szCs w:val="18"/>
                      <w:u w:val="none"/>
                    </w:rPr>
                    <w:t>满足水环境保护目标水域水环境质量要求</w:t>
                  </w:r>
                  <w:r>
                    <w:rPr>
                      <w:sz w:val="18"/>
                      <w:szCs w:val="18"/>
                      <w:u w:val="none"/>
                    </w:rPr>
                    <w:t xml:space="preserve"> □</w:t>
                  </w:r>
                </w:p>
                <w:p>
                  <w:pPr>
                    <w:adjustRightInd w:val="0"/>
                    <w:snapToGrid w:val="0"/>
                    <w:rPr>
                      <w:sz w:val="18"/>
                      <w:szCs w:val="18"/>
                      <w:u w:val="none"/>
                    </w:rPr>
                  </w:pPr>
                  <w:r>
                    <w:rPr>
                      <w:rFonts w:hint="eastAsia"/>
                      <w:sz w:val="18"/>
                      <w:szCs w:val="18"/>
                      <w:u w:val="none"/>
                    </w:rPr>
                    <w:t>水环境控制单元或断面水质达标</w:t>
                  </w:r>
                  <w:r>
                    <w:rPr>
                      <w:sz w:val="18"/>
                      <w:szCs w:val="18"/>
                      <w:u w:val="none"/>
                    </w:rPr>
                    <w:t xml:space="preserve"> □</w:t>
                  </w:r>
                </w:p>
                <w:p>
                  <w:pPr>
                    <w:adjustRightInd w:val="0"/>
                    <w:snapToGrid w:val="0"/>
                    <w:rPr>
                      <w:sz w:val="18"/>
                      <w:szCs w:val="18"/>
                      <w:u w:val="none"/>
                    </w:rPr>
                  </w:pPr>
                  <w:r>
                    <w:rPr>
                      <w:rFonts w:hint="eastAsia"/>
                      <w:sz w:val="18"/>
                      <w:szCs w:val="18"/>
                      <w:u w:val="none"/>
                    </w:rPr>
                    <w:t>满足重点水污染物排放总量控制指标要求，重点行业建设项目，</w:t>
                  </w:r>
                  <w:r>
                    <w:rPr>
                      <w:sz w:val="18"/>
                      <w:szCs w:val="18"/>
                      <w:u w:val="none"/>
                    </w:rPr>
                    <w:t xml:space="preserve"> </w:t>
                  </w:r>
                  <w:r>
                    <w:rPr>
                      <w:rFonts w:hint="eastAsia"/>
                      <w:sz w:val="18"/>
                      <w:szCs w:val="18"/>
                      <w:u w:val="none"/>
                    </w:rPr>
                    <w:t>主要污染物排放满足等量或减量替代要求</w:t>
                  </w:r>
                  <w:r>
                    <w:rPr>
                      <w:sz w:val="18"/>
                      <w:szCs w:val="18"/>
                      <w:u w:val="none"/>
                    </w:rPr>
                    <w:t xml:space="preserve"> □</w:t>
                  </w:r>
                </w:p>
                <w:p>
                  <w:pPr>
                    <w:adjustRightInd w:val="0"/>
                    <w:snapToGrid w:val="0"/>
                    <w:rPr>
                      <w:sz w:val="18"/>
                      <w:szCs w:val="18"/>
                      <w:u w:val="none"/>
                    </w:rPr>
                  </w:pPr>
                  <w:r>
                    <w:rPr>
                      <w:rFonts w:hint="eastAsia"/>
                      <w:sz w:val="18"/>
                      <w:szCs w:val="18"/>
                      <w:u w:val="none"/>
                    </w:rPr>
                    <w:t>满足区（流）域水环境质量改善目标要求</w:t>
                  </w:r>
                  <w:r>
                    <w:rPr>
                      <w:sz w:val="18"/>
                      <w:szCs w:val="18"/>
                      <w:u w:val="none"/>
                    </w:rPr>
                    <w:t xml:space="preserve"> □</w:t>
                  </w:r>
                </w:p>
                <w:p>
                  <w:pPr>
                    <w:adjustRightInd w:val="0"/>
                    <w:snapToGrid w:val="0"/>
                    <w:rPr>
                      <w:sz w:val="18"/>
                      <w:szCs w:val="18"/>
                      <w:u w:val="none"/>
                    </w:rPr>
                  </w:pPr>
                  <w:r>
                    <w:rPr>
                      <w:rFonts w:hint="eastAsia"/>
                      <w:sz w:val="18"/>
                      <w:szCs w:val="18"/>
                      <w:u w:val="none"/>
                    </w:rPr>
                    <w:t>水文要素影响型建设项目同时应包括水文情势变化评价、主要水文特征值影响评价、生态流量符合性评价</w:t>
                  </w:r>
                  <w:r>
                    <w:rPr>
                      <w:sz w:val="18"/>
                      <w:szCs w:val="18"/>
                      <w:u w:val="none"/>
                    </w:rPr>
                    <w:t xml:space="preserve"> □</w:t>
                  </w:r>
                </w:p>
                <w:p>
                  <w:pPr>
                    <w:adjustRightInd w:val="0"/>
                    <w:snapToGrid w:val="0"/>
                    <w:rPr>
                      <w:sz w:val="18"/>
                      <w:szCs w:val="18"/>
                      <w:u w:val="none"/>
                    </w:rPr>
                  </w:pPr>
                  <w:r>
                    <w:rPr>
                      <w:rFonts w:hint="eastAsia"/>
                      <w:sz w:val="18"/>
                      <w:szCs w:val="18"/>
                      <w:u w:val="none"/>
                    </w:rPr>
                    <w:t>对于新设或调整入河（湖库、近岸海域）排放口的建设项目，应包括排放口设置的环境合理性评价</w:t>
                  </w:r>
                  <w:r>
                    <w:rPr>
                      <w:sz w:val="18"/>
                      <w:szCs w:val="18"/>
                      <w:u w:val="none"/>
                    </w:rPr>
                    <w:t xml:space="preserve"> □</w:t>
                  </w:r>
                </w:p>
                <w:p>
                  <w:pPr>
                    <w:adjustRightInd w:val="0"/>
                    <w:snapToGrid w:val="0"/>
                    <w:rPr>
                      <w:sz w:val="18"/>
                      <w:szCs w:val="18"/>
                      <w:u w:val="none"/>
                    </w:rPr>
                  </w:pPr>
                  <w:r>
                    <w:rPr>
                      <w:rFonts w:hint="eastAsia"/>
                      <w:sz w:val="18"/>
                      <w:szCs w:val="18"/>
                      <w:u w:val="none"/>
                    </w:rPr>
                    <w:t>满足生态保护红线、水环境质量底线、资源利用上线和环境准入清单管理要求</w:t>
                  </w:r>
                  <w:r>
                    <w:rPr>
                      <w:sz w:val="18"/>
                      <w:szCs w:val="1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污染源排放量核算</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污染物名称</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排放量</w:t>
                  </w:r>
                  <w:r>
                    <w:rPr>
                      <w:sz w:val="18"/>
                      <w:szCs w:val="18"/>
                      <w:u w:val="none"/>
                    </w:rPr>
                    <w:t>/</w:t>
                  </w:r>
                  <w:r>
                    <w:rPr>
                      <w:rFonts w:hint="eastAsia"/>
                      <w:sz w:val="18"/>
                      <w:szCs w:val="18"/>
                      <w:u w:val="none"/>
                    </w:rPr>
                    <w:t>（</w:t>
                  </w:r>
                  <w:r>
                    <w:rPr>
                      <w:sz w:val="18"/>
                      <w:szCs w:val="18"/>
                      <w:u w:val="none"/>
                    </w:rPr>
                    <w:t>t/a</w:t>
                  </w:r>
                  <w:r>
                    <w:rPr>
                      <w:rFonts w:hint="eastAsia"/>
                      <w:sz w:val="18"/>
                      <w:szCs w:val="18"/>
                      <w:u w:val="none"/>
                    </w:rPr>
                    <w:t>）</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排放浓度</w:t>
                  </w:r>
                  <w:r>
                    <w:rPr>
                      <w:sz w:val="18"/>
                      <w:szCs w:val="18"/>
                      <w:u w:val="none"/>
                    </w:rPr>
                    <w:t>/</w:t>
                  </w:r>
                  <w:r>
                    <w:rPr>
                      <w:rFonts w:hint="eastAsia"/>
                      <w:sz w:val="18"/>
                      <w:szCs w:val="18"/>
                      <w:u w:val="none"/>
                    </w:rPr>
                    <w:t>（</w:t>
                  </w:r>
                  <w:r>
                    <w:rPr>
                      <w:sz w:val="18"/>
                      <w:szCs w:val="18"/>
                      <w:u w:val="none"/>
                    </w:rPr>
                    <w:t>mg/L</w:t>
                  </w:r>
                  <w:r>
                    <w:rPr>
                      <w:rFonts w:hint="eastAsia"/>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left w:val="single" w:color="auto" w:sz="4" w:space="0"/>
                    <w:right w:val="single" w:color="auto" w:sz="4" w:space="0"/>
                  </w:tcBorders>
                  <w:vAlign w:val="center"/>
                </w:tcPr>
                <w:p>
                  <w:pPr>
                    <w:widowControl/>
                    <w:jc w:val="left"/>
                    <w:rPr>
                      <w:sz w:val="18"/>
                      <w:szCs w:val="18"/>
                      <w:u w:val="none"/>
                    </w:rPr>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sz w:val="18"/>
                      <w:szCs w:val="18"/>
                      <w:u w:val="none"/>
                    </w:rPr>
                    <w:t>COD</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0.0</w:t>
                  </w:r>
                  <w:r>
                    <w:rPr>
                      <w:rFonts w:hint="eastAsia"/>
                      <w:sz w:val="18"/>
                      <w:szCs w:val="18"/>
                      <w:u w:val="none"/>
                      <w:lang w:val="en-US" w:eastAsia="zh-CN"/>
                    </w:rPr>
                    <w:t>23</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 w:val="18"/>
                      <w:szCs w:val="18"/>
                      <w:u w:val="none"/>
                      <w:lang w:eastAsia="zh-CN"/>
                    </w:rPr>
                  </w:pPr>
                  <w:r>
                    <w:rPr>
                      <w:rFonts w:hint="eastAsia"/>
                      <w:sz w:val="18"/>
                      <w:szCs w:val="18"/>
                      <w:u w:val="no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left w:val="single" w:color="auto" w:sz="4" w:space="0"/>
                    <w:bottom w:val="single" w:color="auto" w:sz="4" w:space="0"/>
                    <w:right w:val="single" w:color="auto" w:sz="4" w:space="0"/>
                  </w:tcBorders>
                  <w:vAlign w:val="center"/>
                </w:tcPr>
                <w:p>
                  <w:pPr>
                    <w:widowControl/>
                    <w:jc w:val="left"/>
                    <w:rPr>
                      <w:sz w:val="18"/>
                      <w:szCs w:val="18"/>
                      <w:u w:val="none"/>
                    </w:rPr>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氨氮</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18"/>
                      <w:szCs w:val="18"/>
                      <w:u w:val="none"/>
                    </w:rPr>
                  </w:pPr>
                  <w:r>
                    <w:rPr>
                      <w:rFonts w:hint="eastAsia"/>
                      <w:sz w:val="18"/>
                      <w:szCs w:val="18"/>
                      <w:u w:val="none"/>
                    </w:rPr>
                    <w:t>0.0023</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18"/>
                      <w:szCs w:val="18"/>
                      <w:u w:val="none"/>
                    </w:rPr>
                  </w:pPr>
                  <w:r>
                    <w:rPr>
                      <w:rFonts w:hint="eastAsia"/>
                      <w:sz w:val="18"/>
                      <w:szCs w:val="18"/>
                      <w:u w:val="none"/>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替代源排放情况</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污染源名称</w:t>
                  </w:r>
                </w:p>
              </w:tc>
              <w:tc>
                <w:tcPr>
                  <w:tcW w:w="15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排污许可证编号</w:t>
                  </w:r>
                </w:p>
              </w:tc>
              <w:tc>
                <w:tcPr>
                  <w:tcW w:w="15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污染物名称</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排放量</w:t>
                  </w:r>
                  <w:r>
                    <w:rPr>
                      <w:sz w:val="18"/>
                      <w:szCs w:val="18"/>
                      <w:u w:val="none"/>
                    </w:rPr>
                    <w:t>/</w:t>
                  </w:r>
                  <w:r>
                    <w:rPr>
                      <w:rFonts w:hint="eastAsia"/>
                      <w:sz w:val="18"/>
                      <w:szCs w:val="18"/>
                      <w:u w:val="none"/>
                    </w:rPr>
                    <w:t>（</w:t>
                  </w:r>
                  <w:r>
                    <w:rPr>
                      <w:sz w:val="18"/>
                      <w:szCs w:val="18"/>
                      <w:u w:val="none"/>
                    </w:rPr>
                    <w:t>t/a</w:t>
                  </w:r>
                  <w:r>
                    <w:rPr>
                      <w:rFonts w:hint="eastAsia"/>
                      <w:sz w:val="18"/>
                      <w:szCs w:val="18"/>
                      <w:u w:val="none"/>
                    </w:rPr>
                    <w:t>）</w:t>
                  </w:r>
                </w:p>
              </w:tc>
              <w:tc>
                <w:tcPr>
                  <w:tcW w:w="1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排放浓度</w:t>
                  </w:r>
                  <w:r>
                    <w:rPr>
                      <w:sz w:val="18"/>
                      <w:szCs w:val="18"/>
                      <w:u w:val="none"/>
                    </w:rPr>
                    <w:t>/</w:t>
                  </w:r>
                  <w:r>
                    <w:rPr>
                      <w:rFonts w:hint="eastAsia"/>
                      <w:sz w:val="18"/>
                      <w:szCs w:val="18"/>
                      <w:u w:val="none"/>
                    </w:rPr>
                    <w:t>（</w:t>
                  </w:r>
                  <w:r>
                    <w:rPr>
                      <w:sz w:val="18"/>
                      <w:szCs w:val="18"/>
                      <w:u w:val="none"/>
                    </w:rPr>
                    <w:t>mg/L</w:t>
                  </w:r>
                  <w:r>
                    <w:rPr>
                      <w:rFonts w:hint="eastAsia"/>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15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15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15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生态流量确定</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u w:val="none"/>
                    </w:rPr>
                  </w:pPr>
                  <w:r>
                    <w:rPr>
                      <w:rFonts w:hint="eastAsia"/>
                      <w:sz w:val="18"/>
                      <w:szCs w:val="18"/>
                      <w:u w:val="none"/>
                    </w:rPr>
                    <w:t>生态流量：一般水期（</w:t>
                  </w:r>
                  <w:r>
                    <w:rPr>
                      <w:sz w:val="18"/>
                      <w:szCs w:val="18"/>
                      <w:u w:val="none"/>
                    </w:rPr>
                    <w:t xml:space="preserve"> </w:t>
                  </w:r>
                  <w:r>
                    <w:rPr>
                      <w:rFonts w:hint="eastAsia"/>
                      <w:sz w:val="18"/>
                      <w:szCs w:val="18"/>
                      <w:u w:val="none"/>
                    </w:rPr>
                    <w:t>）</w:t>
                  </w:r>
                  <w:r>
                    <w:rPr>
                      <w:sz w:val="18"/>
                      <w:szCs w:val="18"/>
                      <w:u w:val="none"/>
                    </w:rPr>
                    <w:t>m</w:t>
                  </w:r>
                  <w:r>
                    <w:rPr>
                      <w:sz w:val="18"/>
                      <w:szCs w:val="18"/>
                      <w:u w:val="none"/>
                      <w:vertAlign w:val="superscript"/>
                    </w:rPr>
                    <w:t>3</w:t>
                  </w:r>
                  <w:r>
                    <w:rPr>
                      <w:sz w:val="18"/>
                      <w:szCs w:val="18"/>
                      <w:u w:val="none"/>
                    </w:rPr>
                    <w:t>/s</w:t>
                  </w:r>
                  <w:r>
                    <w:rPr>
                      <w:rFonts w:hint="eastAsia"/>
                      <w:sz w:val="18"/>
                      <w:szCs w:val="18"/>
                      <w:u w:val="none"/>
                    </w:rPr>
                    <w:t>；鱼类繁殖期（</w:t>
                  </w:r>
                  <w:r>
                    <w:rPr>
                      <w:sz w:val="18"/>
                      <w:szCs w:val="18"/>
                      <w:u w:val="none"/>
                    </w:rPr>
                    <w:t xml:space="preserve"> </w:t>
                  </w:r>
                  <w:r>
                    <w:rPr>
                      <w:rFonts w:hint="eastAsia"/>
                      <w:sz w:val="18"/>
                      <w:szCs w:val="18"/>
                      <w:u w:val="none"/>
                    </w:rPr>
                    <w:t>）</w:t>
                  </w:r>
                  <w:r>
                    <w:rPr>
                      <w:sz w:val="18"/>
                      <w:szCs w:val="18"/>
                      <w:u w:val="none"/>
                    </w:rPr>
                    <w:t>m</w:t>
                  </w:r>
                  <w:r>
                    <w:rPr>
                      <w:sz w:val="18"/>
                      <w:szCs w:val="18"/>
                      <w:u w:val="none"/>
                      <w:vertAlign w:val="superscript"/>
                    </w:rPr>
                    <w:t>3</w:t>
                  </w:r>
                  <w:r>
                    <w:rPr>
                      <w:sz w:val="18"/>
                      <w:szCs w:val="18"/>
                      <w:u w:val="none"/>
                    </w:rPr>
                    <w:t>/s</w:t>
                  </w:r>
                  <w:r>
                    <w:rPr>
                      <w:rFonts w:hint="eastAsia"/>
                      <w:sz w:val="18"/>
                      <w:szCs w:val="18"/>
                      <w:u w:val="none"/>
                    </w:rPr>
                    <w:t>；其他（</w:t>
                  </w:r>
                  <w:r>
                    <w:rPr>
                      <w:sz w:val="18"/>
                      <w:szCs w:val="18"/>
                      <w:u w:val="none"/>
                    </w:rPr>
                    <w:t xml:space="preserve"> </w:t>
                  </w:r>
                  <w:r>
                    <w:rPr>
                      <w:rFonts w:hint="eastAsia"/>
                      <w:sz w:val="18"/>
                      <w:szCs w:val="18"/>
                      <w:u w:val="none"/>
                    </w:rPr>
                    <w:t>）</w:t>
                  </w:r>
                  <w:r>
                    <w:rPr>
                      <w:sz w:val="18"/>
                      <w:szCs w:val="18"/>
                      <w:u w:val="none"/>
                    </w:rPr>
                    <w:t>m</w:t>
                  </w:r>
                  <w:r>
                    <w:rPr>
                      <w:sz w:val="18"/>
                      <w:szCs w:val="18"/>
                      <w:u w:val="none"/>
                      <w:vertAlign w:val="superscript"/>
                    </w:rPr>
                    <w:t>3</w:t>
                  </w:r>
                  <w:r>
                    <w:rPr>
                      <w:sz w:val="18"/>
                      <w:szCs w:val="18"/>
                      <w:u w:val="none"/>
                    </w:rPr>
                    <w:t>/s</w:t>
                  </w:r>
                </w:p>
                <w:p>
                  <w:pPr>
                    <w:adjustRightInd w:val="0"/>
                    <w:snapToGrid w:val="0"/>
                    <w:jc w:val="left"/>
                    <w:rPr>
                      <w:sz w:val="18"/>
                      <w:szCs w:val="18"/>
                      <w:u w:val="none"/>
                    </w:rPr>
                  </w:pPr>
                  <w:r>
                    <w:rPr>
                      <w:rFonts w:hint="eastAsia"/>
                      <w:sz w:val="18"/>
                      <w:szCs w:val="18"/>
                      <w:u w:val="none"/>
                    </w:rPr>
                    <w:t>生态水位：一般水期（</w:t>
                  </w:r>
                  <w:r>
                    <w:rPr>
                      <w:sz w:val="18"/>
                      <w:szCs w:val="18"/>
                      <w:u w:val="none"/>
                    </w:rPr>
                    <w:t xml:space="preserve"> </w:t>
                  </w:r>
                  <w:r>
                    <w:rPr>
                      <w:rFonts w:hint="eastAsia"/>
                      <w:sz w:val="18"/>
                      <w:szCs w:val="18"/>
                      <w:u w:val="none"/>
                    </w:rPr>
                    <w:t>）</w:t>
                  </w:r>
                  <w:r>
                    <w:rPr>
                      <w:sz w:val="18"/>
                      <w:szCs w:val="18"/>
                      <w:u w:val="none"/>
                    </w:rPr>
                    <w:t>m</w:t>
                  </w:r>
                  <w:r>
                    <w:rPr>
                      <w:rFonts w:hint="eastAsia"/>
                      <w:sz w:val="18"/>
                      <w:szCs w:val="18"/>
                      <w:u w:val="none"/>
                    </w:rPr>
                    <w:t>；鱼类繁殖期（</w:t>
                  </w:r>
                  <w:r>
                    <w:rPr>
                      <w:sz w:val="18"/>
                      <w:szCs w:val="18"/>
                      <w:u w:val="none"/>
                    </w:rPr>
                    <w:t xml:space="preserve"> </w:t>
                  </w:r>
                  <w:r>
                    <w:rPr>
                      <w:rFonts w:hint="eastAsia"/>
                      <w:sz w:val="18"/>
                      <w:szCs w:val="18"/>
                      <w:u w:val="none"/>
                    </w:rPr>
                    <w:t>）</w:t>
                  </w:r>
                  <w:r>
                    <w:rPr>
                      <w:sz w:val="18"/>
                      <w:szCs w:val="18"/>
                      <w:u w:val="none"/>
                    </w:rPr>
                    <w:t>m</w:t>
                  </w:r>
                  <w:r>
                    <w:rPr>
                      <w:rFonts w:hint="eastAsia"/>
                      <w:sz w:val="18"/>
                      <w:szCs w:val="18"/>
                      <w:u w:val="none"/>
                    </w:rPr>
                    <w:t>；其他（</w:t>
                  </w:r>
                  <w:r>
                    <w:rPr>
                      <w:sz w:val="18"/>
                      <w:szCs w:val="18"/>
                      <w:u w:val="none"/>
                    </w:rPr>
                    <w:t xml:space="preserve"> </w:t>
                  </w:r>
                  <w:r>
                    <w:rPr>
                      <w:rFonts w:hint="eastAsia"/>
                      <w:sz w:val="18"/>
                      <w:szCs w:val="18"/>
                      <w:u w:val="none"/>
                    </w:rPr>
                    <w:t>）</w:t>
                  </w:r>
                  <w:r>
                    <w:rPr>
                      <w:sz w:val="18"/>
                      <w:szCs w:val="18"/>
                      <w:u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防治措施</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环保措施</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u w:val="none"/>
                    </w:rPr>
                  </w:pPr>
                  <w:r>
                    <w:rPr>
                      <w:rFonts w:hint="eastAsia"/>
                      <w:sz w:val="18"/>
                      <w:szCs w:val="18"/>
                      <w:u w:val="none"/>
                    </w:rPr>
                    <w:t>污水处理设施</w:t>
                  </w:r>
                  <w:r>
                    <w:rPr>
                      <w:sz w:val="18"/>
                      <w:szCs w:val="18"/>
                      <w:u w:val="none"/>
                    </w:rPr>
                    <w:t>√</w:t>
                  </w:r>
                  <w:r>
                    <w:rPr>
                      <w:rFonts w:hint="eastAsia"/>
                      <w:sz w:val="18"/>
                      <w:szCs w:val="18"/>
                      <w:u w:val="none"/>
                    </w:rPr>
                    <w:t>；水文减缓设施</w:t>
                  </w:r>
                  <w:r>
                    <w:rPr>
                      <w:sz w:val="18"/>
                      <w:szCs w:val="18"/>
                      <w:u w:val="none"/>
                    </w:rPr>
                    <w:t>□</w:t>
                  </w:r>
                  <w:r>
                    <w:rPr>
                      <w:rFonts w:hint="eastAsia"/>
                      <w:sz w:val="18"/>
                      <w:szCs w:val="18"/>
                      <w:u w:val="none"/>
                    </w:rPr>
                    <w:t>；生态流量保障设施</w:t>
                  </w:r>
                  <w:r>
                    <w:rPr>
                      <w:sz w:val="18"/>
                      <w:szCs w:val="18"/>
                      <w:u w:val="none"/>
                    </w:rPr>
                    <w:t>□</w:t>
                  </w:r>
                  <w:r>
                    <w:rPr>
                      <w:rFonts w:hint="eastAsia"/>
                      <w:sz w:val="18"/>
                      <w:szCs w:val="18"/>
                      <w:u w:val="none"/>
                    </w:rPr>
                    <w:t>；区域削减</w:t>
                  </w:r>
                  <w:r>
                    <w:rPr>
                      <w:sz w:val="18"/>
                      <w:szCs w:val="18"/>
                      <w:u w:val="none"/>
                    </w:rPr>
                    <w:t>□</w:t>
                  </w:r>
                  <w:r>
                    <w:rPr>
                      <w:rFonts w:hint="eastAsia"/>
                      <w:sz w:val="18"/>
                      <w:szCs w:val="18"/>
                      <w:u w:val="none"/>
                    </w:rPr>
                    <w:t>；依托其他工程措施</w:t>
                  </w:r>
                  <w:r>
                    <w:rPr>
                      <w:sz w:val="18"/>
                      <w:szCs w:val="18"/>
                      <w:u w:val="none"/>
                    </w:rPr>
                    <w:t>□</w:t>
                  </w:r>
                  <w:r>
                    <w:rPr>
                      <w:rFonts w:hint="eastAsia"/>
                      <w:sz w:val="18"/>
                      <w:szCs w:val="18"/>
                      <w:u w:val="none"/>
                    </w:rPr>
                    <w:t>；其他</w:t>
                  </w: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监测计划</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环境质量</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监测方式</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手动</w:t>
                  </w:r>
                  <w:r>
                    <w:rPr>
                      <w:sz w:val="18"/>
                      <w:szCs w:val="18"/>
                      <w:u w:val="none"/>
                    </w:rPr>
                    <w:t>□</w:t>
                  </w:r>
                  <w:r>
                    <w:rPr>
                      <w:rFonts w:hint="eastAsia"/>
                      <w:sz w:val="18"/>
                      <w:szCs w:val="18"/>
                      <w:u w:val="none"/>
                    </w:rPr>
                    <w:t>；自动</w:t>
                  </w:r>
                  <w:r>
                    <w:rPr>
                      <w:sz w:val="18"/>
                      <w:szCs w:val="18"/>
                      <w:u w:val="none"/>
                    </w:rPr>
                    <w:t>□</w:t>
                  </w:r>
                  <w:r>
                    <w:rPr>
                      <w:rFonts w:hint="eastAsia"/>
                      <w:sz w:val="18"/>
                      <w:szCs w:val="18"/>
                      <w:u w:val="none"/>
                    </w:rPr>
                    <w:t>；无监测</w:t>
                  </w:r>
                  <w:r>
                    <w:rPr>
                      <w:sz w:val="18"/>
                      <w:szCs w:val="18"/>
                      <w:u w:val="none"/>
                      <w:bdr w:val="single" w:color="auto" w:sz="4" w:space="0"/>
                    </w:rPr>
                    <w:t>√</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手动</w:t>
                  </w:r>
                  <w:r>
                    <w:rPr>
                      <w:sz w:val="18"/>
                      <w:szCs w:val="18"/>
                      <w:u w:val="none"/>
                    </w:rPr>
                    <w:t>□</w:t>
                  </w:r>
                  <w:r>
                    <w:rPr>
                      <w:rFonts w:hint="eastAsia"/>
                      <w:sz w:val="18"/>
                      <w:szCs w:val="18"/>
                      <w:u w:val="none"/>
                    </w:rPr>
                    <w:t>；自动</w:t>
                  </w:r>
                  <w:r>
                    <w:rPr>
                      <w:sz w:val="18"/>
                      <w:szCs w:val="18"/>
                      <w:u w:val="none"/>
                    </w:rPr>
                    <w:t>□</w:t>
                  </w:r>
                  <w:r>
                    <w:rPr>
                      <w:rFonts w:hint="eastAsia"/>
                      <w:sz w:val="18"/>
                      <w:szCs w:val="18"/>
                      <w:u w:val="none"/>
                    </w:rPr>
                    <w:t>；无监测</w:t>
                  </w: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监测点位</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监测因子</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w:t>
                  </w:r>
                  <w:r>
                    <w:rPr>
                      <w:sz w:val="18"/>
                      <w:szCs w:val="18"/>
                      <w:u w:val="none"/>
                    </w:rPr>
                    <w:t xml:space="preserve">  </w:t>
                  </w:r>
                  <w:r>
                    <w:rPr>
                      <w:rFonts w:hint="eastAsia"/>
                      <w:sz w:val="18"/>
                      <w:szCs w:val="18"/>
                      <w:u w:val="none"/>
                    </w:rPr>
                    <w:t>）</w:t>
                  </w:r>
                </w:p>
              </w:tc>
              <w:tc>
                <w:tcPr>
                  <w:tcW w:w="30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u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污染物排放清单</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u w:val="none"/>
                    </w:rPr>
                  </w:pP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u w:val="none"/>
                    </w:rPr>
                  </w:pPr>
                  <w:r>
                    <w:rPr>
                      <w:rFonts w:hint="eastAsia"/>
                      <w:sz w:val="18"/>
                      <w:szCs w:val="18"/>
                      <w:u w:val="none"/>
                    </w:rPr>
                    <w:t>评价结论</w:t>
                  </w:r>
                </w:p>
              </w:tc>
              <w:tc>
                <w:tcPr>
                  <w:tcW w:w="7547"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u w:val="none"/>
                    </w:rPr>
                  </w:pPr>
                  <w:r>
                    <w:rPr>
                      <w:rFonts w:hint="eastAsia"/>
                      <w:sz w:val="18"/>
                      <w:szCs w:val="18"/>
                      <w:u w:val="none"/>
                    </w:rPr>
                    <w:t>可以接受</w:t>
                  </w:r>
                  <w:r>
                    <w:rPr>
                      <w:sz w:val="18"/>
                      <w:szCs w:val="18"/>
                      <w:u w:val="none"/>
                    </w:rPr>
                    <w:t>√</w:t>
                  </w:r>
                  <w:r>
                    <w:rPr>
                      <w:rFonts w:hint="eastAsia"/>
                      <w:sz w:val="18"/>
                      <w:szCs w:val="18"/>
                      <w:u w:val="none"/>
                    </w:rPr>
                    <w:t>；不可以接受</w:t>
                  </w:r>
                  <w:r>
                    <w:rPr>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6"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u w:val="none"/>
                    </w:rPr>
                  </w:pPr>
                  <w:r>
                    <w:rPr>
                      <w:rFonts w:hint="eastAsia"/>
                      <w:sz w:val="18"/>
                      <w:szCs w:val="18"/>
                      <w:u w:val="none"/>
                    </w:rPr>
                    <w:t>注：</w:t>
                  </w:r>
                  <w:r>
                    <w:rPr>
                      <w:sz w:val="18"/>
                      <w:szCs w:val="18"/>
                      <w:u w:val="none"/>
                    </w:rPr>
                    <w:t>“□”</w:t>
                  </w:r>
                  <w:r>
                    <w:rPr>
                      <w:rFonts w:hint="eastAsia"/>
                      <w:sz w:val="18"/>
                      <w:szCs w:val="18"/>
                      <w:u w:val="none"/>
                    </w:rPr>
                    <w:t>为勾选项，可</w:t>
                  </w:r>
                  <w:r>
                    <w:rPr>
                      <w:sz w:val="18"/>
                      <w:szCs w:val="18"/>
                      <w:u w:val="none"/>
                    </w:rPr>
                    <w:t>√</w:t>
                  </w:r>
                  <w:r>
                    <w:rPr>
                      <w:rFonts w:hint="eastAsia"/>
                      <w:sz w:val="18"/>
                      <w:szCs w:val="18"/>
                      <w:u w:val="none"/>
                    </w:rPr>
                    <w:t>；</w:t>
                  </w:r>
                  <w:r>
                    <w:rPr>
                      <w:sz w:val="18"/>
                      <w:szCs w:val="18"/>
                      <w:u w:val="none"/>
                    </w:rPr>
                    <w:t>“</w:t>
                  </w:r>
                  <w:r>
                    <w:rPr>
                      <w:rFonts w:hint="eastAsia"/>
                      <w:sz w:val="18"/>
                      <w:szCs w:val="18"/>
                      <w:u w:val="none"/>
                    </w:rPr>
                    <w:t>（</w:t>
                  </w:r>
                  <w:r>
                    <w:rPr>
                      <w:sz w:val="18"/>
                      <w:szCs w:val="18"/>
                      <w:u w:val="none"/>
                    </w:rPr>
                    <w:t xml:space="preserve"> </w:t>
                  </w:r>
                  <w:r>
                    <w:rPr>
                      <w:rFonts w:hint="eastAsia"/>
                      <w:sz w:val="18"/>
                      <w:szCs w:val="18"/>
                      <w:u w:val="none"/>
                    </w:rPr>
                    <w:t>）</w:t>
                  </w:r>
                  <w:r>
                    <w:rPr>
                      <w:sz w:val="18"/>
                      <w:szCs w:val="18"/>
                      <w:u w:val="none"/>
                    </w:rPr>
                    <w:t>”</w:t>
                  </w:r>
                  <w:r>
                    <w:rPr>
                      <w:rFonts w:hint="eastAsia"/>
                      <w:sz w:val="18"/>
                      <w:szCs w:val="18"/>
                      <w:u w:val="none"/>
                    </w:rPr>
                    <w:t>为内容填写项；</w:t>
                  </w:r>
                  <w:r>
                    <w:rPr>
                      <w:sz w:val="18"/>
                      <w:szCs w:val="18"/>
                      <w:u w:val="none"/>
                    </w:rPr>
                    <w:t>“</w:t>
                  </w:r>
                  <w:r>
                    <w:rPr>
                      <w:rFonts w:hint="eastAsia"/>
                      <w:sz w:val="18"/>
                      <w:szCs w:val="18"/>
                      <w:u w:val="none"/>
                    </w:rPr>
                    <w:t>备注</w:t>
                  </w:r>
                  <w:r>
                    <w:rPr>
                      <w:sz w:val="18"/>
                      <w:szCs w:val="18"/>
                      <w:u w:val="none"/>
                    </w:rPr>
                    <w:t>”</w:t>
                  </w:r>
                  <w:r>
                    <w:rPr>
                      <w:rFonts w:hint="eastAsia"/>
                      <w:sz w:val="18"/>
                      <w:szCs w:val="18"/>
                      <w:u w:val="none"/>
                    </w:rPr>
                    <w:t>为其他补充内容</w:t>
                  </w:r>
                </w:p>
              </w:tc>
            </w:tr>
          </w:tbl>
          <w:p>
            <w:pPr>
              <w:spacing w:line="360" w:lineRule="auto"/>
              <w:rPr>
                <w:b/>
                <w:sz w:val="24"/>
                <w:szCs w:val="24"/>
                <w:u w:val="none"/>
              </w:rPr>
            </w:pPr>
            <w:r>
              <w:rPr>
                <w:rFonts w:hint="eastAsia"/>
                <w:b/>
                <w:sz w:val="24"/>
                <w:szCs w:val="24"/>
                <w:u w:val="none"/>
              </w:rPr>
              <w:t>3声环境影响分析</w:t>
            </w:r>
          </w:p>
          <w:p>
            <w:pPr>
              <w:spacing w:line="360" w:lineRule="auto"/>
              <w:rPr>
                <w:rFonts w:hAnsi="宋体"/>
                <w:sz w:val="24"/>
                <w:szCs w:val="24"/>
                <w:u w:val="none"/>
              </w:rPr>
            </w:pPr>
            <w:r>
              <w:rPr>
                <w:rFonts w:hint="eastAsia" w:hAnsi="宋体"/>
                <w:sz w:val="24"/>
                <w:szCs w:val="24"/>
                <w:u w:val="none"/>
              </w:rPr>
              <w:t>3.1噪声源</w:t>
            </w:r>
          </w:p>
          <w:p>
            <w:pPr>
              <w:spacing w:line="360" w:lineRule="auto"/>
              <w:ind w:firstLine="480" w:firstLineChars="200"/>
              <w:rPr>
                <w:rFonts w:hAnsi="宋体"/>
                <w:sz w:val="24"/>
                <w:szCs w:val="24"/>
                <w:u w:val="none"/>
              </w:rPr>
            </w:pPr>
            <w:r>
              <w:rPr>
                <w:rFonts w:hint="eastAsia" w:hAnsi="宋体"/>
                <w:sz w:val="24"/>
                <w:szCs w:val="24"/>
                <w:u w:val="none"/>
              </w:rPr>
              <w:t>本</w:t>
            </w:r>
            <w:r>
              <w:rPr>
                <w:rFonts w:hAnsi="宋体"/>
                <w:sz w:val="24"/>
                <w:szCs w:val="24"/>
                <w:u w:val="none"/>
              </w:rPr>
              <w:t>项目</w:t>
            </w:r>
            <w:r>
              <w:rPr>
                <w:rFonts w:hint="eastAsia" w:hAnsi="宋体"/>
                <w:sz w:val="24"/>
                <w:szCs w:val="24"/>
                <w:u w:val="none"/>
              </w:rPr>
              <w:t>运营期噪声主要有</w:t>
            </w:r>
            <w:r>
              <w:rPr>
                <w:rFonts w:hint="eastAsia"/>
                <w:sz w:val="24"/>
                <w:szCs w:val="24"/>
                <w:u w:val="none"/>
              </w:rPr>
              <w:t>激光切割机、剪板机、切割机、冲床、折弯机、空压机等</w:t>
            </w:r>
            <w:r>
              <w:rPr>
                <w:sz w:val="24"/>
                <w:szCs w:val="24"/>
                <w:u w:val="none"/>
              </w:rPr>
              <w:t>机械设备</w:t>
            </w:r>
            <w:r>
              <w:rPr>
                <w:rFonts w:hint="eastAsia"/>
                <w:sz w:val="24"/>
                <w:szCs w:val="24"/>
                <w:u w:val="none"/>
              </w:rPr>
              <w:t>运行时产生的噪声，</w:t>
            </w:r>
            <w:r>
              <w:rPr>
                <w:rFonts w:hAnsi="宋体"/>
                <w:sz w:val="24"/>
                <w:szCs w:val="24"/>
                <w:u w:val="none"/>
              </w:rPr>
              <w:t>声源声级值在</w:t>
            </w:r>
            <w:r>
              <w:rPr>
                <w:rFonts w:hint="eastAsia"/>
                <w:sz w:val="24"/>
                <w:szCs w:val="24"/>
                <w:u w:val="none"/>
              </w:rPr>
              <w:t>75</w:t>
            </w:r>
            <w:r>
              <w:rPr>
                <w:rFonts w:hAnsi="宋体"/>
                <w:sz w:val="24"/>
                <w:szCs w:val="24"/>
                <w:u w:val="none"/>
              </w:rPr>
              <w:t>～</w:t>
            </w:r>
            <w:r>
              <w:rPr>
                <w:rFonts w:hint="eastAsia"/>
                <w:sz w:val="24"/>
                <w:szCs w:val="24"/>
                <w:u w:val="none"/>
              </w:rPr>
              <w:t>88</w:t>
            </w:r>
            <w:r>
              <w:rPr>
                <w:sz w:val="24"/>
                <w:szCs w:val="24"/>
                <w:u w:val="none"/>
              </w:rPr>
              <w:t>dB(A)</w:t>
            </w:r>
            <w:r>
              <w:rPr>
                <w:rFonts w:hAnsi="宋体"/>
                <w:sz w:val="24"/>
                <w:szCs w:val="24"/>
                <w:u w:val="none"/>
              </w:rPr>
              <w:t>之间。</w:t>
            </w:r>
            <w:r>
              <w:rPr>
                <w:rFonts w:hint="eastAsia"/>
                <w:kern w:val="0"/>
                <w:sz w:val="24"/>
                <w:szCs w:val="24"/>
                <w:u w:val="none"/>
              </w:rPr>
              <w:t>设备噪声主要集中在生产车间内，仅白天生产。</w:t>
            </w:r>
          </w:p>
          <w:p>
            <w:pPr>
              <w:spacing w:line="360" w:lineRule="auto"/>
              <w:contextualSpacing/>
              <w:rPr>
                <w:rFonts w:hAnsi="宋体"/>
                <w:sz w:val="24"/>
                <w:szCs w:val="24"/>
                <w:u w:val="none"/>
              </w:rPr>
            </w:pPr>
            <w:r>
              <w:rPr>
                <w:rFonts w:hint="eastAsia" w:hAnsi="宋体"/>
                <w:sz w:val="24"/>
                <w:szCs w:val="24"/>
                <w:u w:val="none"/>
              </w:rPr>
              <w:t>3.2预测方法</w:t>
            </w:r>
          </w:p>
          <w:p>
            <w:pPr>
              <w:spacing w:line="360" w:lineRule="auto"/>
              <w:ind w:firstLine="480" w:firstLineChars="200"/>
              <w:contextualSpacing/>
              <w:jc w:val="left"/>
              <w:rPr>
                <w:bCs/>
                <w:sz w:val="24"/>
                <w:szCs w:val="24"/>
                <w:u w:val="none"/>
              </w:rPr>
            </w:pPr>
            <w:r>
              <w:rPr>
                <w:rFonts w:hint="eastAsia"/>
                <w:bCs/>
                <w:sz w:val="24"/>
                <w:szCs w:val="24"/>
                <w:u w:val="none"/>
              </w:rPr>
              <w:t>本项目噪声预测采用《环境影响评价技术导则 声环境》（HJ2.4-2009）中8.3节中的公式计算。</w:t>
            </w:r>
          </w:p>
          <w:p>
            <w:pPr>
              <w:spacing w:line="360" w:lineRule="auto"/>
              <w:contextualSpacing/>
              <w:jc w:val="left"/>
              <w:rPr>
                <w:bCs/>
                <w:sz w:val="24"/>
                <w:szCs w:val="24"/>
                <w:u w:val="none"/>
              </w:rPr>
            </w:pPr>
            <w:r>
              <w:rPr>
                <w:rFonts w:hint="eastAsia"/>
                <w:bCs/>
                <w:sz w:val="24"/>
                <w:szCs w:val="24"/>
                <w:u w:val="none"/>
              </w:rPr>
              <w:t>1）点声源的几何发散衰减</w:t>
            </w:r>
          </w:p>
          <w:p>
            <w:pPr>
              <w:spacing w:line="360" w:lineRule="auto"/>
              <w:ind w:firstLine="480" w:firstLineChars="200"/>
              <w:contextualSpacing/>
              <w:jc w:val="left"/>
              <w:rPr>
                <w:bCs/>
                <w:sz w:val="24"/>
                <w:szCs w:val="24"/>
                <w:u w:val="none"/>
              </w:rPr>
            </w:pPr>
            <w:r>
              <w:rPr>
                <w:rFonts w:hint="eastAsia"/>
                <w:bCs/>
                <w:sz w:val="24"/>
                <w:szCs w:val="24"/>
                <w:u w:val="none"/>
              </w:rPr>
              <w:t>无指向性点声源几何发散衰减的基本公式是：</w:t>
            </w:r>
          </w:p>
          <w:p>
            <w:pPr>
              <w:jc w:val="center"/>
              <w:rPr>
                <w:szCs w:val="24"/>
                <w:u w:val="none"/>
              </w:rPr>
            </w:pPr>
            <w:r>
              <w:rPr>
                <w:position w:val="-32"/>
                <w:szCs w:val="24"/>
                <w:u w:val="none"/>
              </w:rPr>
              <w:object>
                <v:shape id="_x0000_i1025" o:spt="75" type="#_x0000_t75" style="height:38.5pt;width:126.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440" w:lineRule="exact"/>
              <w:ind w:firstLine="480" w:firstLineChars="200"/>
              <w:jc w:val="left"/>
              <w:rPr>
                <w:bCs/>
                <w:sz w:val="24"/>
                <w:szCs w:val="24"/>
                <w:u w:val="none"/>
              </w:rPr>
            </w:pPr>
            <w:r>
              <w:rPr>
                <w:rFonts w:hint="eastAsia"/>
                <w:bCs/>
                <w:sz w:val="24"/>
                <w:szCs w:val="24"/>
                <w:u w:val="none"/>
              </w:rPr>
              <w:t>公式中第二项表示了点声源的几何发散衰减：</w:t>
            </w:r>
          </w:p>
          <w:p>
            <w:pPr>
              <w:spacing w:line="440" w:lineRule="exact"/>
              <w:ind w:firstLine="480" w:firstLineChars="200"/>
              <w:jc w:val="center"/>
              <w:rPr>
                <w:rFonts w:hAnsi="宋体"/>
                <w:bCs/>
                <w:sz w:val="24"/>
                <w:szCs w:val="24"/>
                <w:u w:val="none"/>
              </w:rPr>
            </w:pPr>
            <w:r>
              <w:rPr>
                <w:bCs/>
                <w:sz w:val="24"/>
                <w:szCs w:val="24"/>
                <w:u w:val="none"/>
              </w:rPr>
              <w:t>A</w:t>
            </w:r>
            <w:r>
              <w:rPr>
                <w:bCs/>
                <w:sz w:val="24"/>
                <w:szCs w:val="24"/>
                <w:u w:val="none"/>
                <w:vertAlign w:val="subscript"/>
              </w:rPr>
              <w:t>div</w:t>
            </w:r>
            <w:r>
              <w:rPr>
                <w:rFonts w:hint="eastAsia"/>
                <w:bCs/>
                <w:sz w:val="24"/>
                <w:szCs w:val="24"/>
                <w:u w:val="none"/>
              </w:rPr>
              <w:t>=2</w:t>
            </w:r>
            <w:r>
              <w:rPr>
                <w:bCs/>
                <w:sz w:val="24"/>
                <w:szCs w:val="24"/>
                <w:u w:val="none"/>
              </w:rPr>
              <w:t>0lg</w:t>
            </w:r>
            <w:r>
              <w:rPr>
                <w:rFonts w:hAnsi="宋体"/>
                <w:bCs/>
                <w:sz w:val="24"/>
                <w:szCs w:val="24"/>
                <w:u w:val="none"/>
              </w:rPr>
              <w:t>（</w:t>
            </w:r>
            <w:r>
              <w:rPr>
                <w:bCs/>
                <w:sz w:val="24"/>
                <w:szCs w:val="24"/>
                <w:u w:val="none"/>
              </w:rPr>
              <w:t>r/r</w:t>
            </w:r>
            <w:r>
              <w:rPr>
                <w:bCs/>
                <w:sz w:val="24"/>
                <w:szCs w:val="24"/>
                <w:u w:val="none"/>
                <w:vertAlign w:val="subscript"/>
              </w:rPr>
              <w:t>0</w:t>
            </w:r>
            <w:r>
              <w:rPr>
                <w:rFonts w:hAnsi="宋体"/>
                <w:bCs/>
                <w:sz w:val="24"/>
                <w:szCs w:val="24"/>
                <w:u w:val="none"/>
              </w:rPr>
              <w:t>）</w:t>
            </w:r>
          </w:p>
          <w:p>
            <w:pPr>
              <w:spacing w:line="440" w:lineRule="exact"/>
              <w:jc w:val="left"/>
              <w:rPr>
                <w:bCs/>
                <w:sz w:val="24"/>
                <w:szCs w:val="24"/>
                <w:u w:val="none"/>
              </w:rPr>
            </w:pPr>
            <w:r>
              <w:rPr>
                <w:rFonts w:hint="eastAsia"/>
                <w:bCs/>
                <w:sz w:val="24"/>
                <w:szCs w:val="24"/>
                <w:u w:val="none"/>
              </w:rPr>
              <w:t>2）面声源的几何发散衰减</w:t>
            </w:r>
          </w:p>
          <w:p>
            <w:pPr>
              <w:spacing w:line="440" w:lineRule="exact"/>
              <w:ind w:firstLine="480" w:firstLineChars="200"/>
              <w:jc w:val="left"/>
              <w:rPr>
                <w:bCs/>
                <w:sz w:val="24"/>
                <w:szCs w:val="24"/>
                <w:u w:val="none"/>
              </w:rPr>
            </w:pPr>
            <w:r>
              <w:rPr>
                <w:rFonts w:hint="eastAsia"/>
                <w:bCs/>
                <w:sz w:val="24"/>
                <w:szCs w:val="24"/>
                <w:u w:val="none"/>
              </w:rPr>
              <w:t>根据《环境影响评价技术导则 声环境》（HJ2.4-2009）中8.3.2.3节，当预测点和面声源中心距离r处于以下条件时，可按下述方法近似计算：</w:t>
            </w:r>
          </w:p>
          <w:p>
            <w:pPr>
              <w:spacing w:line="440" w:lineRule="exact"/>
              <w:ind w:firstLine="480" w:firstLineChars="200"/>
              <w:jc w:val="left"/>
              <w:rPr>
                <w:bCs/>
                <w:sz w:val="24"/>
                <w:szCs w:val="24"/>
                <w:u w:val="none"/>
              </w:rPr>
            </w:pPr>
            <w:r>
              <w:rPr>
                <w:rFonts w:hint="eastAsia"/>
                <w:bCs/>
                <w:sz w:val="24"/>
                <w:szCs w:val="24"/>
                <w:u w:val="none"/>
              </w:rPr>
              <w:t>①当</w:t>
            </w:r>
            <w:r>
              <w:rPr>
                <w:bCs/>
                <w:sz w:val="24"/>
                <w:szCs w:val="24"/>
                <w:u w:val="none"/>
              </w:rPr>
              <w:t>d＜a/π</w:t>
            </w:r>
            <w:r>
              <w:rPr>
                <w:rFonts w:hint="eastAsia"/>
                <w:bCs/>
                <w:sz w:val="24"/>
                <w:szCs w:val="24"/>
                <w:u w:val="none"/>
              </w:rPr>
              <w:t>时，几乎不衰减（</w:t>
            </w:r>
            <w:r>
              <w:rPr>
                <w:bCs/>
                <w:sz w:val="24"/>
                <w:szCs w:val="24"/>
                <w:u w:val="none"/>
              </w:rPr>
              <w:t>A</w:t>
            </w:r>
            <w:r>
              <w:rPr>
                <w:bCs/>
                <w:sz w:val="24"/>
                <w:szCs w:val="24"/>
                <w:u w:val="none"/>
                <w:vertAlign w:val="subscript"/>
              </w:rPr>
              <w:t>div</w:t>
            </w:r>
            <w:r>
              <w:rPr>
                <w:bCs/>
                <w:sz w:val="24"/>
                <w:szCs w:val="24"/>
                <w:u w:val="none"/>
              </w:rPr>
              <w:t>≈0）</w:t>
            </w:r>
            <w:r>
              <w:rPr>
                <w:rFonts w:hint="eastAsia"/>
                <w:bCs/>
                <w:sz w:val="24"/>
                <w:szCs w:val="24"/>
                <w:u w:val="none"/>
              </w:rPr>
              <w:t>；</w:t>
            </w:r>
          </w:p>
          <w:p>
            <w:pPr>
              <w:spacing w:line="440" w:lineRule="exact"/>
              <w:ind w:firstLine="480" w:firstLineChars="200"/>
              <w:jc w:val="left"/>
              <w:rPr>
                <w:bCs/>
                <w:sz w:val="24"/>
                <w:szCs w:val="24"/>
                <w:u w:val="none"/>
              </w:rPr>
            </w:pPr>
            <w:r>
              <w:rPr>
                <w:rFonts w:hint="eastAsia"/>
                <w:bCs/>
                <w:sz w:val="24"/>
                <w:szCs w:val="24"/>
                <w:u w:val="none"/>
              </w:rPr>
              <w:t>②当</w:t>
            </w:r>
            <w:r>
              <w:rPr>
                <w:bCs/>
                <w:sz w:val="24"/>
                <w:szCs w:val="24"/>
                <w:u w:val="none"/>
              </w:rPr>
              <w:t>a/π＜d＜b/π</w:t>
            </w:r>
            <w:r>
              <w:rPr>
                <w:rFonts w:hint="eastAsia"/>
                <w:bCs/>
                <w:sz w:val="24"/>
                <w:szCs w:val="24"/>
                <w:u w:val="none"/>
              </w:rPr>
              <w:t>，距离加倍衰减3dB左右，类似线声源衰减特性（</w:t>
            </w:r>
            <w:r>
              <w:rPr>
                <w:bCs/>
                <w:sz w:val="24"/>
                <w:szCs w:val="24"/>
                <w:u w:val="none"/>
              </w:rPr>
              <w:t>A</w:t>
            </w:r>
            <w:r>
              <w:rPr>
                <w:bCs/>
                <w:sz w:val="24"/>
                <w:szCs w:val="24"/>
                <w:u w:val="none"/>
                <w:vertAlign w:val="subscript"/>
              </w:rPr>
              <w:t>div</w:t>
            </w:r>
            <w:r>
              <w:rPr>
                <w:bCs/>
                <w:sz w:val="24"/>
                <w:szCs w:val="24"/>
                <w:u w:val="none"/>
              </w:rPr>
              <w:t>≈10lg</w:t>
            </w:r>
            <w:r>
              <w:rPr>
                <w:rFonts w:hAnsi="宋体"/>
                <w:bCs/>
                <w:sz w:val="24"/>
                <w:szCs w:val="24"/>
                <w:u w:val="none"/>
              </w:rPr>
              <w:t>（</w:t>
            </w:r>
            <w:r>
              <w:rPr>
                <w:bCs/>
                <w:sz w:val="24"/>
                <w:szCs w:val="24"/>
                <w:u w:val="none"/>
              </w:rPr>
              <w:t>r/r</w:t>
            </w:r>
            <w:r>
              <w:rPr>
                <w:bCs/>
                <w:sz w:val="24"/>
                <w:szCs w:val="24"/>
                <w:u w:val="none"/>
                <w:vertAlign w:val="subscript"/>
              </w:rPr>
              <w:t>0</w:t>
            </w:r>
            <w:r>
              <w:rPr>
                <w:rFonts w:hAnsi="宋体"/>
                <w:bCs/>
                <w:sz w:val="24"/>
                <w:szCs w:val="24"/>
                <w:u w:val="none"/>
              </w:rPr>
              <w:t>）</w:t>
            </w:r>
            <w:r>
              <w:rPr>
                <w:rFonts w:hint="eastAsia"/>
                <w:bCs/>
                <w:sz w:val="24"/>
                <w:szCs w:val="24"/>
                <w:u w:val="none"/>
              </w:rPr>
              <w:t>）；</w:t>
            </w:r>
          </w:p>
          <w:p>
            <w:pPr>
              <w:spacing w:line="440" w:lineRule="exact"/>
              <w:ind w:firstLine="480" w:firstLineChars="200"/>
              <w:jc w:val="left"/>
              <w:rPr>
                <w:bCs/>
                <w:sz w:val="24"/>
                <w:szCs w:val="24"/>
                <w:u w:val="none"/>
              </w:rPr>
            </w:pPr>
            <w:r>
              <w:rPr>
                <w:rFonts w:hint="eastAsia"/>
                <w:bCs/>
                <w:sz w:val="24"/>
                <w:szCs w:val="24"/>
                <w:u w:val="none"/>
              </w:rPr>
              <w:t>③当</w:t>
            </w:r>
            <w:r>
              <w:rPr>
                <w:bCs/>
                <w:sz w:val="24"/>
                <w:szCs w:val="24"/>
                <w:u w:val="none"/>
              </w:rPr>
              <w:t>d＞b/π</w:t>
            </w:r>
            <w:r>
              <w:rPr>
                <w:rFonts w:hint="eastAsia"/>
                <w:bCs/>
                <w:sz w:val="24"/>
                <w:szCs w:val="24"/>
                <w:u w:val="none"/>
              </w:rPr>
              <w:t>，距离加倍衰减趋近于6dB，类似点声源衰减特性（</w:t>
            </w:r>
            <w:r>
              <w:rPr>
                <w:bCs/>
                <w:sz w:val="24"/>
                <w:szCs w:val="24"/>
                <w:u w:val="none"/>
              </w:rPr>
              <w:t>A</w:t>
            </w:r>
            <w:r>
              <w:rPr>
                <w:bCs/>
                <w:sz w:val="24"/>
                <w:szCs w:val="24"/>
                <w:u w:val="none"/>
                <w:vertAlign w:val="subscript"/>
              </w:rPr>
              <w:t>div</w:t>
            </w:r>
            <w:r>
              <w:rPr>
                <w:bCs/>
                <w:sz w:val="24"/>
                <w:szCs w:val="24"/>
                <w:u w:val="none"/>
              </w:rPr>
              <w:t>≈</w:t>
            </w:r>
            <w:r>
              <w:rPr>
                <w:rFonts w:hint="eastAsia"/>
                <w:bCs/>
                <w:sz w:val="24"/>
                <w:szCs w:val="24"/>
                <w:u w:val="none"/>
              </w:rPr>
              <w:t>2</w:t>
            </w:r>
            <w:r>
              <w:rPr>
                <w:bCs/>
                <w:sz w:val="24"/>
                <w:szCs w:val="24"/>
                <w:u w:val="none"/>
              </w:rPr>
              <w:t>0lg</w:t>
            </w:r>
            <w:r>
              <w:rPr>
                <w:rFonts w:hAnsi="宋体"/>
                <w:bCs/>
                <w:sz w:val="24"/>
                <w:szCs w:val="24"/>
                <w:u w:val="none"/>
              </w:rPr>
              <w:t>（</w:t>
            </w:r>
            <w:r>
              <w:rPr>
                <w:bCs/>
                <w:sz w:val="24"/>
                <w:szCs w:val="24"/>
                <w:u w:val="none"/>
              </w:rPr>
              <w:t>r/r</w:t>
            </w:r>
            <w:r>
              <w:rPr>
                <w:bCs/>
                <w:sz w:val="24"/>
                <w:szCs w:val="24"/>
                <w:u w:val="none"/>
                <w:vertAlign w:val="subscript"/>
              </w:rPr>
              <w:t>0</w:t>
            </w:r>
            <w:r>
              <w:rPr>
                <w:rFonts w:hAnsi="宋体"/>
                <w:bCs/>
                <w:sz w:val="24"/>
                <w:szCs w:val="24"/>
                <w:u w:val="none"/>
              </w:rPr>
              <w:t>）</w:t>
            </w:r>
            <w:r>
              <w:rPr>
                <w:rFonts w:hint="eastAsia"/>
                <w:bCs/>
                <w:sz w:val="24"/>
                <w:szCs w:val="24"/>
                <w:u w:val="none"/>
              </w:rPr>
              <w:t>）。</w:t>
            </w:r>
          </w:p>
          <w:p>
            <w:pPr>
              <w:spacing w:line="440" w:lineRule="exact"/>
              <w:ind w:firstLine="480" w:firstLineChars="200"/>
              <w:jc w:val="left"/>
              <w:rPr>
                <w:rFonts w:eastAsia="黑体"/>
                <w:szCs w:val="21"/>
                <w:u w:val="none"/>
              </w:rPr>
            </w:pPr>
            <w:r>
              <w:rPr>
                <w:rFonts w:hint="eastAsia"/>
                <w:bCs/>
                <w:sz w:val="24"/>
                <w:szCs w:val="24"/>
                <w:u w:val="none"/>
              </w:rPr>
              <w:t>其中面声源的</w:t>
            </w:r>
            <w:r>
              <w:rPr>
                <w:bCs/>
                <w:sz w:val="24"/>
                <w:szCs w:val="24"/>
                <w:u w:val="none"/>
              </w:rPr>
              <w:t>b＞a，</w:t>
            </w:r>
            <w:r>
              <w:rPr>
                <w:rFonts w:hint="eastAsia"/>
                <w:bCs/>
                <w:sz w:val="24"/>
                <w:szCs w:val="24"/>
                <w:u w:val="none"/>
              </w:rPr>
              <w:t>项目噪声预测参数见下表。</w:t>
            </w:r>
          </w:p>
          <w:p>
            <w:pPr>
              <w:wordWrap w:val="0"/>
              <w:adjustRightInd w:val="0"/>
              <w:snapToGrid w:val="0"/>
              <w:spacing w:before="156" w:beforeLines="50"/>
              <w:ind w:right="420"/>
              <w:jc w:val="center"/>
              <w:rPr>
                <w:rFonts w:eastAsia="黑体"/>
                <w:sz w:val="24"/>
                <w:szCs w:val="24"/>
                <w:u w:val="none"/>
              </w:rPr>
            </w:pPr>
            <w:r>
              <w:rPr>
                <w:rFonts w:hint="eastAsia" w:eastAsia="黑体"/>
                <w:sz w:val="24"/>
                <w:szCs w:val="24"/>
                <w:u w:val="none"/>
              </w:rPr>
              <w:t>表</w:t>
            </w:r>
            <w:r>
              <w:rPr>
                <w:rFonts w:hint="eastAsia" w:eastAsia="黑体"/>
                <w:sz w:val="24"/>
                <w:szCs w:val="24"/>
                <w:u w:val="none"/>
                <w:lang w:val="en-US" w:eastAsia="zh-CN"/>
              </w:rPr>
              <w:t>31</w:t>
            </w:r>
            <w:r>
              <w:rPr>
                <w:rFonts w:hint="eastAsia" w:eastAsia="黑体"/>
                <w:sz w:val="24"/>
                <w:szCs w:val="24"/>
                <w:u w:val="none"/>
              </w:rPr>
              <w:t xml:space="preserve">             项目噪声预测参数        </w:t>
            </w:r>
            <w:r>
              <w:rPr>
                <w:rFonts w:eastAsia="黑体"/>
                <w:sz w:val="24"/>
                <w:szCs w:val="24"/>
                <w:u w:val="none"/>
              </w:rPr>
              <w:t xml:space="preserve">  </w:t>
            </w:r>
            <w:r>
              <w:rPr>
                <w:rFonts w:hint="eastAsia" w:eastAsia="黑体"/>
                <w:sz w:val="24"/>
                <w:szCs w:val="24"/>
                <w:u w:val="none"/>
              </w:rPr>
              <w:t xml:space="preserve">  单位：m</w:t>
            </w:r>
          </w:p>
          <w:tbl>
            <w:tblPr>
              <w:tblStyle w:val="27"/>
              <w:tblW w:w="90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404"/>
              <w:gridCol w:w="1548"/>
              <w:gridCol w:w="1547"/>
              <w:gridCol w:w="1547"/>
              <w:gridCol w:w="15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417" w:type="dxa"/>
                  <w:vAlign w:val="center"/>
                </w:tcPr>
                <w:p>
                  <w:pPr>
                    <w:spacing w:line="360" w:lineRule="exact"/>
                    <w:jc w:val="center"/>
                    <w:rPr>
                      <w:szCs w:val="21"/>
                      <w:highlight w:val="yellow"/>
                      <w:u w:val="none"/>
                    </w:rPr>
                  </w:pPr>
                  <w:r>
                    <w:rPr>
                      <w:rFonts w:hint="eastAsia"/>
                      <w:szCs w:val="21"/>
                      <w:u w:val="none"/>
                    </w:rPr>
                    <w:t>车间名称</w:t>
                  </w:r>
                </w:p>
              </w:tc>
              <w:tc>
                <w:tcPr>
                  <w:tcW w:w="1404" w:type="dxa"/>
                  <w:vAlign w:val="center"/>
                </w:tcPr>
                <w:p>
                  <w:pPr>
                    <w:spacing w:line="360" w:lineRule="exact"/>
                    <w:jc w:val="center"/>
                    <w:rPr>
                      <w:szCs w:val="21"/>
                      <w:u w:val="none"/>
                    </w:rPr>
                  </w:pPr>
                  <w:r>
                    <w:rPr>
                      <w:rFonts w:hint="eastAsia"/>
                      <w:szCs w:val="21"/>
                      <w:u w:val="none"/>
                    </w:rPr>
                    <w:t>车间规模</w:t>
                  </w:r>
                </w:p>
              </w:tc>
              <w:tc>
                <w:tcPr>
                  <w:tcW w:w="1548" w:type="dxa"/>
                  <w:vAlign w:val="center"/>
                </w:tcPr>
                <w:p>
                  <w:pPr>
                    <w:spacing w:line="360" w:lineRule="exact"/>
                    <w:jc w:val="center"/>
                    <w:rPr>
                      <w:szCs w:val="21"/>
                      <w:u w:val="none"/>
                    </w:rPr>
                  </w:pPr>
                  <w:r>
                    <w:rPr>
                      <w:rFonts w:hint="eastAsia"/>
                      <w:szCs w:val="21"/>
                      <w:u w:val="none"/>
                    </w:rPr>
                    <w:t>距东厂界距离</w:t>
                  </w:r>
                </w:p>
              </w:tc>
              <w:tc>
                <w:tcPr>
                  <w:tcW w:w="1547" w:type="dxa"/>
                  <w:vAlign w:val="center"/>
                </w:tcPr>
                <w:p>
                  <w:pPr>
                    <w:spacing w:line="360" w:lineRule="exact"/>
                    <w:jc w:val="center"/>
                    <w:rPr>
                      <w:szCs w:val="21"/>
                      <w:u w:val="none"/>
                    </w:rPr>
                  </w:pPr>
                  <w:r>
                    <w:rPr>
                      <w:rFonts w:hint="eastAsia"/>
                      <w:szCs w:val="21"/>
                      <w:u w:val="none"/>
                    </w:rPr>
                    <w:t>距西厂界距离</w:t>
                  </w:r>
                </w:p>
              </w:tc>
              <w:tc>
                <w:tcPr>
                  <w:tcW w:w="1547" w:type="dxa"/>
                  <w:vAlign w:val="center"/>
                </w:tcPr>
                <w:p>
                  <w:pPr>
                    <w:spacing w:line="360" w:lineRule="exact"/>
                    <w:jc w:val="center"/>
                    <w:rPr>
                      <w:szCs w:val="21"/>
                      <w:u w:val="none"/>
                    </w:rPr>
                  </w:pPr>
                  <w:r>
                    <w:rPr>
                      <w:rFonts w:hint="eastAsia"/>
                      <w:szCs w:val="21"/>
                      <w:u w:val="none"/>
                    </w:rPr>
                    <w:t>距南厂界距离</w:t>
                  </w:r>
                </w:p>
              </w:tc>
              <w:tc>
                <w:tcPr>
                  <w:tcW w:w="1545" w:type="dxa"/>
                  <w:vAlign w:val="center"/>
                </w:tcPr>
                <w:p>
                  <w:pPr>
                    <w:spacing w:line="360" w:lineRule="exact"/>
                    <w:jc w:val="center"/>
                    <w:rPr>
                      <w:szCs w:val="21"/>
                      <w:u w:val="none"/>
                    </w:rPr>
                  </w:pPr>
                  <w:r>
                    <w:rPr>
                      <w:rFonts w:hint="eastAsia"/>
                      <w:szCs w:val="21"/>
                      <w:u w:val="none"/>
                    </w:rPr>
                    <w:t>距北厂界距离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417" w:type="dxa"/>
                  <w:vAlign w:val="center"/>
                </w:tcPr>
                <w:p>
                  <w:pPr>
                    <w:spacing w:line="360" w:lineRule="exact"/>
                    <w:jc w:val="center"/>
                    <w:rPr>
                      <w:szCs w:val="21"/>
                      <w:highlight w:val="yellow"/>
                      <w:u w:val="none"/>
                    </w:rPr>
                  </w:pPr>
                  <w:r>
                    <w:rPr>
                      <w:rFonts w:hint="eastAsia"/>
                      <w:szCs w:val="21"/>
                      <w:u w:val="none"/>
                    </w:rPr>
                    <w:t>车间</w:t>
                  </w:r>
                </w:p>
              </w:tc>
              <w:tc>
                <w:tcPr>
                  <w:tcW w:w="1404" w:type="dxa"/>
                  <w:vAlign w:val="center"/>
                </w:tcPr>
                <w:p>
                  <w:pPr>
                    <w:spacing w:line="360" w:lineRule="exact"/>
                    <w:jc w:val="center"/>
                    <w:rPr>
                      <w:szCs w:val="21"/>
                      <w:u w:val="none"/>
                    </w:rPr>
                  </w:pPr>
                  <w:r>
                    <w:rPr>
                      <w:rFonts w:hint="eastAsia"/>
                      <w:szCs w:val="21"/>
                      <w:u w:val="none"/>
                    </w:rPr>
                    <w:t>1</w:t>
                  </w:r>
                  <w:r>
                    <w:rPr>
                      <w:rFonts w:hint="eastAsia"/>
                      <w:szCs w:val="21"/>
                      <w:u w:val="none"/>
                      <w:lang w:val="en-US" w:eastAsia="zh-CN"/>
                    </w:rPr>
                    <w:t>25</w:t>
                  </w:r>
                  <w:r>
                    <w:rPr>
                      <w:szCs w:val="21"/>
                      <w:u w:val="none"/>
                    </w:rPr>
                    <w:t>×</w:t>
                  </w:r>
                  <w:r>
                    <w:rPr>
                      <w:rFonts w:hint="eastAsia"/>
                      <w:szCs w:val="21"/>
                      <w:u w:val="none"/>
                    </w:rPr>
                    <w:t>60×10</w:t>
                  </w:r>
                </w:p>
              </w:tc>
              <w:tc>
                <w:tcPr>
                  <w:tcW w:w="1548" w:type="dxa"/>
                  <w:vAlign w:val="center"/>
                </w:tcPr>
                <w:p>
                  <w:pPr>
                    <w:spacing w:line="360" w:lineRule="exact"/>
                    <w:jc w:val="center"/>
                    <w:rPr>
                      <w:szCs w:val="21"/>
                      <w:u w:val="none"/>
                    </w:rPr>
                  </w:pPr>
                  <w:r>
                    <w:rPr>
                      <w:rFonts w:hint="eastAsia"/>
                      <w:szCs w:val="21"/>
                      <w:u w:val="none"/>
                    </w:rPr>
                    <w:t>100</w:t>
                  </w:r>
                </w:p>
              </w:tc>
              <w:tc>
                <w:tcPr>
                  <w:tcW w:w="1547" w:type="dxa"/>
                  <w:vAlign w:val="center"/>
                </w:tcPr>
                <w:p>
                  <w:pPr>
                    <w:spacing w:line="360" w:lineRule="exact"/>
                    <w:jc w:val="center"/>
                    <w:rPr>
                      <w:szCs w:val="21"/>
                      <w:u w:val="none"/>
                    </w:rPr>
                  </w:pPr>
                  <w:r>
                    <w:rPr>
                      <w:rFonts w:hint="eastAsia"/>
                      <w:szCs w:val="21"/>
                      <w:u w:val="none"/>
                    </w:rPr>
                    <w:t>0</w:t>
                  </w:r>
                </w:p>
              </w:tc>
              <w:tc>
                <w:tcPr>
                  <w:tcW w:w="1547" w:type="dxa"/>
                  <w:vAlign w:val="center"/>
                </w:tcPr>
                <w:p>
                  <w:pPr>
                    <w:spacing w:line="360" w:lineRule="exact"/>
                    <w:jc w:val="center"/>
                    <w:rPr>
                      <w:szCs w:val="21"/>
                      <w:u w:val="none"/>
                    </w:rPr>
                  </w:pPr>
                  <w:r>
                    <w:rPr>
                      <w:rFonts w:hint="eastAsia"/>
                      <w:szCs w:val="21"/>
                      <w:u w:val="none"/>
                    </w:rPr>
                    <w:t>80</w:t>
                  </w:r>
                </w:p>
              </w:tc>
              <w:tc>
                <w:tcPr>
                  <w:tcW w:w="1545" w:type="dxa"/>
                  <w:vAlign w:val="center"/>
                </w:tcPr>
                <w:p>
                  <w:pPr>
                    <w:spacing w:line="360" w:lineRule="exact"/>
                    <w:jc w:val="center"/>
                    <w:rPr>
                      <w:szCs w:val="21"/>
                      <w:u w:val="none"/>
                    </w:rPr>
                  </w:pPr>
                  <w:r>
                    <w:rPr>
                      <w:rFonts w:hint="eastAsia"/>
                      <w:szCs w:val="21"/>
                      <w:u w:val="none"/>
                    </w:rPr>
                    <w:t>0</w:t>
                  </w:r>
                </w:p>
              </w:tc>
            </w:tr>
          </w:tbl>
          <w:p>
            <w:pPr>
              <w:spacing w:line="440" w:lineRule="exact"/>
              <w:jc w:val="left"/>
              <w:rPr>
                <w:bCs/>
                <w:sz w:val="24"/>
                <w:szCs w:val="24"/>
                <w:u w:val="none"/>
              </w:rPr>
            </w:pPr>
            <w:r>
              <w:rPr>
                <w:rFonts w:hint="eastAsia"/>
                <w:bCs/>
                <w:sz w:val="24"/>
                <w:szCs w:val="24"/>
                <w:u w:val="none"/>
              </w:rPr>
              <w:t>3.3预测结果</w:t>
            </w:r>
          </w:p>
          <w:p>
            <w:pPr>
              <w:spacing w:line="440" w:lineRule="exact"/>
              <w:ind w:firstLine="480" w:firstLineChars="200"/>
              <w:jc w:val="left"/>
              <w:rPr>
                <w:color w:val="auto"/>
                <w:sz w:val="24"/>
                <w:szCs w:val="24"/>
                <w:u w:val="single"/>
              </w:rPr>
            </w:pPr>
            <w:r>
              <w:rPr>
                <w:rFonts w:hint="eastAsia"/>
                <w:sz w:val="24"/>
                <w:szCs w:val="24"/>
                <w:u w:val="single"/>
              </w:rPr>
              <w:t>本项目</w:t>
            </w:r>
            <w:r>
              <w:rPr>
                <w:rFonts w:hint="eastAsia"/>
                <w:color w:val="auto"/>
                <w:sz w:val="24"/>
                <w:szCs w:val="24"/>
                <w:u w:val="single"/>
              </w:rPr>
              <w:t>仅昼间工作。</w:t>
            </w:r>
            <w:r>
              <w:rPr>
                <w:rFonts w:hint="eastAsia" w:asciiTheme="majorEastAsia" w:hAnsiTheme="majorEastAsia" w:eastAsiaTheme="majorEastAsia"/>
                <w:color w:val="auto"/>
                <w:sz w:val="24"/>
                <w:szCs w:val="24"/>
                <w:u w:val="single"/>
              </w:rPr>
              <w:t>《</w:t>
            </w:r>
            <w:r>
              <w:rPr>
                <w:rFonts w:hint="eastAsia"/>
                <w:color w:val="auto"/>
                <w:sz w:val="24"/>
                <w:szCs w:val="24"/>
                <w:u w:val="single"/>
                <w:lang w:eastAsia="zh-CN"/>
              </w:rPr>
              <w:t>洛阳客思来实业有限公司年产1000套钢制门、30000台办公家具项目</w:t>
            </w:r>
            <w:r>
              <w:rPr>
                <w:rFonts w:hint="eastAsia" w:asciiTheme="majorEastAsia" w:hAnsiTheme="majorEastAsia" w:eastAsiaTheme="majorEastAsia"/>
                <w:color w:val="auto"/>
                <w:sz w:val="24"/>
                <w:szCs w:val="24"/>
                <w:u w:val="single"/>
              </w:rPr>
              <w:t>》</w:t>
            </w:r>
            <w:r>
              <w:rPr>
                <w:rFonts w:hAnsi="宋体"/>
                <w:color w:val="auto"/>
                <w:sz w:val="24"/>
                <w:szCs w:val="24"/>
                <w:u w:val="single"/>
              </w:rPr>
              <w:t>于</w:t>
            </w:r>
            <w:r>
              <w:rPr>
                <w:color w:val="auto"/>
                <w:sz w:val="24"/>
                <w:szCs w:val="24"/>
                <w:u w:val="single"/>
              </w:rPr>
              <w:t>20</w:t>
            </w:r>
            <w:r>
              <w:rPr>
                <w:rFonts w:hint="eastAsia"/>
                <w:color w:val="auto"/>
                <w:sz w:val="24"/>
                <w:szCs w:val="24"/>
                <w:u w:val="single"/>
                <w:lang w:val="en-US" w:eastAsia="zh-CN"/>
              </w:rPr>
              <w:t>20</w:t>
            </w:r>
            <w:r>
              <w:rPr>
                <w:rFonts w:hAnsi="宋体"/>
                <w:color w:val="auto"/>
                <w:sz w:val="24"/>
                <w:szCs w:val="24"/>
                <w:u w:val="single"/>
              </w:rPr>
              <w:t>年</w:t>
            </w:r>
            <w:r>
              <w:rPr>
                <w:rFonts w:hint="eastAsia"/>
                <w:color w:val="auto"/>
                <w:sz w:val="24"/>
                <w:szCs w:val="24"/>
                <w:u w:val="single"/>
                <w:lang w:val="en-US" w:eastAsia="zh-CN"/>
              </w:rPr>
              <w:t>5</w:t>
            </w:r>
            <w:r>
              <w:rPr>
                <w:rFonts w:hAnsi="宋体"/>
                <w:color w:val="auto"/>
                <w:sz w:val="24"/>
                <w:szCs w:val="24"/>
                <w:u w:val="single"/>
              </w:rPr>
              <w:t>月</w:t>
            </w:r>
            <w:r>
              <w:rPr>
                <w:rFonts w:hint="eastAsia" w:hAnsi="宋体"/>
                <w:color w:val="auto"/>
                <w:sz w:val="24"/>
                <w:szCs w:val="24"/>
                <w:u w:val="single"/>
              </w:rPr>
              <w:t>2</w:t>
            </w:r>
            <w:r>
              <w:rPr>
                <w:rFonts w:hint="eastAsia" w:hAnsi="宋体"/>
                <w:color w:val="auto"/>
                <w:sz w:val="24"/>
                <w:szCs w:val="24"/>
                <w:u w:val="single"/>
                <w:lang w:val="en-US" w:eastAsia="zh-CN"/>
              </w:rPr>
              <w:t>4</w:t>
            </w:r>
            <w:r>
              <w:rPr>
                <w:rFonts w:hAnsi="宋体"/>
                <w:color w:val="auto"/>
                <w:sz w:val="24"/>
                <w:szCs w:val="24"/>
                <w:u w:val="single"/>
              </w:rPr>
              <w:t>日</w:t>
            </w:r>
            <w:r>
              <w:rPr>
                <w:rFonts w:hint="eastAsia" w:hAnsi="宋体"/>
                <w:color w:val="auto"/>
                <w:sz w:val="24"/>
                <w:szCs w:val="24"/>
                <w:u w:val="single"/>
              </w:rPr>
              <w:t>、</w:t>
            </w:r>
            <w:r>
              <w:rPr>
                <w:rFonts w:hint="eastAsia" w:hAnsi="宋体"/>
                <w:color w:val="auto"/>
                <w:sz w:val="24"/>
                <w:szCs w:val="24"/>
                <w:u w:val="single"/>
                <w:lang w:val="en-US" w:eastAsia="zh-CN"/>
              </w:rPr>
              <w:t>25</w:t>
            </w:r>
            <w:r>
              <w:rPr>
                <w:rFonts w:hint="eastAsia" w:hAnsi="宋体"/>
                <w:color w:val="auto"/>
                <w:sz w:val="24"/>
                <w:szCs w:val="24"/>
                <w:u w:val="single"/>
              </w:rPr>
              <w:t>日</w:t>
            </w:r>
            <w:r>
              <w:rPr>
                <w:rFonts w:hAnsi="宋体"/>
                <w:color w:val="auto"/>
                <w:sz w:val="24"/>
                <w:szCs w:val="24"/>
                <w:u w:val="single"/>
              </w:rPr>
              <w:t>对</w:t>
            </w:r>
            <w:r>
              <w:rPr>
                <w:rFonts w:hint="eastAsia" w:hAnsi="宋体"/>
                <w:color w:val="auto"/>
                <w:sz w:val="24"/>
                <w:szCs w:val="24"/>
                <w:u w:val="single"/>
              </w:rPr>
              <w:t>项目</w:t>
            </w:r>
            <w:r>
              <w:rPr>
                <w:rFonts w:hint="eastAsia" w:hAnsi="宋体"/>
                <w:color w:val="auto"/>
                <w:sz w:val="24"/>
                <w:szCs w:val="24"/>
                <w:u w:val="single"/>
                <w:lang w:eastAsia="zh-CN"/>
              </w:rPr>
              <w:t>厂区</w:t>
            </w:r>
            <w:r>
              <w:rPr>
                <w:rFonts w:hint="eastAsia" w:hAnsi="宋体"/>
                <w:color w:val="auto"/>
                <w:sz w:val="24"/>
                <w:szCs w:val="24"/>
                <w:u w:val="single"/>
              </w:rPr>
              <w:t>进行了验收监测</w:t>
            </w:r>
            <w:r>
              <w:rPr>
                <w:rFonts w:hint="eastAsia" w:hAnsi="宋体"/>
                <w:color w:val="auto"/>
                <w:sz w:val="24"/>
                <w:szCs w:val="24"/>
                <w:u w:val="single"/>
                <w:lang w:eastAsia="zh-CN"/>
              </w:rPr>
              <w:t>，监测期间</w:t>
            </w:r>
            <w:r>
              <w:rPr>
                <w:rFonts w:hint="eastAsia" w:hAnsi="宋体"/>
                <w:sz w:val="24"/>
                <w:szCs w:val="24"/>
                <w:u w:val="single"/>
                <w:lang w:eastAsia="zh-CN"/>
              </w:rPr>
              <w:t>洛阳金都办公家具有限公司、</w:t>
            </w:r>
            <w:r>
              <w:rPr>
                <w:rFonts w:hint="eastAsia"/>
                <w:color w:val="auto"/>
                <w:sz w:val="24"/>
                <w:szCs w:val="24"/>
                <w:u w:val="single"/>
                <w:lang w:eastAsia="zh-CN"/>
              </w:rPr>
              <w:t>洛阳客思来实业有限公司均处于正常生产状态，因此期验收监测数据可作为本项目厂区现状背景检测值，</w:t>
            </w:r>
            <w:r>
              <w:rPr>
                <w:rFonts w:hint="eastAsia" w:hAnsi="宋体"/>
                <w:color w:val="auto"/>
                <w:sz w:val="24"/>
                <w:szCs w:val="24"/>
                <w:u w:val="single"/>
              </w:rPr>
              <w:t>本项目正常生产时高噪声设备对</w:t>
            </w:r>
            <w:r>
              <w:rPr>
                <w:color w:val="auto"/>
                <w:spacing w:val="-2"/>
                <w:sz w:val="24"/>
                <w:szCs w:val="24"/>
                <w:u w:val="single"/>
              </w:rPr>
              <w:t>厂界</w:t>
            </w:r>
            <w:r>
              <w:rPr>
                <w:rFonts w:hint="eastAsia"/>
                <w:color w:val="auto"/>
                <w:spacing w:val="-2"/>
                <w:sz w:val="24"/>
                <w:szCs w:val="24"/>
                <w:u w:val="single"/>
              </w:rPr>
              <w:t>昼间噪声</w:t>
            </w:r>
            <w:r>
              <w:rPr>
                <w:color w:val="auto"/>
                <w:spacing w:val="-2"/>
                <w:sz w:val="24"/>
                <w:szCs w:val="24"/>
                <w:u w:val="single"/>
              </w:rPr>
              <w:t>预测结果</w:t>
            </w:r>
            <w:r>
              <w:rPr>
                <w:rFonts w:hint="eastAsia"/>
                <w:color w:val="auto"/>
                <w:spacing w:val="-2"/>
                <w:sz w:val="24"/>
                <w:szCs w:val="24"/>
                <w:u w:val="single"/>
              </w:rPr>
              <w:t>见下表（夜间不生产）</w:t>
            </w:r>
            <w:r>
              <w:rPr>
                <w:color w:val="auto"/>
                <w:sz w:val="24"/>
                <w:szCs w:val="24"/>
                <w:u w:val="single"/>
              </w:rPr>
              <w:t>。</w:t>
            </w:r>
          </w:p>
          <w:p>
            <w:pPr>
              <w:ind w:firstLine="1080" w:firstLineChars="450"/>
              <w:rPr>
                <w:rFonts w:eastAsia="黑体"/>
                <w:color w:val="auto"/>
                <w:sz w:val="24"/>
                <w:szCs w:val="24"/>
                <w:u w:val="none"/>
              </w:rPr>
            </w:pPr>
            <w:r>
              <w:rPr>
                <w:rFonts w:eastAsia="黑体"/>
                <w:color w:val="auto"/>
                <w:sz w:val="24"/>
                <w:szCs w:val="24"/>
                <w:u w:val="none"/>
              </w:rPr>
              <w:t>表</w:t>
            </w:r>
            <w:r>
              <w:rPr>
                <w:rFonts w:hint="eastAsia" w:eastAsia="黑体"/>
                <w:color w:val="auto"/>
                <w:sz w:val="24"/>
                <w:szCs w:val="24"/>
                <w:u w:val="none"/>
                <w:lang w:val="en-US" w:eastAsia="zh-CN"/>
              </w:rPr>
              <w:t>32</w:t>
            </w:r>
            <w:r>
              <w:rPr>
                <w:rFonts w:hint="eastAsia" w:eastAsia="黑体"/>
                <w:color w:val="auto"/>
                <w:sz w:val="24"/>
                <w:szCs w:val="24"/>
                <w:u w:val="none"/>
              </w:rPr>
              <w:t xml:space="preserve">              </w:t>
            </w:r>
            <w:r>
              <w:rPr>
                <w:rFonts w:eastAsia="黑体"/>
                <w:color w:val="auto"/>
                <w:sz w:val="24"/>
                <w:szCs w:val="24"/>
                <w:u w:val="none"/>
              </w:rPr>
              <w:t>厂界</w:t>
            </w:r>
            <w:r>
              <w:rPr>
                <w:rFonts w:hint="eastAsia" w:eastAsia="黑体"/>
                <w:color w:val="auto"/>
                <w:sz w:val="24"/>
                <w:szCs w:val="24"/>
                <w:u w:val="none"/>
              </w:rPr>
              <w:t>昼间</w:t>
            </w:r>
            <w:r>
              <w:rPr>
                <w:rFonts w:eastAsia="黑体"/>
                <w:color w:val="auto"/>
                <w:sz w:val="24"/>
                <w:szCs w:val="24"/>
                <w:u w:val="none"/>
              </w:rPr>
              <w:t>噪声预测结果</w:t>
            </w:r>
            <w:r>
              <w:rPr>
                <w:rFonts w:hint="eastAsia" w:eastAsia="黑体"/>
                <w:color w:val="auto"/>
                <w:sz w:val="24"/>
                <w:szCs w:val="24"/>
                <w:u w:val="none"/>
              </w:rPr>
              <w:t xml:space="preserve">          </w:t>
            </w:r>
            <w:r>
              <w:rPr>
                <w:rFonts w:eastAsia="黑体"/>
                <w:color w:val="auto"/>
                <w:sz w:val="24"/>
                <w:szCs w:val="24"/>
                <w:u w:val="none"/>
              </w:rPr>
              <w:t>单位：dB(A)</w:t>
            </w: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784"/>
              <w:gridCol w:w="2133"/>
              <w:gridCol w:w="174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376" w:type="dxa"/>
                  <w:vAlign w:val="center"/>
                </w:tcPr>
                <w:p>
                  <w:pPr>
                    <w:adjustRightInd w:val="0"/>
                    <w:snapToGrid w:val="0"/>
                    <w:jc w:val="center"/>
                    <w:rPr>
                      <w:color w:val="auto"/>
                      <w:szCs w:val="21"/>
                      <w:u w:val="none"/>
                    </w:rPr>
                  </w:pPr>
                  <w:r>
                    <w:rPr>
                      <w:rFonts w:hAnsi="宋体"/>
                      <w:color w:val="auto"/>
                      <w:szCs w:val="21"/>
                      <w:u w:val="none"/>
                    </w:rPr>
                    <w:t>项目</w:t>
                  </w:r>
                </w:p>
              </w:tc>
              <w:tc>
                <w:tcPr>
                  <w:tcW w:w="1784" w:type="dxa"/>
                </w:tcPr>
                <w:p>
                  <w:pPr>
                    <w:adjustRightInd w:val="0"/>
                    <w:snapToGrid w:val="0"/>
                    <w:jc w:val="center"/>
                    <w:rPr>
                      <w:rFonts w:hAnsi="宋体"/>
                      <w:color w:val="auto"/>
                      <w:szCs w:val="21"/>
                      <w:u w:val="none"/>
                    </w:rPr>
                  </w:pPr>
                  <w:r>
                    <w:rPr>
                      <w:rFonts w:hint="eastAsia" w:hAnsi="宋体"/>
                      <w:color w:val="auto"/>
                      <w:szCs w:val="21"/>
                      <w:u w:val="none"/>
                    </w:rPr>
                    <w:t>东厂界</w:t>
                  </w:r>
                </w:p>
              </w:tc>
              <w:tc>
                <w:tcPr>
                  <w:tcW w:w="2133" w:type="dxa"/>
                  <w:vAlign w:val="center"/>
                </w:tcPr>
                <w:p>
                  <w:pPr>
                    <w:adjustRightInd w:val="0"/>
                    <w:snapToGrid w:val="0"/>
                    <w:jc w:val="center"/>
                    <w:rPr>
                      <w:rFonts w:hAnsi="宋体"/>
                      <w:color w:val="auto"/>
                      <w:szCs w:val="21"/>
                      <w:u w:val="none"/>
                    </w:rPr>
                  </w:pPr>
                  <w:r>
                    <w:rPr>
                      <w:rFonts w:hint="eastAsia" w:hAnsi="宋体"/>
                      <w:color w:val="auto"/>
                      <w:szCs w:val="21"/>
                      <w:u w:val="none"/>
                    </w:rPr>
                    <w:t>西厂界</w:t>
                  </w:r>
                </w:p>
              </w:tc>
              <w:tc>
                <w:tcPr>
                  <w:tcW w:w="1748" w:type="dxa"/>
                  <w:vAlign w:val="center"/>
                </w:tcPr>
                <w:p>
                  <w:pPr>
                    <w:adjustRightInd w:val="0"/>
                    <w:snapToGrid w:val="0"/>
                    <w:jc w:val="center"/>
                    <w:rPr>
                      <w:color w:val="auto"/>
                      <w:szCs w:val="21"/>
                      <w:u w:val="none"/>
                    </w:rPr>
                  </w:pPr>
                  <w:r>
                    <w:rPr>
                      <w:rFonts w:hAnsi="宋体"/>
                      <w:color w:val="auto"/>
                      <w:szCs w:val="21"/>
                      <w:u w:val="none"/>
                    </w:rPr>
                    <w:t>南厂界</w:t>
                  </w:r>
                </w:p>
              </w:tc>
              <w:tc>
                <w:tcPr>
                  <w:tcW w:w="1939" w:type="dxa"/>
                  <w:vAlign w:val="center"/>
                </w:tcPr>
                <w:p>
                  <w:pPr>
                    <w:adjustRightInd w:val="0"/>
                    <w:snapToGrid w:val="0"/>
                    <w:jc w:val="center"/>
                    <w:rPr>
                      <w:color w:val="auto"/>
                      <w:szCs w:val="21"/>
                      <w:u w:val="none"/>
                    </w:rPr>
                  </w:pPr>
                  <w:r>
                    <w:rPr>
                      <w:rFonts w:hAnsi="宋体"/>
                      <w:color w:val="auto"/>
                      <w:szCs w:val="21"/>
                      <w:u w:val="none"/>
                    </w:rPr>
                    <w:t>北厂界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376" w:type="dxa"/>
                  <w:vAlign w:val="center"/>
                </w:tcPr>
                <w:p>
                  <w:pPr>
                    <w:adjustRightInd w:val="0"/>
                    <w:snapToGrid w:val="0"/>
                    <w:jc w:val="center"/>
                    <w:rPr>
                      <w:color w:val="auto"/>
                      <w:szCs w:val="21"/>
                      <w:u w:val="none"/>
                    </w:rPr>
                  </w:pPr>
                  <w:r>
                    <w:rPr>
                      <w:rFonts w:hint="eastAsia"/>
                      <w:color w:val="auto"/>
                      <w:szCs w:val="21"/>
                      <w:u w:val="none"/>
                    </w:rPr>
                    <w:t>现状值</w:t>
                  </w:r>
                </w:p>
              </w:tc>
              <w:tc>
                <w:tcPr>
                  <w:tcW w:w="1784" w:type="dxa"/>
                </w:tcPr>
                <w:p>
                  <w:pPr>
                    <w:adjustRightInd w:val="0"/>
                    <w:snapToGrid w:val="0"/>
                    <w:jc w:val="center"/>
                    <w:rPr>
                      <w:rFonts w:hint="eastAsia" w:hAnsi="宋体" w:eastAsia="宋体"/>
                      <w:color w:val="auto"/>
                      <w:szCs w:val="21"/>
                      <w:u w:val="none"/>
                      <w:lang w:eastAsia="zh-CN"/>
                    </w:rPr>
                  </w:pPr>
                  <w:r>
                    <w:rPr>
                      <w:rFonts w:hint="eastAsia" w:hAnsi="宋体"/>
                      <w:color w:val="auto"/>
                      <w:szCs w:val="21"/>
                      <w:u w:val="none"/>
                      <w:lang w:val="en-US" w:eastAsia="zh-CN"/>
                    </w:rPr>
                    <w:t>55.8</w:t>
                  </w:r>
                </w:p>
              </w:tc>
              <w:tc>
                <w:tcPr>
                  <w:tcW w:w="2133" w:type="dxa"/>
                  <w:vAlign w:val="center"/>
                </w:tcPr>
                <w:p>
                  <w:pPr>
                    <w:adjustRightInd w:val="0"/>
                    <w:snapToGrid w:val="0"/>
                    <w:jc w:val="center"/>
                    <w:rPr>
                      <w:rFonts w:hAnsi="宋体"/>
                      <w:color w:val="auto"/>
                      <w:szCs w:val="21"/>
                      <w:u w:val="none"/>
                    </w:rPr>
                  </w:pPr>
                  <w:r>
                    <w:rPr>
                      <w:rFonts w:hint="eastAsia" w:hAnsi="宋体"/>
                      <w:color w:val="auto"/>
                      <w:szCs w:val="21"/>
                      <w:u w:val="none"/>
                    </w:rPr>
                    <w:t>55.</w:t>
                  </w:r>
                  <w:r>
                    <w:rPr>
                      <w:rFonts w:hint="eastAsia" w:hAnsi="宋体"/>
                      <w:color w:val="auto"/>
                      <w:szCs w:val="21"/>
                      <w:u w:val="none"/>
                      <w:lang w:val="en-US" w:eastAsia="zh-CN"/>
                    </w:rPr>
                    <w:t>9</w:t>
                  </w:r>
                </w:p>
              </w:tc>
              <w:tc>
                <w:tcPr>
                  <w:tcW w:w="1748" w:type="dxa"/>
                  <w:vAlign w:val="center"/>
                </w:tcPr>
                <w:p>
                  <w:pPr>
                    <w:adjustRightInd w:val="0"/>
                    <w:snapToGrid w:val="0"/>
                    <w:jc w:val="center"/>
                    <w:rPr>
                      <w:rFonts w:hAnsi="宋体"/>
                      <w:color w:val="auto"/>
                      <w:szCs w:val="21"/>
                      <w:u w:val="none"/>
                    </w:rPr>
                  </w:pPr>
                  <w:r>
                    <w:rPr>
                      <w:rFonts w:hint="eastAsia" w:hAnsi="宋体"/>
                      <w:color w:val="auto"/>
                      <w:szCs w:val="21"/>
                      <w:u w:val="none"/>
                    </w:rPr>
                    <w:t>56.</w:t>
                  </w:r>
                  <w:r>
                    <w:rPr>
                      <w:rFonts w:hint="eastAsia" w:hAnsi="宋体"/>
                      <w:color w:val="auto"/>
                      <w:szCs w:val="21"/>
                      <w:u w:val="none"/>
                      <w:lang w:val="en-US" w:eastAsia="zh-CN"/>
                    </w:rPr>
                    <w:t>2</w:t>
                  </w:r>
                </w:p>
              </w:tc>
              <w:tc>
                <w:tcPr>
                  <w:tcW w:w="1939" w:type="dxa"/>
                  <w:vAlign w:val="center"/>
                </w:tcPr>
                <w:p>
                  <w:pPr>
                    <w:adjustRightInd w:val="0"/>
                    <w:snapToGrid w:val="0"/>
                    <w:jc w:val="center"/>
                    <w:rPr>
                      <w:rFonts w:hint="eastAsia" w:hAnsi="宋体" w:eastAsia="宋体"/>
                      <w:color w:val="auto"/>
                      <w:szCs w:val="21"/>
                      <w:u w:val="none"/>
                      <w:lang w:eastAsia="zh-CN"/>
                    </w:rPr>
                  </w:pPr>
                  <w:r>
                    <w:rPr>
                      <w:rFonts w:hint="eastAsia" w:hAnsi="宋体"/>
                      <w:color w:val="auto"/>
                      <w:szCs w:val="21"/>
                      <w:u w:val="none"/>
                      <w:lang w:val="en-US" w:eastAsia="zh-CN"/>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376" w:type="dxa"/>
                  <w:vAlign w:val="center"/>
                </w:tcPr>
                <w:p>
                  <w:pPr>
                    <w:adjustRightInd w:val="0"/>
                    <w:snapToGrid w:val="0"/>
                    <w:jc w:val="center"/>
                    <w:rPr>
                      <w:color w:val="auto"/>
                      <w:szCs w:val="21"/>
                      <w:u w:val="none"/>
                    </w:rPr>
                  </w:pPr>
                  <w:r>
                    <w:rPr>
                      <w:rFonts w:hAnsi="宋体"/>
                      <w:color w:val="auto"/>
                      <w:szCs w:val="21"/>
                      <w:u w:val="none"/>
                    </w:rPr>
                    <w:t>贡献值</w:t>
                  </w:r>
                </w:p>
              </w:tc>
              <w:tc>
                <w:tcPr>
                  <w:tcW w:w="1784" w:type="dxa"/>
                </w:tcPr>
                <w:p>
                  <w:pPr>
                    <w:adjustRightInd w:val="0"/>
                    <w:snapToGrid w:val="0"/>
                    <w:jc w:val="center"/>
                    <w:rPr>
                      <w:color w:val="auto"/>
                      <w:szCs w:val="21"/>
                      <w:u w:val="none"/>
                    </w:rPr>
                  </w:pPr>
                  <w:r>
                    <w:rPr>
                      <w:rFonts w:hint="eastAsia"/>
                      <w:color w:val="auto"/>
                      <w:szCs w:val="21"/>
                      <w:u w:val="none"/>
                      <w:lang w:val="en-US" w:eastAsia="zh-CN"/>
                    </w:rPr>
                    <w:t>5</w:t>
                  </w:r>
                  <w:r>
                    <w:rPr>
                      <w:rFonts w:hint="eastAsia"/>
                      <w:color w:val="auto"/>
                      <w:szCs w:val="21"/>
                      <w:u w:val="none"/>
                    </w:rPr>
                    <w:t>2.79</w:t>
                  </w:r>
                </w:p>
              </w:tc>
              <w:tc>
                <w:tcPr>
                  <w:tcW w:w="2133" w:type="dxa"/>
                  <w:vAlign w:val="center"/>
                </w:tcPr>
                <w:p>
                  <w:pPr>
                    <w:adjustRightInd w:val="0"/>
                    <w:snapToGrid w:val="0"/>
                    <w:jc w:val="center"/>
                    <w:rPr>
                      <w:color w:val="auto"/>
                      <w:szCs w:val="21"/>
                      <w:u w:val="none"/>
                    </w:rPr>
                  </w:pPr>
                  <w:r>
                    <w:rPr>
                      <w:rFonts w:hint="eastAsia"/>
                      <w:color w:val="auto"/>
                      <w:szCs w:val="21"/>
                      <w:u w:val="none"/>
                      <w:lang w:val="en-US" w:eastAsia="zh-CN"/>
                    </w:rPr>
                    <w:t>30</w:t>
                  </w:r>
                  <w:r>
                    <w:rPr>
                      <w:rFonts w:hint="eastAsia"/>
                      <w:color w:val="auto"/>
                      <w:szCs w:val="21"/>
                      <w:u w:val="none"/>
                    </w:rPr>
                    <w:t>.42</w:t>
                  </w:r>
                </w:p>
              </w:tc>
              <w:tc>
                <w:tcPr>
                  <w:tcW w:w="1748" w:type="dxa"/>
                  <w:vAlign w:val="center"/>
                </w:tcPr>
                <w:p>
                  <w:pPr>
                    <w:adjustRightInd w:val="0"/>
                    <w:snapToGrid w:val="0"/>
                    <w:jc w:val="center"/>
                    <w:rPr>
                      <w:color w:val="auto"/>
                      <w:szCs w:val="21"/>
                      <w:u w:val="none"/>
                    </w:rPr>
                  </w:pPr>
                  <w:r>
                    <w:rPr>
                      <w:rFonts w:hint="eastAsia"/>
                      <w:color w:val="auto"/>
                      <w:szCs w:val="21"/>
                      <w:u w:val="none"/>
                      <w:lang w:val="en-US" w:eastAsia="zh-CN"/>
                    </w:rPr>
                    <w:t>42</w:t>
                  </w:r>
                  <w:r>
                    <w:rPr>
                      <w:rFonts w:hint="eastAsia"/>
                      <w:color w:val="auto"/>
                      <w:szCs w:val="21"/>
                      <w:u w:val="none"/>
                    </w:rPr>
                    <w:t>.26</w:t>
                  </w:r>
                </w:p>
              </w:tc>
              <w:tc>
                <w:tcPr>
                  <w:tcW w:w="1939" w:type="dxa"/>
                  <w:vAlign w:val="center"/>
                </w:tcPr>
                <w:p>
                  <w:pPr>
                    <w:adjustRightInd w:val="0"/>
                    <w:snapToGrid w:val="0"/>
                    <w:jc w:val="center"/>
                    <w:rPr>
                      <w:color w:val="auto"/>
                      <w:szCs w:val="21"/>
                      <w:u w:val="none"/>
                    </w:rPr>
                  </w:pPr>
                  <w:r>
                    <w:rPr>
                      <w:rFonts w:hint="eastAsia"/>
                      <w:color w:val="auto"/>
                      <w:szCs w:val="21"/>
                      <w:u w:val="none"/>
                      <w:lang w:val="en-US" w:eastAsia="zh-CN"/>
                    </w:rPr>
                    <w:t>43</w:t>
                  </w:r>
                  <w:r>
                    <w:rPr>
                      <w:rFonts w:hint="eastAsia"/>
                      <w:color w:val="auto"/>
                      <w:szCs w:val="21"/>
                      <w:u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376" w:type="dxa"/>
                  <w:vAlign w:val="center"/>
                </w:tcPr>
                <w:p>
                  <w:pPr>
                    <w:adjustRightInd w:val="0"/>
                    <w:snapToGrid w:val="0"/>
                    <w:jc w:val="center"/>
                    <w:rPr>
                      <w:rFonts w:hAnsi="宋体"/>
                      <w:color w:val="auto"/>
                      <w:szCs w:val="21"/>
                      <w:u w:val="none"/>
                    </w:rPr>
                  </w:pPr>
                  <w:r>
                    <w:rPr>
                      <w:rFonts w:hint="eastAsia" w:hAnsi="宋体"/>
                      <w:color w:val="auto"/>
                      <w:szCs w:val="21"/>
                      <w:u w:val="none"/>
                    </w:rPr>
                    <w:t>叠加值</w:t>
                  </w:r>
                </w:p>
              </w:tc>
              <w:tc>
                <w:tcPr>
                  <w:tcW w:w="1784" w:type="dxa"/>
                  <w:vAlign w:val="center"/>
                </w:tcPr>
                <w:p>
                  <w:pPr>
                    <w:adjustRightInd w:val="0"/>
                    <w:snapToGrid w:val="0"/>
                    <w:jc w:val="center"/>
                    <w:rPr>
                      <w:rFonts w:hint="eastAsia" w:hAnsi="宋体" w:eastAsia="宋体"/>
                      <w:color w:val="auto"/>
                      <w:szCs w:val="21"/>
                      <w:u w:val="none"/>
                      <w:lang w:eastAsia="zh-CN"/>
                    </w:rPr>
                  </w:pPr>
                  <w:r>
                    <w:rPr>
                      <w:rFonts w:hint="eastAsia" w:hAnsi="宋体"/>
                      <w:color w:val="auto"/>
                      <w:szCs w:val="21"/>
                      <w:u w:val="none"/>
                      <w:lang w:val="en-US" w:eastAsia="zh-CN"/>
                    </w:rPr>
                    <w:t>57.12</w:t>
                  </w:r>
                </w:p>
              </w:tc>
              <w:tc>
                <w:tcPr>
                  <w:tcW w:w="2133" w:type="dxa"/>
                  <w:vAlign w:val="center"/>
                </w:tcPr>
                <w:p>
                  <w:pPr>
                    <w:adjustRightInd w:val="0"/>
                    <w:snapToGrid w:val="0"/>
                    <w:jc w:val="center"/>
                    <w:rPr>
                      <w:rFonts w:hint="eastAsia" w:eastAsia="宋体"/>
                      <w:color w:val="auto"/>
                      <w:szCs w:val="21"/>
                      <w:u w:val="none"/>
                      <w:lang w:eastAsia="zh-CN"/>
                    </w:rPr>
                  </w:pPr>
                  <w:r>
                    <w:rPr>
                      <w:rFonts w:hint="eastAsia"/>
                      <w:color w:val="auto"/>
                      <w:szCs w:val="21"/>
                      <w:u w:val="none"/>
                      <w:lang w:val="en-US" w:eastAsia="zh-CN"/>
                    </w:rPr>
                    <w:t>56.01</w:t>
                  </w:r>
                </w:p>
              </w:tc>
              <w:tc>
                <w:tcPr>
                  <w:tcW w:w="1748" w:type="dxa"/>
                  <w:vAlign w:val="center"/>
                </w:tcPr>
                <w:p>
                  <w:pPr>
                    <w:adjustRightInd w:val="0"/>
                    <w:snapToGrid w:val="0"/>
                    <w:jc w:val="center"/>
                    <w:rPr>
                      <w:rFonts w:hint="eastAsia" w:eastAsia="宋体"/>
                      <w:color w:val="auto"/>
                      <w:szCs w:val="21"/>
                      <w:u w:val="none"/>
                      <w:lang w:eastAsia="zh-CN"/>
                    </w:rPr>
                  </w:pPr>
                  <w:r>
                    <w:rPr>
                      <w:rFonts w:hint="eastAsia"/>
                      <w:color w:val="auto"/>
                      <w:szCs w:val="21"/>
                      <w:u w:val="none"/>
                      <w:lang w:val="en-US" w:eastAsia="zh-CN"/>
                    </w:rPr>
                    <w:t>56.41</w:t>
                  </w:r>
                </w:p>
              </w:tc>
              <w:tc>
                <w:tcPr>
                  <w:tcW w:w="1939" w:type="dxa"/>
                  <w:vAlign w:val="center"/>
                </w:tcPr>
                <w:p>
                  <w:pPr>
                    <w:adjustRightInd w:val="0"/>
                    <w:snapToGrid w:val="0"/>
                    <w:jc w:val="center"/>
                    <w:rPr>
                      <w:rFonts w:hint="eastAsia" w:eastAsia="宋体"/>
                      <w:color w:val="auto"/>
                      <w:szCs w:val="21"/>
                      <w:u w:val="none"/>
                      <w:lang w:eastAsia="zh-CN"/>
                    </w:rPr>
                  </w:pPr>
                  <w:r>
                    <w:rPr>
                      <w:rFonts w:hint="eastAsia"/>
                      <w:color w:val="auto"/>
                      <w:szCs w:val="21"/>
                      <w:u w:val="none"/>
                      <w:lang w:val="en-US" w:eastAsia="zh-CN"/>
                    </w:rPr>
                    <w:t>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376" w:type="dxa"/>
                  <w:vAlign w:val="center"/>
                </w:tcPr>
                <w:p>
                  <w:pPr>
                    <w:adjustRightInd w:val="0"/>
                    <w:snapToGrid w:val="0"/>
                    <w:jc w:val="center"/>
                    <w:rPr>
                      <w:rFonts w:hAnsi="宋体"/>
                      <w:color w:val="auto"/>
                      <w:szCs w:val="21"/>
                      <w:u w:val="none"/>
                    </w:rPr>
                  </w:pPr>
                  <w:r>
                    <w:rPr>
                      <w:rFonts w:hint="eastAsia" w:hAnsi="宋体"/>
                      <w:color w:val="auto"/>
                      <w:szCs w:val="21"/>
                      <w:u w:val="none"/>
                    </w:rPr>
                    <w:t>标准值</w:t>
                  </w:r>
                </w:p>
              </w:tc>
              <w:tc>
                <w:tcPr>
                  <w:tcW w:w="7604" w:type="dxa"/>
                  <w:gridSpan w:val="4"/>
                  <w:vAlign w:val="center"/>
                </w:tcPr>
                <w:p>
                  <w:pPr>
                    <w:adjustRightInd w:val="0"/>
                    <w:snapToGrid w:val="0"/>
                    <w:jc w:val="center"/>
                    <w:rPr>
                      <w:color w:val="auto"/>
                      <w:szCs w:val="21"/>
                      <w:u w:val="none"/>
                    </w:rPr>
                  </w:pPr>
                  <w:r>
                    <w:rPr>
                      <w:rFonts w:hint="eastAsia"/>
                      <w:color w:val="auto"/>
                      <w:szCs w:val="21"/>
                      <w:u w:val="none"/>
                    </w:rPr>
                    <w:t>2类：昼间60</w:t>
                  </w:r>
                </w:p>
              </w:tc>
            </w:tr>
          </w:tbl>
          <w:p>
            <w:pPr>
              <w:spacing w:line="360" w:lineRule="auto"/>
              <w:ind w:firstLine="480" w:firstLineChars="200"/>
              <w:rPr>
                <w:color w:val="auto"/>
                <w:sz w:val="24"/>
                <w:szCs w:val="24"/>
                <w:u w:val="none"/>
              </w:rPr>
            </w:pPr>
            <w:r>
              <w:rPr>
                <w:rFonts w:hint="eastAsia"/>
                <w:color w:val="auto"/>
                <w:sz w:val="24"/>
                <w:szCs w:val="24"/>
                <w:u w:val="none"/>
              </w:rPr>
              <w:t>由上表可知，本项目运营期间，高噪声设备对厂界昼间噪声叠加值均可以满足《工业企业厂界环境噪声排放标准》（</w:t>
            </w:r>
            <w:r>
              <w:rPr>
                <w:color w:val="auto"/>
                <w:sz w:val="24"/>
                <w:szCs w:val="24"/>
                <w:u w:val="none"/>
              </w:rPr>
              <w:t>GB12348</w:t>
            </w:r>
            <w:r>
              <w:rPr>
                <w:rFonts w:hint="eastAsia" w:hAnsi="宋体"/>
                <w:color w:val="auto"/>
                <w:sz w:val="24"/>
                <w:szCs w:val="24"/>
                <w:u w:val="none"/>
              </w:rPr>
              <w:t>-</w:t>
            </w:r>
            <w:r>
              <w:rPr>
                <w:color w:val="auto"/>
                <w:sz w:val="24"/>
                <w:szCs w:val="24"/>
                <w:u w:val="none"/>
              </w:rPr>
              <w:t>2008</w:t>
            </w:r>
            <w:r>
              <w:rPr>
                <w:rFonts w:hint="eastAsia"/>
                <w:color w:val="auto"/>
                <w:sz w:val="24"/>
                <w:szCs w:val="24"/>
                <w:u w:val="none"/>
              </w:rPr>
              <w:t>）表1中2类标准要求。</w:t>
            </w:r>
            <w:r>
              <w:rPr>
                <w:rFonts w:hAnsi="宋体"/>
                <w:color w:val="auto"/>
                <w:sz w:val="24"/>
                <w:szCs w:val="24"/>
                <w:u w:val="none"/>
              </w:rPr>
              <w:t>因此</w:t>
            </w:r>
            <w:r>
              <w:rPr>
                <w:rFonts w:hint="eastAsia" w:hAnsi="宋体"/>
                <w:color w:val="auto"/>
                <w:sz w:val="24"/>
                <w:szCs w:val="24"/>
                <w:u w:val="none"/>
              </w:rPr>
              <w:t>本</w:t>
            </w:r>
            <w:r>
              <w:rPr>
                <w:rFonts w:hAnsi="宋体"/>
                <w:color w:val="auto"/>
                <w:sz w:val="24"/>
                <w:szCs w:val="24"/>
                <w:u w:val="none"/>
              </w:rPr>
              <w:t>项目的建设不会对该区域的声环境质量造成大的影响。</w:t>
            </w:r>
          </w:p>
          <w:p>
            <w:pPr>
              <w:spacing w:line="360" w:lineRule="auto"/>
              <w:rPr>
                <w:b/>
                <w:sz w:val="24"/>
                <w:szCs w:val="24"/>
                <w:u w:val="none"/>
              </w:rPr>
            </w:pPr>
            <w:r>
              <w:rPr>
                <w:rFonts w:hint="eastAsia"/>
                <w:b/>
                <w:sz w:val="24"/>
                <w:szCs w:val="24"/>
                <w:u w:val="none"/>
              </w:rPr>
              <w:t>4固体废物影响分析</w:t>
            </w:r>
          </w:p>
          <w:p>
            <w:pPr>
              <w:widowControl/>
              <w:spacing w:line="360" w:lineRule="auto"/>
              <w:rPr>
                <w:sz w:val="24"/>
                <w:szCs w:val="24"/>
                <w:u w:val="none"/>
              </w:rPr>
            </w:pPr>
            <w:r>
              <w:rPr>
                <w:rFonts w:hint="eastAsia"/>
                <w:sz w:val="24"/>
                <w:szCs w:val="24"/>
                <w:u w:val="none"/>
              </w:rPr>
              <w:t>4.1固体废物产生</w:t>
            </w:r>
          </w:p>
          <w:p>
            <w:pPr>
              <w:widowControl/>
              <w:spacing w:line="360" w:lineRule="auto"/>
              <w:ind w:firstLine="480" w:firstLineChars="200"/>
              <w:rPr>
                <w:sz w:val="24"/>
                <w:szCs w:val="24"/>
                <w:u w:val="single"/>
              </w:rPr>
            </w:pPr>
            <w:r>
              <w:rPr>
                <w:sz w:val="24"/>
                <w:szCs w:val="24"/>
                <w:u w:val="single"/>
              </w:rPr>
              <w:t>本项目产生的固体废物主要为职工生活垃圾、</w:t>
            </w:r>
            <w:r>
              <w:rPr>
                <w:rFonts w:hint="eastAsia"/>
                <w:sz w:val="24"/>
                <w:szCs w:val="24"/>
                <w:u w:val="single"/>
              </w:rPr>
              <w:t>废</w:t>
            </w:r>
            <w:r>
              <w:rPr>
                <w:sz w:val="24"/>
                <w:szCs w:val="24"/>
                <w:u w:val="single"/>
              </w:rPr>
              <w:t>边角料</w:t>
            </w:r>
            <w:r>
              <w:rPr>
                <w:rFonts w:hint="eastAsia"/>
                <w:sz w:val="24"/>
                <w:szCs w:val="24"/>
                <w:u w:val="single"/>
              </w:rPr>
              <w:t>、</w:t>
            </w:r>
            <w:r>
              <w:rPr>
                <w:rFonts w:hint="eastAsia"/>
                <w:sz w:val="24"/>
                <w:szCs w:val="24"/>
                <w:u w:val="single"/>
                <w:lang w:eastAsia="zh-CN"/>
              </w:rPr>
              <w:t>袋式除尘器收集的粉尘、</w:t>
            </w:r>
            <w:r>
              <w:rPr>
                <w:rFonts w:hint="eastAsia"/>
                <w:sz w:val="24"/>
                <w:szCs w:val="24"/>
                <w:u w:val="single"/>
              </w:rPr>
              <w:t>废包装袋、废机油</w:t>
            </w:r>
            <w:r>
              <w:rPr>
                <w:rFonts w:hint="eastAsia"/>
                <w:sz w:val="24"/>
                <w:szCs w:val="24"/>
                <w:u w:val="single"/>
                <w:lang w:eastAsia="zh-CN"/>
              </w:rPr>
              <w:t>、废液压油</w:t>
            </w:r>
            <w:r>
              <w:rPr>
                <w:rFonts w:hint="eastAsia"/>
                <w:sz w:val="24"/>
                <w:szCs w:val="24"/>
                <w:u w:val="single"/>
              </w:rPr>
              <w:t>等。</w:t>
            </w:r>
            <w:r>
              <w:rPr>
                <w:sz w:val="24"/>
                <w:szCs w:val="24"/>
                <w:u w:val="single"/>
              </w:rPr>
              <w:t>本项目固废产生及</w:t>
            </w:r>
            <w:r>
              <w:rPr>
                <w:rFonts w:hint="eastAsia"/>
                <w:sz w:val="24"/>
                <w:szCs w:val="24"/>
                <w:u w:val="single"/>
              </w:rPr>
              <w:t>存放</w:t>
            </w:r>
            <w:r>
              <w:rPr>
                <w:sz w:val="24"/>
                <w:szCs w:val="24"/>
                <w:u w:val="single"/>
              </w:rPr>
              <w:t>处理处置方式见</w:t>
            </w:r>
            <w:r>
              <w:rPr>
                <w:rFonts w:hint="eastAsia"/>
                <w:sz w:val="24"/>
                <w:szCs w:val="24"/>
                <w:u w:val="single"/>
              </w:rPr>
              <w:t>下表</w:t>
            </w:r>
            <w:r>
              <w:rPr>
                <w:sz w:val="24"/>
                <w:szCs w:val="24"/>
                <w:u w:val="single"/>
              </w:rPr>
              <w:t>。</w:t>
            </w:r>
          </w:p>
          <w:p>
            <w:pPr>
              <w:widowControl/>
              <w:adjustRightInd w:val="0"/>
              <w:snapToGrid w:val="0"/>
              <w:ind w:firstLine="1200" w:firstLineChars="500"/>
              <w:jc w:val="left"/>
              <w:rPr>
                <w:rFonts w:ascii="黑体" w:hAnsi="黑体" w:eastAsia="黑体"/>
                <w:kern w:val="0"/>
                <w:sz w:val="24"/>
                <w:u w:val="single"/>
              </w:rPr>
            </w:pPr>
            <w:r>
              <w:rPr>
                <w:rFonts w:ascii="黑体" w:hAnsi="黑体" w:eastAsia="黑体"/>
                <w:kern w:val="0"/>
                <w:sz w:val="24"/>
                <w:u w:val="single"/>
              </w:rPr>
              <w:t>表</w:t>
            </w:r>
            <w:r>
              <w:rPr>
                <w:rFonts w:hint="eastAsia" w:ascii="黑体" w:hAnsi="黑体" w:eastAsia="黑体"/>
                <w:kern w:val="0"/>
                <w:sz w:val="24"/>
                <w:u w:val="single"/>
                <w:lang w:val="en-US" w:eastAsia="zh-CN"/>
              </w:rPr>
              <w:t>33</w:t>
            </w:r>
            <w:r>
              <w:rPr>
                <w:rFonts w:hint="eastAsia" w:ascii="黑体" w:hAnsi="黑体" w:eastAsia="黑体"/>
                <w:kern w:val="0"/>
                <w:sz w:val="24"/>
                <w:u w:val="single"/>
              </w:rPr>
              <w:t xml:space="preserve">                </w:t>
            </w:r>
            <w:r>
              <w:rPr>
                <w:rFonts w:ascii="黑体" w:hAnsi="黑体" w:eastAsia="黑体"/>
                <w:kern w:val="0"/>
                <w:sz w:val="24"/>
                <w:u w:val="single"/>
              </w:rPr>
              <w:t>固废产生量及处置方式一览表</w:t>
            </w:r>
          </w:p>
          <w:tbl>
            <w:tblPr>
              <w:tblStyle w:val="27"/>
              <w:tblW w:w="90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6"/>
              <w:gridCol w:w="1915"/>
              <w:gridCol w:w="1155"/>
              <w:gridCol w:w="1109"/>
              <w:gridCol w:w="2660"/>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序号</w:t>
                  </w:r>
                </w:p>
              </w:tc>
              <w:tc>
                <w:tcPr>
                  <w:tcW w:w="1915" w:type="dxa"/>
                  <w:vAlign w:val="center"/>
                </w:tcPr>
                <w:p>
                  <w:pPr>
                    <w:jc w:val="center"/>
                    <w:rPr>
                      <w:szCs w:val="21"/>
                    </w:rPr>
                  </w:pPr>
                  <w:r>
                    <w:rPr>
                      <w:szCs w:val="21"/>
                    </w:rPr>
                    <w:t>污染物名称</w:t>
                  </w:r>
                </w:p>
              </w:tc>
              <w:tc>
                <w:tcPr>
                  <w:tcW w:w="1155" w:type="dxa"/>
                  <w:vAlign w:val="center"/>
                </w:tcPr>
                <w:p>
                  <w:pPr>
                    <w:jc w:val="center"/>
                    <w:rPr>
                      <w:szCs w:val="21"/>
                    </w:rPr>
                  </w:pPr>
                  <w:r>
                    <w:rPr>
                      <w:szCs w:val="21"/>
                    </w:rPr>
                    <w:t>数量</w:t>
                  </w:r>
                </w:p>
              </w:tc>
              <w:tc>
                <w:tcPr>
                  <w:tcW w:w="1109" w:type="dxa"/>
                  <w:vAlign w:val="center"/>
                </w:tcPr>
                <w:p>
                  <w:pPr>
                    <w:jc w:val="center"/>
                    <w:rPr>
                      <w:szCs w:val="21"/>
                    </w:rPr>
                  </w:pPr>
                  <w:r>
                    <w:rPr>
                      <w:szCs w:val="21"/>
                    </w:rPr>
                    <w:t>性质</w:t>
                  </w:r>
                </w:p>
              </w:tc>
              <w:tc>
                <w:tcPr>
                  <w:tcW w:w="2660" w:type="dxa"/>
                  <w:vAlign w:val="center"/>
                </w:tcPr>
                <w:p>
                  <w:pPr>
                    <w:jc w:val="center"/>
                    <w:rPr>
                      <w:szCs w:val="21"/>
                    </w:rPr>
                  </w:pPr>
                  <w:r>
                    <w:rPr>
                      <w:szCs w:val="21"/>
                    </w:rPr>
                    <w:t>处置方式</w:t>
                  </w:r>
                </w:p>
              </w:tc>
              <w:tc>
                <w:tcPr>
                  <w:tcW w:w="1559" w:type="dxa"/>
                  <w:vAlign w:val="center"/>
                </w:tcPr>
                <w:p>
                  <w:pPr>
                    <w:jc w:val="center"/>
                    <w:rPr>
                      <w:szCs w:val="21"/>
                    </w:rPr>
                  </w:pPr>
                  <w:r>
                    <w:rPr>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1</w:t>
                  </w:r>
                </w:p>
              </w:tc>
              <w:tc>
                <w:tcPr>
                  <w:tcW w:w="1915" w:type="dxa"/>
                  <w:vAlign w:val="center"/>
                </w:tcPr>
                <w:p>
                  <w:pPr>
                    <w:jc w:val="center"/>
                    <w:rPr>
                      <w:szCs w:val="21"/>
                    </w:rPr>
                  </w:pPr>
                  <w:r>
                    <w:rPr>
                      <w:szCs w:val="21"/>
                    </w:rPr>
                    <w:t>生活垃圾</w:t>
                  </w:r>
                </w:p>
              </w:tc>
              <w:tc>
                <w:tcPr>
                  <w:tcW w:w="1155" w:type="dxa"/>
                  <w:vAlign w:val="center"/>
                </w:tcPr>
                <w:p>
                  <w:pPr>
                    <w:jc w:val="center"/>
                    <w:rPr>
                      <w:szCs w:val="21"/>
                    </w:rPr>
                  </w:pPr>
                  <w:r>
                    <w:rPr>
                      <w:rFonts w:hint="eastAsia"/>
                      <w:szCs w:val="21"/>
                    </w:rPr>
                    <w:t>1.5</w:t>
                  </w:r>
                  <w:r>
                    <w:rPr>
                      <w:szCs w:val="21"/>
                    </w:rPr>
                    <w:t>t/a</w:t>
                  </w:r>
                </w:p>
              </w:tc>
              <w:tc>
                <w:tcPr>
                  <w:tcW w:w="1109" w:type="dxa"/>
                  <w:vAlign w:val="center"/>
                </w:tcPr>
                <w:p>
                  <w:pPr>
                    <w:jc w:val="center"/>
                    <w:rPr>
                      <w:szCs w:val="21"/>
                    </w:rPr>
                  </w:pPr>
                  <w:r>
                    <w:rPr>
                      <w:szCs w:val="21"/>
                    </w:rPr>
                    <w:t>一般固废</w:t>
                  </w:r>
                </w:p>
              </w:tc>
              <w:tc>
                <w:tcPr>
                  <w:tcW w:w="2660" w:type="dxa"/>
                  <w:vAlign w:val="center"/>
                </w:tcPr>
                <w:p>
                  <w:pPr>
                    <w:rPr>
                      <w:szCs w:val="21"/>
                    </w:rPr>
                  </w:pPr>
                  <w:r>
                    <w:rPr>
                      <w:szCs w:val="21"/>
                    </w:rPr>
                    <w:t>环卫部门清运至生活垃圾填埋场</w:t>
                  </w:r>
                </w:p>
              </w:tc>
              <w:tc>
                <w:tcPr>
                  <w:tcW w:w="1559" w:type="dxa"/>
                  <w:vAlign w:val="center"/>
                </w:tcPr>
                <w:p>
                  <w:pPr>
                    <w:jc w:val="center"/>
                    <w:rPr>
                      <w:szCs w:val="21"/>
                    </w:rPr>
                  </w:pPr>
                  <w:r>
                    <w:rPr>
                      <w:szCs w:val="21"/>
                    </w:rPr>
                    <w:t>按0.5kg/(人•天)计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2</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1155" w:type="dxa"/>
                  <w:vAlign w:val="center"/>
                </w:tcPr>
                <w:p>
                  <w:pPr>
                    <w:widowControl/>
                    <w:autoSpaceDE w:val="0"/>
                    <w:autoSpaceDN w:val="0"/>
                    <w:adjustRightInd w:val="0"/>
                    <w:snapToGrid w:val="0"/>
                    <w:jc w:val="center"/>
                    <w:rPr>
                      <w:color w:val="000000"/>
                      <w:kern w:val="0"/>
                      <w:szCs w:val="21"/>
                    </w:rPr>
                  </w:pPr>
                  <w:r>
                    <w:rPr>
                      <w:rFonts w:hint="eastAsia" w:hAnsi="宋体"/>
                      <w:color w:val="000000"/>
                      <w:kern w:val="0"/>
                      <w:szCs w:val="21"/>
                      <w:lang w:val="en-US" w:eastAsia="zh-CN"/>
                    </w:rPr>
                    <w:t>2</w:t>
                  </w:r>
                  <w:r>
                    <w:rPr>
                      <w:rFonts w:hint="eastAsia"/>
                      <w:color w:val="000000"/>
                      <w:kern w:val="0"/>
                      <w:szCs w:val="21"/>
                    </w:rPr>
                    <w:t>t/a</w:t>
                  </w:r>
                </w:p>
              </w:tc>
              <w:tc>
                <w:tcPr>
                  <w:tcW w:w="1109" w:type="dxa"/>
                  <w:vMerge w:val="restart"/>
                  <w:vAlign w:val="center"/>
                </w:tcPr>
                <w:p>
                  <w:pPr>
                    <w:jc w:val="center"/>
                    <w:rPr>
                      <w:szCs w:val="21"/>
                    </w:rPr>
                  </w:pPr>
                  <w:r>
                    <w:rPr>
                      <w:szCs w:val="21"/>
                    </w:rPr>
                    <w:t>一般工业固废</w:t>
                  </w:r>
                </w:p>
              </w:tc>
              <w:tc>
                <w:tcPr>
                  <w:tcW w:w="2660" w:type="dxa"/>
                  <w:vAlign w:val="center"/>
                </w:tcPr>
                <w:p>
                  <w:pPr>
                    <w:rPr>
                      <w:szCs w:val="21"/>
                    </w:rPr>
                  </w:pPr>
                  <w:r>
                    <w:rPr>
                      <w:rFonts w:hint="eastAsia"/>
                      <w:szCs w:val="21"/>
                    </w:rPr>
                    <w:t>固废堆场</w:t>
                  </w:r>
                  <w:r>
                    <w:rPr>
                      <w:szCs w:val="21"/>
                    </w:rPr>
                    <w:t>暂存</w:t>
                  </w:r>
                  <w:r>
                    <w:rPr>
                      <w:rFonts w:hint="eastAsia"/>
                      <w:szCs w:val="21"/>
                    </w:rPr>
                    <w:t>后</w:t>
                  </w:r>
                  <w:r>
                    <w:rPr>
                      <w:szCs w:val="21"/>
                    </w:rPr>
                    <w:t>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val="en-US" w:eastAsia="zh-CN"/>
                    </w:rPr>
                  </w:pPr>
                  <w:r>
                    <w:rPr>
                      <w:rFonts w:hint="eastAsia"/>
                      <w:szCs w:val="21"/>
                      <w:lang w:val="en-US" w:eastAsia="zh-CN"/>
                    </w:rPr>
                    <w:t>3</w:t>
                  </w:r>
                </w:p>
              </w:tc>
              <w:tc>
                <w:tcPr>
                  <w:tcW w:w="1915" w:type="dxa"/>
                  <w:vAlign w:val="center"/>
                </w:tcPr>
                <w:p>
                  <w:pPr>
                    <w:widowControl/>
                    <w:autoSpaceDE w:val="0"/>
                    <w:autoSpaceDN w:val="0"/>
                    <w:adjustRightInd w:val="0"/>
                    <w:snapToGrid w:val="0"/>
                    <w:jc w:val="center"/>
                    <w:rPr>
                      <w:rFonts w:hint="eastAsia" w:eastAsia="宋体"/>
                      <w:color w:val="000000"/>
                      <w:kern w:val="0"/>
                      <w:szCs w:val="21"/>
                      <w:u w:val="single"/>
                      <w:lang w:eastAsia="zh-CN"/>
                    </w:rPr>
                  </w:pPr>
                  <w:r>
                    <w:rPr>
                      <w:rFonts w:hint="eastAsia"/>
                      <w:color w:val="000000"/>
                      <w:kern w:val="0"/>
                      <w:szCs w:val="21"/>
                      <w:u w:val="single"/>
                      <w:lang w:eastAsia="zh-CN"/>
                    </w:rPr>
                    <w:t>袋式除尘器收集的粉尘</w:t>
                  </w:r>
                </w:p>
              </w:tc>
              <w:tc>
                <w:tcPr>
                  <w:tcW w:w="1155" w:type="dxa"/>
                  <w:vAlign w:val="center"/>
                </w:tcPr>
                <w:p>
                  <w:pPr>
                    <w:widowControl/>
                    <w:autoSpaceDE w:val="0"/>
                    <w:autoSpaceDN w:val="0"/>
                    <w:adjustRightInd w:val="0"/>
                    <w:snapToGrid w:val="0"/>
                    <w:jc w:val="center"/>
                    <w:rPr>
                      <w:rFonts w:hint="eastAsia" w:hAnsi="宋体"/>
                      <w:color w:val="000000"/>
                      <w:kern w:val="0"/>
                      <w:szCs w:val="21"/>
                      <w:u w:val="single"/>
                      <w:lang w:val="en-US" w:eastAsia="zh-CN"/>
                    </w:rPr>
                  </w:pPr>
                  <w:r>
                    <w:rPr>
                      <w:rFonts w:hint="eastAsia" w:hAnsi="宋体"/>
                      <w:color w:val="000000"/>
                      <w:kern w:val="0"/>
                      <w:szCs w:val="21"/>
                      <w:u w:val="single"/>
                      <w:lang w:val="en-US" w:eastAsia="zh-CN"/>
                    </w:rPr>
                    <w:t>0.025t/a</w:t>
                  </w:r>
                </w:p>
              </w:tc>
              <w:tc>
                <w:tcPr>
                  <w:tcW w:w="1109" w:type="dxa"/>
                  <w:vMerge w:val="continue"/>
                  <w:vAlign w:val="center"/>
                </w:tcPr>
                <w:p>
                  <w:pPr>
                    <w:jc w:val="center"/>
                    <w:rPr>
                      <w:szCs w:val="21"/>
                    </w:rPr>
                  </w:pPr>
                </w:p>
              </w:tc>
              <w:tc>
                <w:tcPr>
                  <w:tcW w:w="2660" w:type="dxa"/>
                  <w:vAlign w:val="center"/>
                </w:tcPr>
                <w:p>
                  <w:pPr>
                    <w:rPr>
                      <w:rFonts w:hint="eastAsia"/>
                      <w:szCs w:val="21"/>
                    </w:rPr>
                  </w:pPr>
                  <w:r>
                    <w:rPr>
                      <w:rFonts w:hint="eastAsia"/>
                      <w:szCs w:val="21"/>
                    </w:rPr>
                    <w:t>固废堆场</w:t>
                  </w:r>
                  <w:r>
                    <w:rPr>
                      <w:szCs w:val="21"/>
                    </w:rPr>
                    <w:t>暂存</w:t>
                  </w:r>
                  <w:r>
                    <w:rPr>
                      <w:rFonts w:hint="eastAsia"/>
                      <w:szCs w:val="21"/>
                    </w:rPr>
                    <w:t>后</w:t>
                  </w:r>
                  <w:r>
                    <w:rPr>
                      <w:szCs w:val="21"/>
                    </w:rPr>
                    <w:t>外售</w:t>
                  </w:r>
                </w:p>
              </w:tc>
              <w:tc>
                <w:tcPr>
                  <w:tcW w:w="1559" w:type="dxa"/>
                  <w:vAlign w:val="center"/>
                </w:tcPr>
                <w:p>
                  <w:pPr>
                    <w:jc w:val="center"/>
                    <w:rPr>
                      <w:rFonts w:hint="eastAsia"/>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eastAsia="zh-CN"/>
                    </w:rPr>
                  </w:pPr>
                  <w:r>
                    <w:rPr>
                      <w:rFonts w:hint="eastAsia"/>
                      <w:szCs w:val="21"/>
                      <w:lang w:val="en-US" w:eastAsia="zh-CN"/>
                    </w:rPr>
                    <w:t>4</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115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0.1t/a</w:t>
                  </w:r>
                </w:p>
              </w:tc>
              <w:tc>
                <w:tcPr>
                  <w:tcW w:w="1109" w:type="dxa"/>
                  <w:vMerge w:val="continue"/>
                  <w:vAlign w:val="center"/>
                </w:tcPr>
                <w:p>
                  <w:pPr>
                    <w:jc w:val="center"/>
                    <w:rPr>
                      <w:szCs w:val="21"/>
                    </w:rPr>
                  </w:pPr>
                </w:p>
              </w:tc>
              <w:tc>
                <w:tcPr>
                  <w:tcW w:w="2660" w:type="dxa"/>
                  <w:vAlign w:val="center"/>
                </w:tcPr>
                <w:p>
                  <w:pPr>
                    <w:rPr>
                      <w:szCs w:val="21"/>
                    </w:rPr>
                  </w:pPr>
                  <w:r>
                    <w:rPr>
                      <w:rFonts w:hint="eastAsia"/>
                      <w:szCs w:val="21"/>
                    </w:rPr>
                    <w:t>车间固废堆场</w:t>
                  </w:r>
                  <w:r>
                    <w:rPr>
                      <w:szCs w:val="21"/>
                    </w:rPr>
                    <w:t>暂存</w:t>
                  </w:r>
                  <w:r>
                    <w:rPr>
                      <w:rFonts w:hint="eastAsia"/>
                      <w:szCs w:val="21"/>
                    </w:rPr>
                    <w:t>后外售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eastAsia="zh-CN"/>
                    </w:rPr>
                  </w:pPr>
                  <w:r>
                    <w:rPr>
                      <w:rFonts w:hint="eastAsia"/>
                      <w:szCs w:val="21"/>
                      <w:lang w:val="en-US" w:eastAsia="zh-CN"/>
                    </w:rPr>
                    <w:t>5</w:t>
                  </w:r>
                </w:p>
              </w:tc>
              <w:tc>
                <w:tcPr>
                  <w:tcW w:w="1915" w:type="dxa"/>
                  <w:vAlign w:val="center"/>
                </w:tcPr>
                <w:p>
                  <w:pPr>
                    <w:jc w:val="center"/>
                    <w:rPr>
                      <w:szCs w:val="21"/>
                    </w:rPr>
                  </w:pPr>
                  <w:r>
                    <w:rPr>
                      <w:szCs w:val="21"/>
                    </w:rPr>
                    <w:t>废</w:t>
                  </w:r>
                  <w:r>
                    <w:rPr>
                      <w:rFonts w:hint="eastAsia"/>
                      <w:szCs w:val="21"/>
                    </w:rPr>
                    <w:t>机油</w:t>
                  </w:r>
                </w:p>
              </w:tc>
              <w:tc>
                <w:tcPr>
                  <w:tcW w:w="1155" w:type="dxa"/>
                  <w:vAlign w:val="center"/>
                </w:tcPr>
                <w:p>
                  <w:pPr>
                    <w:jc w:val="center"/>
                    <w:rPr>
                      <w:szCs w:val="21"/>
                    </w:rPr>
                  </w:pPr>
                  <w:r>
                    <w:rPr>
                      <w:rFonts w:hint="eastAsia"/>
                      <w:szCs w:val="21"/>
                    </w:rPr>
                    <w:t>0.01t/a</w:t>
                  </w:r>
                </w:p>
              </w:tc>
              <w:tc>
                <w:tcPr>
                  <w:tcW w:w="1109" w:type="dxa"/>
                  <w:vAlign w:val="center"/>
                </w:tcPr>
                <w:p>
                  <w:pPr>
                    <w:jc w:val="center"/>
                    <w:rPr>
                      <w:rFonts w:hint="eastAsia" w:eastAsia="宋体"/>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szCs w:val="21"/>
                    </w:rPr>
                  </w:pPr>
                  <w:r>
                    <w:rPr>
                      <w:rFonts w:hint="eastAsia"/>
                      <w:szCs w:val="21"/>
                    </w:rPr>
                    <w:t>900-249-08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szCs w:val="21"/>
                      <w:lang w:val="en-US" w:eastAsia="zh-CN"/>
                    </w:rPr>
                  </w:pPr>
                  <w:r>
                    <w:rPr>
                      <w:rFonts w:hint="eastAsia"/>
                      <w:szCs w:val="21"/>
                      <w:lang w:val="en-US" w:eastAsia="zh-CN"/>
                    </w:rPr>
                    <w:t>6</w:t>
                  </w:r>
                </w:p>
              </w:tc>
              <w:tc>
                <w:tcPr>
                  <w:tcW w:w="1915" w:type="dxa"/>
                  <w:vAlign w:val="center"/>
                </w:tcPr>
                <w:p>
                  <w:pPr>
                    <w:jc w:val="center"/>
                    <w:rPr>
                      <w:szCs w:val="21"/>
                    </w:rPr>
                  </w:pPr>
                  <w:r>
                    <w:rPr>
                      <w:szCs w:val="21"/>
                    </w:rPr>
                    <w:t>废</w:t>
                  </w:r>
                  <w:r>
                    <w:rPr>
                      <w:rFonts w:hint="eastAsia"/>
                      <w:szCs w:val="21"/>
                      <w:lang w:eastAsia="zh-CN"/>
                    </w:rPr>
                    <w:t>液压</w:t>
                  </w:r>
                  <w:r>
                    <w:rPr>
                      <w:rFonts w:hint="eastAsia"/>
                      <w:szCs w:val="21"/>
                    </w:rPr>
                    <w:t>油</w:t>
                  </w:r>
                </w:p>
              </w:tc>
              <w:tc>
                <w:tcPr>
                  <w:tcW w:w="1155" w:type="dxa"/>
                  <w:vAlign w:val="center"/>
                </w:tcPr>
                <w:p>
                  <w:pPr>
                    <w:jc w:val="center"/>
                    <w:rPr>
                      <w:rFonts w:hint="eastAsia"/>
                      <w:szCs w:val="21"/>
                    </w:rPr>
                  </w:pPr>
                  <w:r>
                    <w:rPr>
                      <w:rFonts w:hint="eastAsia"/>
                      <w:szCs w:val="21"/>
                    </w:rPr>
                    <w:t>0.01t/a</w:t>
                  </w:r>
                </w:p>
              </w:tc>
              <w:tc>
                <w:tcPr>
                  <w:tcW w:w="1109" w:type="dxa"/>
                  <w:vAlign w:val="center"/>
                </w:tcPr>
                <w:p>
                  <w:pPr>
                    <w:jc w:val="center"/>
                    <w:rPr>
                      <w:rFonts w:hint="eastAsia"/>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rFonts w:hint="eastAsia"/>
                      <w:szCs w:val="21"/>
                    </w:rPr>
                  </w:pPr>
                  <w:r>
                    <w:rPr>
                      <w:rFonts w:hint="eastAsia"/>
                      <w:szCs w:val="21"/>
                    </w:rPr>
                    <w:t>900-249-08</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contextualSpacing/>
              <w:jc w:val="both"/>
              <w:textAlignment w:val="auto"/>
              <w:outlineLvl w:val="9"/>
              <w:rPr>
                <w:bCs/>
                <w:color w:val="000000"/>
                <w:sz w:val="24"/>
                <w:szCs w:val="24"/>
                <w:u w:val="none"/>
              </w:rPr>
            </w:pPr>
            <w:r>
              <w:rPr>
                <w:rFonts w:hint="eastAsia"/>
                <w:color w:val="000000"/>
                <w:sz w:val="24"/>
                <w:szCs w:val="24"/>
                <w:u w:val="none"/>
              </w:rPr>
              <w:t>4.2固废防治措施可行性分析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sz w:val="24"/>
                <w:szCs w:val="24"/>
                <w:u w:val="single"/>
              </w:rPr>
            </w:pPr>
            <w:r>
              <w:rPr>
                <w:rFonts w:hint="eastAsia"/>
                <w:sz w:val="24"/>
                <w:szCs w:val="24"/>
                <w:u w:val="single"/>
              </w:rPr>
              <w:t>一般固体废物：</w:t>
            </w:r>
            <w:r>
              <w:rPr>
                <w:sz w:val="24"/>
                <w:szCs w:val="24"/>
                <w:u w:val="single"/>
              </w:rPr>
              <w:t>按照《一般工业固体废物贮存、处置场污染控制标准》</w:t>
            </w:r>
            <w:r>
              <w:rPr>
                <w:rFonts w:hint="eastAsia"/>
                <w:sz w:val="24"/>
                <w:szCs w:val="24"/>
                <w:u w:val="single"/>
              </w:rPr>
              <w:t>（GB18599-2001）及2013年修改单</w:t>
            </w:r>
            <w:r>
              <w:rPr>
                <w:sz w:val="24"/>
                <w:szCs w:val="24"/>
                <w:u w:val="single"/>
              </w:rPr>
              <w:t>的规定</w:t>
            </w:r>
            <w:r>
              <w:rPr>
                <w:rFonts w:hint="eastAsia"/>
                <w:bCs/>
                <w:sz w:val="24"/>
                <w:szCs w:val="24"/>
                <w:u w:val="single"/>
              </w:rPr>
              <w:t>设置</w:t>
            </w:r>
            <w:r>
              <w:rPr>
                <w:bCs/>
                <w:sz w:val="24"/>
                <w:szCs w:val="24"/>
                <w:u w:val="single"/>
              </w:rPr>
              <w:t>专门的贮存区</w:t>
            </w:r>
            <w:r>
              <w:rPr>
                <w:rFonts w:hint="eastAsia"/>
                <w:bCs/>
                <w:sz w:val="24"/>
                <w:szCs w:val="24"/>
                <w:u w:val="single"/>
              </w:rPr>
              <w:t>，并设置标识标牌，</w:t>
            </w:r>
            <w:r>
              <w:rPr>
                <w:rFonts w:hint="eastAsia"/>
                <w:sz w:val="24"/>
                <w:szCs w:val="24"/>
                <w:u w:val="single"/>
              </w:rPr>
              <w:t>本项目废料堆场地面经硬化处理，用于存放废金属料、废包装袋。本项目厂区固废暂存区位于车间内，地面经硬化处理，一般固体废物防治措施可行。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color w:val="000000"/>
                <w:sz w:val="24"/>
                <w:szCs w:val="24"/>
                <w:u w:val="single"/>
              </w:rPr>
            </w:pPr>
            <w:r>
              <w:rPr>
                <w:rFonts w:hint="eastAsia"/>
                <w:color w:val="000000"/>
                <w:sz w:val="24"/>
                <w:szCs w:val="24"/>
                <w:u w:val="single"/>
              </w:rPr>
              <w:t>危险废物：在生产过程中产生的危险废物，按照《危险废物贮存污染控制标准》（GB18597-2001）及2013 年修改单要求设置危险废物暂存间，危废暂存区应建设基础防渗设施，防风、防雨、防晒，危废区周边设置0.5m高围堰，必须定期检查，确保完好无损，防止泄露造成二次污染，并按规定设立危险废物标志。危险废物要用不易破损、变形、老化、能有效防止渗透、扩散的容器储存，装有危险废物的容器必须贴标签。起运时包装要完整，装载应稳妥，危险废物的转运严格按照有关规定，实行联单制度。</w:t>
            </w:r>
            <w:r>
              <w:rPr>
                <w:color w:val="000000"/>
                <w:sz w:val="24"/>
                <w:szCs w:val="24"/>
                <w:u w:val="single"/>
              </w:rPr>
              <w:t>危险废物的转运严格按照有关规定，实行联单制度</w:t>
            </w:r>
            <w:r>
              <w:rPr>
                <w:rFonts w:hint="eastAsia"/>
                <w:color w:val="000000"/>
                <w:sz w:val="24"/>
                <w:szCs w:val="24"/>
                <w:u w:val="single"/>
              </w:rPr>
              <w:t>，采取以上措施后本项目危废污染防治措施可行，危废暂存场所设置可行。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1440" w:firstLineChars="600"/>
              <w:jc w:val="both"/>
              <w:textAlignment w:val="auto"/>
              <w:outlineLvl w:val="9"/>
              <w:rPr>
                <w:rFonts w:eastAsia="黑体"/>
                <w:color w:val="000000"/>
                <w:sz w:val="28"/>
                <w:u w:val="single"/>
              </w:rPr>
            </w:pPr>
            <w:r>
              <w:rPr>
                <w:rFonts w:eastAsia="黑体"/>
                <w:color w:val="000000"/>
                <w:sz w:val="24"/>
                <w:u w:val="single"/>
              </w:rPr>
              <w:t>表</w:t>
            </w:r>
            <w:r>
              <w:rPr>
                <w:rFonts w:hint="eastAsia" w:eastAsia="黑体"/>
                <w:color w:val="000000"/>
                <w:sz w:val="24"/>
                <w:u w:val="single"/>
                <w:lang w:val="en-US" w:eastAsia="zh-CN"/>
              </w:rPr>
              <w:t>34</w:t>
            </w:r>
            <w:r>
              <w:rPr>
                <w:rFonts w:eastAsia="黑体"/>
                <w:color w:val="000000"/>
                <w:sz w:val="24"/>
                <w:u w:val="single"/>
              </w:rPr>
              <w:t xml:space="preserve"> </w:t>
            </w:r>
            <w:r>
              <w:rPr>
                <w:rFonts w:hint="eastAsia" w:eastAsia="黑体"/>
                <w:color w:val="000000"/>
                <w:sz w:val="24"/>
                <w:u w:val="single"/>
              </w:rPr>
              <w:t xml:space="preserve">     </w:t>
            </w:r>
            <w:r>
              <w:rPr>
                <w:rFonts w:eastAsia="黑体"/>
                <w:color w:val="000000"/>
                <w:sz w:val="24"/>
                <w:u w:val="single"/>
              </w:rPr>
              <w:t xml:space="preserve">   </w:t>
            </w:r>
            <w:r>
              <w:rPr>
                <w:rFonts w:hint="eastAsia" w:eastAsia="黑体"/>
                <w:color w:val="000000"/>
                <w:sz w:val="24"/>
                <w:u w:val="single"/>
              </w:rPr>
              <w:t xml:space="preserve"> 危险废物贮存设施汇总表</w:t>
            </w:r>
            <w:r>
              <w:rPr>
                <w:rFonts w:eastAsia="黑体"/>
                <w:color w:val="000000"/>
                <w:sz w:val="24"/>
                <w:u w:val="single"/>
              </w:rPr>
              <w:t xml:space="preserve"> </w:t>
            </w:r>
          </w:p>
          <w:tbl>
            <w:tblPr>
              <w:tblStyle w:val="27"/>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331"/>
              <w:gridCol w:w="823"/>
              <w:gridCol w:w="956"/>
              <w:gridCol w:w="484"/>
              <w:gridCol w:w="954"/>
              <w:gridCol w:w="852"/>
              <w:gridCol w:w="6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3"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危废名称</w:t>
                  </w:r>
                </w:p>
              </w:tc>
              <w:tc>
                <w:tcPr>
                  <w:tcW w:w="1331"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危废类别</w:t>
                  </w:r>
                </w:p>
                <w:p>
                  <w:pPr>
                    <w:widowControl/>
                    <w:spacing w:line="240" w:lineRule="auto"/>
                    <w:jc w:val="center"/>
                    <w:rPr>
                      <w:bCs/>
                      <w:color w:val="000000"/>
                      <w:sz w:val="18"/>
                      <w:szCs w:val="18"/>
                      <w:u w:val="none"/>
                    </w:rPr>
                  </w:pPr>
                  <w:r>
                    <w:rPr>
                      <w:rFonts w:hint="eastAsia"/>
                      <w:bCs/>
                      <w:color w:val="000000"/>
                      <w:sz w:val="18"/>
                      <w:szCs w:val="18"/>
                      <w:u w:val="none"/>
                    </w:rPr>
                    <w:t>及代码</w:t>
                  </w:r>
                </w:p>
              </w:tc>
              <w:tc>
                <w:tcPr>
                  <w:tcW w:w="823"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产生量</w:t>
                  </w:r>
                </w:p>
              </w:tc>
              <w:tc>
                <w:tcPr>
                  <w:tcW w:w="956"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产生</w:t>
                  </w:r>
                </w:p>
                <w:p>
                  <w:pPr>
                    <w:widowControl/>
                    <w:spacing w:line="240" w:lineRule="auto"/>
                    <w:jc w:val="center"/>
                    <w:rPr>
                      <w:bCs/>
                      <w:color w:val="000000"/>
                      <w:sz w:val="18"/>
                      <w:szCs w:val="18"/>
                      <w:u w:val="none"/>
                    </w:rPr>
                  </w:pPr>
                  <w:r>
                    <w:rPr>
                      <w:rFonts w:hint="eastAsia"/>
                      <w:bCs/>
                      <w:color w:val="000000"/>
                      <w:sz w:val="18"/>
                      <w:szCs w:val="18"/>
                      <w:u w:val="none"/>
                    </w:rPr>
                    <w:t>工序及周期</w:t>
                  </w:r>
                </w:p>
              </w:tc>
              <w:tc>
                <w:tcPr>
                  <w:tcW w:w="48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形态</w:t>
                  </w:r>
                </w:p>
              </w:tc>
              <w:tc>
                <w:tcPr>
                  <w:tcW w:w="95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主要</w:t>
                  </w:r>
                </w:p>
                <w:p>
                  <w:pPr>
                    <w:widowControl/>
                    <w:spacing w:line="240" w:lineRule="auto"/>
                    <w:jc w:val="center"/>
                    <w:rPr>
                      <w:bCs/>
                      <w:color w:val="000000"/>
                      <w:sz w:val="18"/>
                      <w:szCs w:val="18"/>
                      <w:u w:val="none"/>
                    </w:rPr>
                  </w:pPr>
                  <w:r>
                    <w:rPr>
                      <w:rFonts w:hint="eastAsia"/>
                      <w:bCs/>
                      <w:color w:val="000000"/>
                      <w:sz w:val="18"/>
                      <w:szCs w:val="18"/>
                      <w:u w:val="none"/>
                    </w:rPr>
                    <w:t>成分</w:t>
                  </w:r>
                </w:p>
              </w:tc>
              <w:tc>
                <w:tcPr>
                  <w:tcW w:w="852"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贮存能力及周期</w:t>
                  </w:r>
                </w:p>
              </w:tc>
              <w:tc>
                <w:tcPr>
                  <w:tcW w:w="64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危险</w:t>
                  </w:r>
                </w:p>
                <w:p>
                  <w:pPr>
                    <w:widowControl/>
                    <w:spacing w:line="240" w:lineRule="auto"/>
                    <w:jc w:val="center"/>
                    <w:rPr>
                      <w:bCs/>
                      <w:color w:val="000000"/>
                      <w:sz w:val="18"/>
                      <w:szCs w:val="18"/>
                      <w:u w:val="none"/>
                    </w:rPr>
                  </w:pPr>
                  <w:r>
                    <w:rPr>
                      <w:rFonts w:hint="eastAsia"/>
                      <w:bCs/>
                      <w:color w:val="000000"/>
                      <w:sz w:val="18"/>
                      <w:szCs w:val="18"/>
                      <w:u w:val="none"/>
                    </w:rPr>
                    <w:t>特性</w:t>
                  </w:r>
                </w:p>
              </w:tc>
              <w:tc>
                <w:tcPr>
                  <w:tcW w:w="2268"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03" w:type="dxa"/>
                  <w:shd w:val="clear" w:color="auto" w:fill="auto"/>
                  <w:vAlign w:val="center"/>
                </w:tcPr>
                <w:p>
                  <w:pPr>
                    <w:spacing w:line="240" w:lineRule="auto"/>
                    <w:jc w:val="center"/>
                    <w:rPr>
                      <w:color w:val="000000"/>
                      <w:sz w:val="18"/>
                      <w:szCs w:val="18"/>
                      <w:u w:val="none"/>
                    </w:rPr>
                  </w:pPr>
                  <w:r>
                    <w:rPr>
                      <w:color w:val="000000"/>
                      <w:sz w:val="18"/>
                      <w:szCs w:val="18"/>
                      <w:u w:val="none"/>
                    </w:rPr>
                    <w:t>废</w:t>
                  </w:r>
                  <w:r>
                    <w:rPr>
                      <w:rFonts w:hint="eastAsia"/>
                      <w:color w:val="000000"/>
                      <w:sz w:val="18"/>
                      <w:szCs w:val="18"/>
                      <w:u w:val="none"/>
                    </w:rPr>
                    <w:t>机油</w:t>
                  </w:r>
                </w:p>
              </w:tc>
              <w:tc>
                <w:tcPr>
                  <w:tcW w:w="1331" w:type="dxa"/>
                  <w:shd w:val="clear" w:color="auto" w:fill="auto"/>
                  <w:vAlign w:val="center"/>
                </w:tcPr>
                <w:p>
                  <w:pPr>
                    <w:spacing w:line="240" w:lineRule="auto"/>
                    <w:jc w:val="center"/>
                    <w:rPr>
                      <w:color w:val="000000"/>
                      <w:sz w:val="18"/>
                      <w:szCs w:val="18"/>
                      <w:u w:val="none"/>
                    </w:rPr>
                  </w:pPr>
                  <w:r>
                    <w:rPr>
                      <w:color w:val="000000"/>
                      <w:sz w:val="18"/>
                      <w:szCs w:val="18"/>
                      <w:u w:val="none"/>
                    </w:rPr>
                    <w:t>编号HW08</w:t>
                  </w:r>
                  <w:r>
                    <w:rPr>
                      <w:rFonts w:hint="eastAsia"/>
                      <w:color w:val="000000"/>
                      <w:sz w:val="18"/>
                      <w:szCs w:val="18"/>
                      <w:u w:val="none"/>
                    </w:rPr>
                    <w:t>：</w:t>
                  </w:r>
                </w:p>
                <w:p>
                  <w:pPr>
                    <w:spacing w:line="240" w:lineRule="auto"/>
                    <w:jc w:val="center"/>
                    <w:rPr>
                      <w:color w:val="000000"/>
                      <w:sz w:val="18"/>
                      <w:szCs w:val="18"/>
                      <w:u w:val="none"/>
                    </w:rPr>
                  </w:pPr>
                  <w:r>
                    <w:rPr>
                      <w:rFonts w:hint="eastAsia"/>
                      <w:color w:val="000000"/>
                      <w:sz w:val="18"/>
                      <w:szCs w:val="18"/>
                      <w:u w:val="none"/>
                    </w:rPr>
                    <w:t>900-249-08</w:t>
                  </w:r>
                </w:p>
              </w:tc>
              <w:tc>
                <w:tcPr>
                  <w:tcW w:w="823" w:type="dxa"/>
                  <w:shd w:val="clear" w:color="auto" w:fill="auto"/>
                  <w:vAlign w:val="center"/>
                </w:tcPr>
                <w:p>
                  <w:pPr>
                    <w:widowControl/>
                    <w:autoSpaceDE w:val="0"/>
                    <w:autoSpaceDN w:val="0"/>
                    <w:adjustRightInd w:val="0"/>
                    <w:snapToGrid w:val="0"/>
                    <w:spacing w:line="240" w:lineRule="auto"/>
                    <w:jc w:val="center"/>
                    <w:rPr>
                      <w:color w:val="000000"/>
                      <w:kern w:val="0"/>
                      <w:sz w:val="18"/>
                      <w:szCs w:val="18"/>
                      <w:u w:val="none"/>
                    </w:rPr>
                  </w:pPr>
                  <w:r>
                    <w:rPr>
                      <w:color w:val="000000"/>
                      <w:kern w:val="0"/>
                      <w:sz w:val="18"/>
                      <w:szCs w:val="18"/>
                      <w:u w:val="none"/>
                    </w:rPr>
                    <w:t>0.</w:t>
                  </w:r>
                  <w:r>
                    <w:rPr>
                      <w:rFonts w:hint="eastAsia"/>
                      <w:color w:val="000000"/>
                      <w:kern w:val="0"/>
                      <w:sz w:val="18"/>
                      <w:szCs w:val="18"/>
                      <w:u w:val="none"/>
                    </w:rPr>
                    <w:t>0</w:t>
                  </w:r>
                  <w:r>
                    <w:rPr>
                      <w:rFonts w:hint="eastAsia"/>
                      <w:color w:val="000000"/>
                      <w:kern w:val="0"/>
                      <w:sz w:val="18"/>
                      <w:szCs w:val="18"/>
                      <w:u w:val="none"/>
                      <w:lang w:val="en-US" w:eastAsia="zh-CN"/>
                    </w:rPr>
                    <w:t>1</w:t>
                  </w:r>
                  <w:r>
                    <w:rPr>
                      <w:color w:val="000000"/>
                      <w:kern w:val="0"/>
                      <w:sz w:val="18"/>
                      <w:szCs w:val="18"/>
                      <w:u w:val="none"/>
                    </w:rPr>
                    <w:t>t/a</w:t>
                  </w:r>
                </w:p>
              </w:tc>
              <w:tc>
                <w:tcPr>
                  <w:tcW w:w="956"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机械设备使用1a/次</w:t>
                  </w:r>
                </w:p>
              </w:tc>
              <w:tc>
                <w:tcPr>
                  <w:tcW w:w="48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液态</w:t>
                  </w:r>
                </w:p>
              </w:tc>
              <w:tc>
                <w:tcPr>
                  <w:tcW w:w="95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矿物油</w:t>
                  </w:r>
                </w:p>
              </w:tc>
              <w:tc>
                <w:tcPr>
                  <w:tcW w:w="852"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0.05t，</w:t>
                  </w:r>
                </w:p>
                <w:p>
                  <w:pPr>
                    <w:widowControl/>
                    <w:spacing w:line="240" w:lineRule="auto"/>
                    <w:jc w:val="center"/>
                    <w:rPr>
                      <w:bCs/>
                      <w:color w:val="000000"/>
                      <w:sz w:val="18"/>
                      <w:szCs w:val="18"/>
                      <w:u w:val="none"/>
                    </w:rPr>
                  </w:pPr>
                  <w:r>
                    <w:rPr>
                      <w:rFonts w:hint="eastAsia"/>
                      <w:bCs/>
                      <w:color w:val="000000"/>
                      <w:sz w:val="18"/>
                      <w:szCs w:val="18"/>
                      <w:u w:val="none"/>
                    </w:rPr>
                    <w:t>1年</w:t>
                  </w:r>
                </w:p>
              </w:tc>
              <w:tc>
                <w:tcPr>
                  <w:tcW w:w="644"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毒性</w:t>
                  </w:r>
                </w:p>
              </w:tc>
              <w:tc>
                <w:tcPr>
                  <w:tcW w:w="2268" w:type="dxa"/>
                  <w:vMerge w:val="restart"/>
                  <w:shd w:val="clear" w:color="auto" w:fill="auto"/>
                  <w:vAlign w:val="center"/>
                </w:tcPr>
                <w:p>
                  <w:pPr>
                    <w:widowControl/>
                    <w:spacing w:line="240" w:lineRule="auto"/>
                    <w:rPr>
                      <w:color w:val="000000"/>
                      <w:sz w:val="18"/>
                      <w:szCs w:val="18"/>
                      <w:u w:val="none"/>
                    </w:rPr>
                  </w:pPr>
                  <w:r>
                    <w:rPr>
                      <w:rFonts w:hint="eastAsia"/>
                      <w:color w:val="000000"/>
                      <w:sz w:val="18"/>
                      <w:szCs w:val="18"/>
                      <w:u w:val="none"/>
                    </w:rPr>
                    <w:t>在车间内</w:t>
                  </w:r>
                  <w:r>
                    <w:rPr>
                      <w:rFonts w:hint="eastAsia"/>
                      <w:bCs/>
                      <w:color w:val="000000"/>
                      <w:sz w:val="18"/>
                      <w:szCs w:val="18"/>
                      <w:u w:val="none"/>
                    </w:rPr>
                    <w:t>5m</w:t>
                  </w:r>
                  <w:r>
                    <w:rPr>
                      <w:rFonts w:hint="eastAsia"/>
                      <w:bCs/>
                      <w:color w:val="000000"/>
                      <w:sz w:val="18"/>
                      <w:szCs w:val="18"/>
                      <w:u w:val="none"/>
                      <w:vertAlign w:val="superscript"/>
                    </w:rPr>
                    <w:t>2</w:t>
                  </w:r>
                  <w:r>
                    <w:rPr>
                      <w:rFonts w:hint="eastAsia"/>
                      <w:color w:val="000000"/>
                      <w:sz w:val="18"/>
                      <w:szCs w:val="18"/>
                      <w:u w:val="none"/>
                    </w:rPr>
                    <w:t>危废暂存区</w:t>
                  </w:r>
                  <w:r>
                    <w:rPr>
                      <w:rFonts w:hint="eastAsia"/>
                      <w:bCs/>
                      <w:color w:val="000000"/>
                      <w:sz w:val="18"/>
                      <w:szCs w:val="18"/>
                      <w:u w:val="none"/>
                    </w:rPr>
                    <w:t>金属容器</w:t>
                  </w:r>
                  <w:r>
                    <w:rPr>
                      <w:rFonts w:hint="eastAsia"/>
                      <w:color w:val="000000"/>
                      <w:sz w:val="18"/>
                      <w:szCs w:val="18"/>
                      <w:u w:val="none"/>
                    </w:rPr>
                    <w:t>暂存，定期交由有相应资质的危废处置单位处理处置。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03" w:type="dxa"/>
                  <w:shd w:val="clear" w:color="auto" w:fill="auto"/>
                  <w:vAlign w:val="center"/>
                </w:tcPr>
                <w:p>
                  <w:pPr>
                    <w:spacing w:line="240" w:lineRule="auto"/>
                    <w:jc w:val="center"/>
                    <w:rPr>
                      <w:color w:val="000000"/>
                      <w:sz w:val="18"/>
                      <w:szCs w:val="18"/>
                      <w:u w:val="none"/>
                    </w:rPr>
                  </w:pPr>
                  <w:r>
                    <w:rPr>
                      <w:color w:val="000000"/>
                      <w:sz w:val="18"/>
                      <w:szCs w:val="18"/>
                      <w:u w:val="none"/>
                    </w:rPr>
                    <w:t>废</w:t>
                  </w:r>
                  <w:r>
                    <w:rPr>
                      <w:rFonts w:hint="eastAsia"/>
                      <w:color w:val="000000"/>
                      <w:sz w:val="18"/>
                      <w:szCs w:val="18"/>
                      <w:u w:val="none"/>
                      <w:lang w:eastAsia="zh-CN"/>
                    </w:rPr>
                    <w:t>液压</w:t>
                  </w:r>
                  <w:r>
                    <w:rPr>
                      <w:rFonts w:hint="eastAsia"/>
                      <w:color w:val="000000"/>
                      <w:sz w:val="18"/>
                      <w:szCs w:val="18"/>
                      <w:u w:val="none"/>
                    </w:rPr>
                    <w:t>油</w:t>
                  </w:r>
                </w:p>
              </w:tc>
              <w:tc>
                <w:tcPr>
                  <w:tcW w:w="1331" w:type="dxa"/>
                  <w:shd w:val="clear" w:color="auto" w:fill="auto"/>
                  <w:vAlign w:val="center"/>
                </w:tcPr>
                <w:p>
                  <w:pPr>
                    <w:spacing w:line="240" w:lineRule="auto"/>
                    <w:jc w:val="center"/>
                    <w:rPr>
                      <w:color w:val="000000"/>
                      <w:sz w:val="18"/>
                      <w:szCs w:val="18"/>
                      <w:u w:val="none"/>
                    </w:rPr>
                  </w:pPr>
                  <w:r>
                    <w:rPr>
                      <w:color w:val="000000"/>
                      <w:sz w:val="18"/>
                      <w:szCs w:val="18"/>
                      <w:u w:val="none"/>
                    </w:rPr>
                    <w:t>编号HW08</w:t>
                  </w:r>
                  <w:r>
                    <w:rPr>
                      <w:rFonts w:hint="eastAsia"/>
                      <w:color w:val="000000"/>
                      <w:sz w:val="18"/>
                      <w:szCs w:val="18"/>
                      <w:u w:val="none"/>
                    </w:rPr>
                    <w:t>：</w:t>
                  </w:r>
                </w:p>
                <w:p>
                  <w:pPr>
                    <w:spacing w:line="240" w:lineRule="auto"/>
                    <w:jc w:val="center"/>
                    <w:rPr>
                      <w:rFonts w:hint="eastAsia"/>
                      <w:color w:val="000000"/>
                      <w:sz w:val="18"/>
                      <w:szCs w:val="18"/>
                      <w:u w:val="none"/>
                    </w:rPr>
                  </w:pPr>
                  <w:r>
                    <w:rPr>
                      <w:rFonts w:hint="eastAsia"/>
                      <w:color w:val="000000"/>
                      <w:sz w:val="18"/>
                      <w:szCs w:val="18"/>
                      <w:u w:val="none"/>
                    </w:rPr>
                    <w:t>900-249-08</w:t>
                  </w:r>
                </w:p>
              </w:tc>
              <w:tc>
                <w:tcPr>
                  <w:tcW w:w="823" w:type="dxa"/>
                  <w:shd w:val="clear" w:color="auto" w:fill="auto"/>
                  <w:vAlign w:val="center"/>
                </w:tcPr>
                <w:p>
                  <w:pPr>
                    <w:widowControl/>
                    <w:autoSpaceDE w:val="0"/>
                    <w:autoSpaceDN w:val="0"/>
                    <w:adjustRightInd w:val="0"/>
                    <w:snapToGrid w:val="0"/>
                    <w:spacing w:line="240" w:lineRule="auto"/>
                    <w:jc w:val="center"/>
                    <w:rPr>
                      <w:color w:val="000000"/>
                      <w:kern w:val="0"/>
                      <w:sz w:val="18"/>
                      <w:szCs w:val="18"/>
                      <w:u w:val="none"/>
                    </w:rPr>
                  </w:pPr>
                  <w:r>
                    <w:rPr>
                      <w:color w:val="000000"/>
                      <w:kern w:val="0"/>
                      <w:sz w:val="18"/>
                      <w:szCs w:val="18"/>
                      <w:u w:val="none"/>
                    </w:rPr>
                    <w:t>0.</w:t>
                  </w:r>
                  <w:r>
                    <w:rPr>
                      <w:rFonts w:hint="eastAsia"/>
                      <w:color w:val="000000"/>
                      <w:kern w:val="0"/>
                      <w:sz w:val="18"/>
                      <w:szCs w:val="18"/>
                      <w:u w:val="none"/>
                    </w:rPr>
                    <w:t>0</w:t>
                  </w:r>
                  <w:r>
                    <w:rPr>
                      <w:rFonts w:hint="eastAsia"/>
                      <w:color w:val="000000"/>
                      <w:kern w:val="0"/>
                      <w:sz w:val="18"/>
                      <w:szCs w:val="18"/>
                      <w:u w:val="none"/>
                      <w:lang w:val="en-US" w:eastAsia="zh-CN"/>
                    </w:rPr>
                    <w:t>1</w:t>
                  </w:r>
                  <w:r>
                    <w:rPr>
                      <w:color w:val="000000"/>
                      <w:kern w:val="0"/>
                      <w:sz w:val="18"/>
                      <w:szCs w:val="18"/>
                      <w:u w:val="none"/>
                    </w:rPr>
                    <w:t>t/a</w:t>
                  </w:r>
                </w:p>
              </w:tc>
              <w:tc>
                <w:tcPr>
                  <w:tcW w:w="956" w:type="dxa"/>
                  <w:shd w:val="clear" w:color="auto" w:fill="auto"/>
                  <w:vAlign w:val="center"/>
                </w:tcPr>
                <w:p>
                  <w:pPr>
                    <w:widowControl/>
                    <w:spacing w:line="240" w:lineRule="auto"/>
                    <w:jc w:val="center"/>
                    <w:rPr>
                      <w:rFonts w:hint="eastAsia"/>
                      <w:bCs/>
                      <w:color w:val="000000"/>
                      <w:sz w:val="18"/>
                      <w:szCs w:val="18"/>
                      <w:u w:val="none"/>
                    </w:rPr>
                  </w:pPr>
                  <w:r>
                    <w:rPr>
                      <w:rFonts w:hint="eastAsia"/>
                      <w:bCs/>
                      <w:color w:val="000000"/>
                      <w:sz w:val="18"/>
                      <w:szCs w:val="18"/>
                      <w:u w:val="none"/>
                    </w:rPr>
                    <w:t>机械设备使用1a/次</w:t>
                  </w:r>
                </w:p>
              </w:tc>
              <w:tc>
                <w:tcPr>
                  <w:tcW w:w="484" w:type="dxa"/>
                  <w:shd w:val="clear" w:color="auto" w:fill="auto"/>
                  <w:vAlign w:val="center"/>
                </w:tcPr>
                <w:p>
                  <w:pPr>
                    <w:widowControl/>
                    <w:spacing w:line="240" w:lineRule="auto"/>
                    <w:jc w:val="center"/>
                    <w:rPr>
                      <w:rFonts w:hint="eastAsia"/>
                      <w:bCs/>
                      <w:color w:val="000000"/>
                      <w:sz w:val="18"/>
                      <w:szCs w:val="18"/>
                      <w:u w:val="none"/>
                    </w:rPr>
                  </w:pPr>
                  <w:r>
                    <w:rPr>
                      <w:rFonts w:hint="eastAsia"/>
                      <w:bCs/>
                      <w:color w:val="000000"/>
                      <w:sz w:val="18"/>
                      <w:szCs w:val="18"/>
                      <w:u w:val="none"/>
                    </w:rPr>
                    <w:t>液态</w:t>
                  </w:r>
                </w:p>
              </w:tc>
              <w:tc>
                <w:tcPr>
                  <w:tcW w:w="954" w:type="dxa"/>
                  <w:shd w:val="clear" w:color="auto" w:fill="auto"/>
                  <w:vAlign w:val="center"/>
                </w:tcPr>
                <w:p>
                  <w:pPr>
                    <w:widowControl/>
                    <w:spacing w:line="240" w:lineRule="auto"/>
                    <w:jc w:val="center"/>
                    <w:rPr>
                      <w:rFonts w:hint="eastAsia"/>
                      <w:bCs/>
                      <w:color w:val="000000"/>
                      <w:sz w:val="18"/>
                      <w:szCs w:val="18"/>
                      <w:u w:val="none"/>
                    </w:rPr>
                  </w:pPr>
                  <w:r>
                    <w:rPr>
                      <w:rFonts w:hint="eastAsia"/>
                      <w:bCs/>
                      <w:color w:val="000000"/>
                      <w:sz w:val="18"/>
                      <w:szCs w:val="18"/>
                      <w:u w:val="none"/>
                    </w:rPr>
                    <w:t>矿物油</w:t>
                  </w:r>
                </w:p>
              </w:tc>
              <w:tc>
                <w:tcPr>
                  <w:tcW w:w="852" w:type="dxa"/>
                  <w:shd w:val="clear" w:color="auto" w:fill="auto"/>
                  <w:vAlign w:val="center"/>
                </w:tcPr>
                <w:p>
                  <w:pPr>
                    <w:widowControl/>
                    <w:spacing w:line="240" w:lineRule="auto"/>
                    <w:jc w:val="center"/>
                    <w:rPr>
                      <w:bCs/>
                      <w:color w:val="000000"/>
                      <w:sz w:val="18"/>
                      <w:szCs w:val="18"/>
                      <w:u w:val="none"/>
                    </w:rPr>
                  </w:pPr>
                  <w:r>
                    <w:rPr>
                      <w:rFonts w:hint="eastAsia"/>
                      <w:bCs/>
                      <w:color w:val="000000"/>
                      <w:sz w:val="18"/>
                      <w:szCs w:val="18"/>
                      <w:u w:val="none"/>
                    </w:rPr>
                    <w:t>0.05t，</w:t>
                  </w:r>
                </w:p>
                <w:p>
                  <w:pPr>
                    <w:widowControl/>
                    <w:spacing w:line="240" w:lineRule="auto"/>
                    <w:jc w:val="center"/>
                    <w:rPr>
                      <w:rFonts w:hint="eastAsia"/>
                      <w:bCs/>
                      <w:color w:val="000000"/>
                      <w:sz w:val="18"/>
                      <w:szCs w:val="18"/>
                      <w:u w:val="none"/>
                    </w:rPr>
                  </w:pPr>
                  <w:r>
                    <w:rPr>
                      <w:rFonts w:hint="eastAsia"/>
                      <w:bCs/>
                      <w:color w:val="000000"/>
                      <w:sz w:val="18"/>
                      <w:szCs w:val="18"/>
                      <w:u w:val="none"/>
                    </w:rPr>
                    <w:t>1年</w:t>
                  </w:r>
                </w:p>
              </w:tc>
              <w:tc>
                <w:tcPr>
                  <w:tcW w:w="644" w:type="dxa"/>
                  <w:shd w:val="clear" w:color="auto" w:fill="auto"/>
                  <w:vAlign w:val="center"/>
                </w:tcPr>
                <w:p>
                  <w:pPr>
                    <w:widowControl/>
                    <w:spacing w:line="240" w:lineRule="auto"/>
                    <w:jc w:val="center"/>
                    <w:rPr>
                      <w:rFonts w:hint="eastAsia"/>
                      <w:bCs/>
                      <w:color w:val="000000"/>
                      <w:sz w:val="18"/>
                      <w:szCs w:val="18"/>
                      <w:u w:val="none"/>
                    </w:rPr>
                  </w:pPr>
                  <w:r>
                    <w:rPr>
                      <w:rFonts w:hint="eastAsia"/>
                      <w:bCs/>
                      <w:color w:val="000000"/>
                      <w:sz w:val="18"/>
                      <w:szCs w:val="18"/>
                      <w:u w:val="none"/>
                    </w:rPr>
                    <w:t>毒性</w:t>
                  </w:r>
                </w:p>
              </w:tc>
              <w:tc>
                <w:tcPr>
                  <w:tcW w:w="2268" w:type="dxa"/>
                  <w:vMerge w:val="continue"/>
                  <w:shd w:val="clear" w:color="auto" w:fill="auto"/>
                  <w:vAlign w:val="center"/>
                </w:tcPr>
                <w:p>
                  <w:pPr>
                    <w:widowControl/>
                    <w:spacing w:line="240" w:lineRule="auto"/>
                    <w:rPr>
                      <w:rFonts w:hint="eastAsia"/>
                      <w:color w:val="000000"/>
                      <w:sz w:val="18"/>
                      <w:szCs w:val="18"/>
                      <w:u w:val="none"/>
                    </w:rPr>
                  </w:pPr>
                </w:p>
              </w:tc>
            </w:tr>
          </w:tbl>
          <w:p>
            <w:pPr>
              <w:widowControl/>
              <w:spacing w:line="360" w:lineRule="auto"/>
              <w:ind w:firstLine="480" w:firstLineChars="200"/>
              <w:rPr>
                <w:bCs/>
                <w:sz w:val="24"/>
                <w:szCs w:val="24"/>
                <w:u w:val="none"/>
              </w:rPr>
            </w:pPr>
            <w:r>
              <w:rPr>
                <w:rFonts w:hint="eastAsia"/>
                <w:bCs/>
                <w:sz w:val="24"/>
                <w:szCs w:val="24"/>
                <w:u w:val="none"/>
              </w:rPr>
              <w:t>综上本项目所有固体废物均能得到了合理处置，不会对外界环境产生较大影响。</w:t>
            </w:r>
          </w:p>
          <w:p>
            <w:pPr>
              <w:pStyle w:val="9"/>
              <w:spacing w:after="0" w:line="360" w:lineRule="auto"/>
              <w:ind w:firstLine="0" w:firstLineChars="0"/>
              <w:rPr>
                <w:color w:val="auto"/>
                <w:sz w:val="24"/>
                <w:szCs w:val="24"/>
                <w:u w:val="none"/>
              </w:rPr>
            </w:pPr>
            <w:r>
              <w:rPr>
                <w:rFonts w:hint="eastAsia"/>
                <w:color w:val="auto"/>
                <w:sz w:val="24"/>
                <w:szCs w:val="24"/>
                <w:u w:val="none"/>
              </w:rPr>
              <w:t>4.3</w:t>
            </w:r>
            <w:r>
              <w:rPr>
                <w:color w:val="auto"/>
                <w:sz w:val="24"/>
                <w:szCs w:val="24"/>
                <w:u w:val="none"/>
              </w:rPr>
              <w:t>危险废物管理制度：</w:t>
            </w:r>
          </w:p>
          <w:p>
            <w:pPr>
              <w:pStyle w:val="9"/>
              <w:spacing w:after="0" w:line="360" w:lineRule="auto"/>
              <w:ind w:firstLine="480"/>
              <w:rPr>
                <w:color w:val="auto"/>
                <w:sz w:val="24"/>
                <w:szCs w:val="24"/>
                <w:u w:val="none"/>
              </w:rPr>
            </w:pPr>
            <w:r>
              <w:rPr>
                <w:color w:val="auto"/>
                <w:sz w:val="24"/>
                <w:szCs w:val="24"/>
                <w:u w:val="none"/>
              </w:rPr>
              <w:t>①危险废物的容器和包装物以及收集、暂存、转移、处置危险废物的设施、场所，必须设置危险废物识别标志。</w:t>
            </w:r>
          </w:p>
          <w:p>
            <w:pPr>
              <w:pStyle w:val="9"/>
              <w:spacing w:after="0" w:line="360" w:lineRule="auto"/>
              <w:ind w:firstLine="480"/>
              <w:rPr>
                <w:color w:val="auto"/>
                <w:sz w:val="24"/>
                <w:szCs w:val="24"/>
                <w:u w:val="none"/>
              </w:rPr>
            </w:pPr>
            <w:r>
              <w:rPr>
                <w:color w:val="auto"/>
                <w:sz w:val="24"/>
                <w:szCs w:val="24"/>
                <w:u w:val="none"/>
              </w:rPr>
              <w:t>②禁止车间随意倾倒、堆置危险废物。</w:t>
            </w:r>
          </w:p>
          <w:p>
            <w:pPr>
              <w:pStyle w:val="9"/>
              <w:spacing w:after="0" w:line="360" w:lineRule="auto"/>
              <w:ind w:firstLine="480"/>
              <w:rPr>
                <w:color w:val="auto"/>
                <w:sz w:val="24"/>
                <w:szCs w:val="24"/>
                <w:u w:val="none"/>
              </w:rPr>
            </w:pPr>
            <w:r>
              <w:rPr>
                <w:color w:val="auto"/>
                <w:sz w:val="24"/>
                <w:szCs w:val="24"/>
                <w:u w:val="none"/>
              </w:rPr>
              <w:t>③禁止将危险废物混入非危险废物中收集、暂存、转移、处置，收集、贮存、转移危险废物时，严格按照危险废物特性分类进行，防止混合收集、贮存、运输、转移性质不相容且未经安全性处置的危险废物。</w:t>
            </w:r>
          </w:p>
          <w:p>
            <w:pPr>
              <w:pStyle w:val="9"/>
              <w:spacing w:after="0" w:line="360" w:lineRule="auto"/>
              <w:ind w:firstLine="480"/>
              <w:rPr>
                <w:color w:val="auto"/>
                <w:sz w:val="24"/>
                <w:szCs w:val="24"/>
                <w:u w:val="none"/>
              </w:rPr>
            </w:pPr>
            <w:r>
              <w:rPr>
                <w:color w:val="auto"/>
                <w:sz w:val="24"/>
                <w:szCs w:val="24"/>
                <w:u w:val="none"/>
              </w:rPr>
              <w:t>④需要转移危险废物时，必须按照相关规定办理危险废物转移联单，未经批准，不得进行转移。</w:t>
            </w:r>
          </w:p>
          <w:p>
            <w:pPr>
              <w:pStyle w:val="9"/>
              <w:spacing w:after="0" w:line="360" w:lineRule="auto"/>
              <w:ind w:firstLine="480"/>
              <w:rPr>
                <w:color w:val="auto"/>
                <w:sz w:val="24"/>
                <w:szCs w:val="24"/>
                <w:u w:val="none"/>
              </w:rPr>
            </w:pPr>
            <w:r>
              <w:rPr>
                <w:color w:val="auto"/>
                <w:sz w:val="24"/>
                <w:szCs w:val="24"/>
                <w:u w:val="none"/>
              </w:rPr>
              <w:t>⑤根据生产实际情况，安全、有效地处理好紧急事故过程中产生的危险废物，杜绝环境污染事故的发生。</w:t>
            </w:r>
          </w:p>
          <w:p>
            <w:pPr>
              <w:pStyle w:val="9"/>
              <w:spacing w:after="0" w:line="360" w:lineRule="auto"/>
              <w:ind w:firstLine="480"/>
              <w:rPr>
                <w:color w:val="auto"/>
                <w:sz w:val="24"/>
                <w:szCs w:val="24"/>
                <w:u w:val="none"/>
              </w:rPr>
            </w:pPr>
            <w:r>
              <w:rPr>
                <w:color w:val="auto"/>
                <w:sz w:val="24"/>
                <w:szCs w:val="24"/>
                <w:u w:val="none"/>
              </w:rPr>
              <w:t>⑥各车间负责本车间所产生的危险废物的收集、分类、标识和数量登记工作，在收集、分类、标识工作过程中，要严格按照有关要求，对操作人员进行必要的危害告知培训，督促操作人员佩戴必要的安全防护用品。</w:t>
            </w:r>
          </w:p>
          <w:p>
            <w:pPr>
              <w:pStyle w:val="9"/>
              <w:spacing w:after="0" w:line="360" w:lineRule="auto"/>
              <w:ind w:firstLine="480"/>
              <w:rPr>
                <w:color w:val="auto"/>
                <w:sz w:val="24"/>
                <w:szCs w:val="24"/>
                <w:u w:val="none"/>
              </w:rPr>
            </w:pPr>
            <w:r>
              <w:rPr>
                <w:color w:val="auto"/>
                <w:sz w:val="24"/>
                <w:szCs w:val="24"/>
                <w:u w:val="none"/>
              </w:rPr>
              <w:t>⑦各车间对本车间产生的危险废物进行严格管理，对本车间所产生的危险废物进行详细的登记，填写《危险废物产生贮存台账》，并对危险废物的贮存量及时上报安全环保部。</w:t>
            </w:r>
          </w:p>
          <w:p>
            <w:pPr>
              <w:pStyle w:val="9"/>
              <w:spacing w:after="0" w:line="360" w:lineRule="auto"/>
              <w:ind w:firstLine="480"/>
              <w:rPr>
                <w:sz w:val="24"/>
                <w:szCs w:val="21"/>
                <w:u w:val="none"/>
              </w:rPr>
            </w:pPr>
            <w:r>
              <w:rPr>
                <w:color w:val="auto"/>
                <w:sz w:val="24"/>
                <w:szCs w:val="24"/>
                <w:u w:val="none"/>
              </w:rPr>
              <w:t>⑧各车间对危险废物暂时贮存场所要加强管理，定期巡检，确保危险废物不扩散、不渗漏、不丢失等。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color w:val="000000"/>
                <w:sz w:val="24"/>
                <w:szCs w:val="24"/>
                <w:u w:val="none"/>
              </w:rPr>
            </w:pPr>
            <w:r>
              <w:rPr>
                <w:kern w:val="0"/>
                <w:sz w:val="24"/>
                <w:szCs w:val="21"/>
                <w:u w:val="none"/>
                <w:lang w:bidi="ar"/>
              </w:rPr>
              <w:t>综上所述，项目产生的固体废物均可得到合理处置及妥善处理，对周围环境影响较小。</w:t>
            </w:r>
          </w:p>
          <w:p>
            <w:pPr>
              <w:spacing w:line="360" w:lineRule="auto"/>
              <w:rPr>
                <w:b/>
                <w:bCs/>
                <w:color w:val="000000"/>
                <w:sz w:val="24"/>
                <w:szCs w:val="24"/>
                <w:u w:val="single"/>
              </w:rPr>
            </w:pPr>
            <w:r>
              <w:rPr>
                <w:rFonts w:hint="eastAsia"/>
                <w:b/>
                <w:bCs/>
                <w:color w:val="000000"/>
                <w:sz w:val="24"/>
                <w:szCs w:val="24"/>
                <w:u w:val="none"/>
              </w:rPr>
              <w:t>5</w:t>
            </w:r>
            <w:r>
              <w:rPr>
                <w:rFonts w:hint="eastAsia"/>
                <w:b/>
                <w:bCs/>
                <w:color w:val="000000"/>
                <w:sz w:val="24"/>
                <w:szCs w:val="24"/>
                <w:u w:val="single"/>
              </w:rPr>
              <w:t>土壤环境影响分析</w:t>
            </w:r>
          </w:p>
          <w:p>
            <w:pPr>
              <w:spacing w:line="360" w:lineRule="auto"/>
              <w:ind w:firstLine="480"/>
              <w:contextualSpacing/>
              <w:jc w:val="both"/>
              <w:rPr>
                <w:rFonts w:hint="default"/>
                <w:sz w:val="24"/>
                <w:szCs w:val="24"/>
                <w:u w:val="single"/>
              </w:rPr>
            </w:pPr>
            <w:r>
              <w:rPr>
                <w:u w:val="single"/>
              </w:rPr>
              <w:t xml:space="preserve"> </w:t>
            </w:r>
            <w:r>
              <w:rPr>
                <w:sz w:val="24"/>
                <w:szCs w:val="24"/>
                <w:u w:val="single"/>
              </w:rPr>
              <w:t>根据《环境影响评价技术导则 土壤环境》（试行）HJ964-2018中附录A土壤环境影响评价项目类别表：</w:t>
            </w:r>
            <w:r>
              <w:rPr>
                <w:rFonts w:hint="eastAsia"/>
                <w:sz w:val="24"/>
                <w:szCs w:val="24"/>
                <w:u w:val="single"/>
                <w:lang w:eastAsia="zh-CN"/>
              </w:rPr>
              <w:t>“</w:t>
            </w:r>
            <w:r>
              <w:rPr>
                <w:sz w:val="24"/>
                <w:szCs w:val="24"/>
                <w:u w:val="single"/>
              </w:rPr>
              <w:t>制造业-</w:t>
            </w:r>
            <w:r>
              <w:rPr>
                <w:rFonts w:hint="eastAsia"/>
                <w:sz w:val="24"/>
                <w:szCs w:val="24"/>
                <w:u w:val="single"/>
                <w:lang w:eastAsia="zh-CN"/>
              </w:rPr>
              <w:t>金属家具</w:t>
            </w:r>
            <w:r>
              <w:rPr>
                <w:sz w:val="24"/>
                <w:szCs w:val="24"/>
                <w:u w:val="single"/>
              </w:rPr>
              <w:t>制造业</w:t>
            </w:r>
            <w:r>
              <w:rPr>
                <w:rFonts w:hint="eastAsia"/>
                <w:sz w:val="24"/>
                <w:szCs w:val="24"/>
                <w:u w:val="single"/>
                <w:lang w:eastAsia="zh-CN"/>
              </w:rPr>
              <w:t>”</w:t>
            </w:r>
            <w:r>
              <w:rPr>
                <w:sz w:val="24"/>
                <w:szCs w:val="24"/>
                <w:u w:val="single"/>
              </w:rPr>
              <w:t>的分类要求，无电镀工艺的，无金属制品表面处理及热处理加工的，不使用有机涂层的（喷粉、喷塑和电泳除外），无钝化工艺的热镀锌压延加工，无化学处理工艺的属其他类别，</w:t>
            </w:r>
            <w:r>
              <w:rPr>
                <w:rFonts w:hint="eastAsia"/>
                <w:sz w:val="24"/>
                <w:szCs w:val="24"/>
                <w:u w:val="single"/>
                <w:lang w:eastAsia="zh-CN"/>
              </w:rPr>
              <w:t>仅涉及切割组装工艺，项目类别</w:t>
            </w:r>
            <w:r>
              <w:rPr>
                <w:sz w:val="24"/>
                <w:szCs w:val="24"/>
                <w:u w:val="single"/>
              </w:rPr>
              <w:t>为</w:t>
            </w:r>
            <w:r>
              <w:rPr>
                <w:rFonts w:hint="eastAsia"/>
                <w:sz w:val="24"/>
                <w:szCs w:val="24"/>
                <w:u w:val="single"/>
                <w:lang w:val="en-US" w:eastAsia="zh-CN"/>
              </w:rPr>
              <w:t>IV</w:t>
            </w:r>
            <w:r>
              <w:rPr>
                <w:sz w:val="24"/>
                <w:szCs w:val="24"/>
                <w:u w:val="single"/>
              </w:rPr>
              <w:t>类项目。</w:t>
            </w:r>
            <w:r>
              <w:rPr>
                <w:rFonts w:hint="eastAsia"/>
                <w:sz w:val="24"/>
                <w:szCs w:val="24"/>
                <w:u w:val="single"/>
                <w:lang w:eastAsia="zh-CN"/>
              </w:rPr>
              <w:t>因此本项目无需进行土壤评价。</w:t>
            </w:r>
          </w:p>
          <w:p>
            <w:pPr>
              <w:spacing w:line="360" w:lineRule="auto"/>
              <w:rPr>
                <w:b/>
                <w:sz w:val="24"/>
                <w:szCs w:val="24"/>
                <w:u w:val="none"/>
              </w:rPr>
            </w:pPr>
            <w:r>
              <w:rPr>
                <w:rFonts w:hint="eastAsia"/>
                <w:b/>
                <w:sz w:val="24"/>
                <w:szCs w:val="24"/>
                <w:u w:val="none"/>
              </w:rPr>
              <w:t>6</w:t>
            </w:r>
            <w:r>
              <w:rPr>
                <w:b/>
                <w:sz w:val="24"/>
                <w:szCs w:val="24"/>
                <w:u w:val="none"/>
              </w:rPr>
              <w:t>环保投资估算</w:t>
            </w:r>
          </w:p>
          <w:p>
            <w:pPr>
              <w:widowControl/>
              <w:spacing w:line="360" w:lineRule="auto"/>
              <w:ind w:firstLine="480" w:firstLineChars="200"/>
              <w:rPr>
                <w:bCs/>
                <w:sz w:val="24"/>
                <w:szCs w:val="24"/>
                <w:u w:val="single"/>
              </w:rPr>
            </w:pPr>
            <w:r>
              <w:rPr>
                <w:bCs/>
                <w:sz w:val="24"/>
                <w:szCs w:val="24"/>
                <w:u w:val="single"/>
              </w:rPr>
              <w:t>本项目总投资为</w:t>
            </w:r>
            <w:r>
              <w:rPr>
                <w:rFonts w:hint="eastAsia"/>
                <w:bCs/>
                <w:sz w:val="24"/>
                <w:szCs w:val="24"/>
                <w:u w:val="single"/>
                <w:lang w:val="en-US" w:eastAsia="zh-CN"/>
              </w:rPr>
              <w:t>21</w:t>
            </w:r>
            <w:r>
              <w:rPr>
                <w:bCs/>
                <w:sz w:val="24"/>
                <w:szCs w:val="24"/>
                <w:u w:val="single"/>
              </w:rPr>
              <w:t>万元，环保投资为</w:t>
            </w:r>
            <w:r>
              <w:rPr>
                <w:rFonts w:hint="eastAsia"/>
                <w:bCs/>
                <w:sz w:val="24"/>
                <w:szCs w:val="24"/>
                <w:u w:val="single"/>
              </w:rPr>
              <w:t>4.5</w:t>
            </w:r>
            <w:r>
              <w:rPr>
                <w:bCs/>
                <w:sz w:val="24"/>
                <w:szCs w:val="24"/>
                <w:u w:val="single"/>
              </w:rPr>
              <w:t>万元，占总投资的</w:t>
            </w:r>
            <w:r>
              <w:rPr>
                <w:rFonts w:hint="eastAsia"/>
                <w:bCs/>
                <w:sz w:val="24"/>
                <w:szCs w:val="24"/>
                <w:u w:val="single"/>
                <w:lang w:val="en-US" w:eastAsia="zh-CN"/>
              </w:rPr>
              <w:t>21.4</w:t>
            </w:r>
            <w:r>
              <w:rPr>
                <w:bCs/>
                <w:sz w:val="24"/>
                <w:szCs w:val="24"/>
                <w:u w:val="single"/>
              </w:rPr>
              <w:t>%。环保投资估算见</w:t>
            </w:r>
            <w:r>
              <w:rPr>
                <w:rFonts w:hint="eastAsia"/>
                <w:bCs/>
                <w:sz w:val="24"/>
                <w:szCs w:val="24"/>
                <w:u w:val="single"/>
              </w:rPr>
              <w:t>下表</w:t>
            </w:r>
            <w:r>
              <w:rPr>
                <w:bCs/>
                <w:sz w:val="24"/>
                <w:szCs w:val="24"/>
                <w:u w:val="single"/>
              </w:rPr>
              <w:t>。</w:t>
            </w:r>
          </w:p>
          <w:p>
            <w:pPr>
              <w:ind w:firstLine="1440" w:firstLineChars="600"/>
              <w:rPr>
                <w:rFonts w:eastAsia="黑体"/>
                <w:sz w:val="24"/>
                <w:szCs w:val="24"/>
                <w:u w:val="single"/>
              </w:rPr>
            </w:pPr>
            <w:r>
              <w:rPr>
                <w:rFonts w:hint="eastAsia" w:eastAsia="黑体"/>
                <w:sz w:val="24"/>
                <w:szCs w:val="24"/>
                <w:u w:val="single"/>
              </w:rPr>
              <w:t>表</w:t>
            </w:r>
            <w:r>
              <w:rPr>
                <w:rFonts w:hint="eastAsia" w:eastAsia="黑体"/>
                <w:sz w:val="24"/>
                <w:szCs w:val="24"/>
                <w:u w:val="single"/>
                <w:lang w:val="en-US" w:eastAsia="zh-CN"/>
              </w:rPr>
              <w:t>35</w:t>
            </w:r>
            <w:r>
              <w:rPr>
                <w:rFonts w:hint="eastAsia" w:eastAsia="黑体"/>
                <w:sz w:val="24"/>
                <w:szCs w:val="24"/>
                <w:u w:val="single"/>
              </w:rPr>
              <w:t xml:space="preserve">                      环保投资估算一览表</w:t>
            </w:r>
          </w:p>
          <w:tbl>
            <w:tblPr>
              <w:tblStyle w:val="27"/>
              <w:tblW w:w="9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6"/>
              <w:gridCol w:w="2069"/>
              <w:gridCol w:w="1420"/>
              <w:gridCol w:w="2848"/>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序号</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污染源</w:t>
                  </w:r>
                </w:p>
              </w:tc>
              <w:tc>
                <w:tcPr>
                  <w:tcW w:w="4268" w:type="dxa"/>
                  <w:gridSpan w:val="2"/>
                  <w:vAlign w:val="center"/>
                </w:tcPr>
                <w:p>
                  <w:pPr>
                    <w:snapToGrid w:val="0"/>
                    <w:spacing w:before="31" w:beforeLines="10" w:after="31" w:afterLines="10" w:line="240" w:lineRule="auto"/>
                    <w:jc w:val="center"/>
                    <w:rPr>
                      <w:kern w:val="0"/>
                      <w:sz w:val="18"/>
                      <w:szCs w:val="18"/>
                      <w:u w:val="none"/>
                    </w:rPr>
                  </w:pPr>
                  <w:r>
                    <w:rPr>
                      <w:kern w:val="0"/>
                      <w:sz w:val="18"/>
                      <w:szCs w:val="18"/>
                      <w:u w:val="none"/>
                    </w:rPr>
                    <w:t>环保设施</w:t>
                  </w:r>
                </w:p>
              </w:tc>
              <w:tc>
                <w:tcPr>
                  <w:tcW w:w="1647" w:type="dxa"/>
                  <w:vAlign w:val="center"/>
                </w:tcPr>
                <w:p>
                  <w:pPr>
                    <w:snapToGrid w:val="0"/>
                    <w:spacing w:before="31" w:beforeLines="10" w:after="31" w:afterLines="10" w:line="240" w:lineRule="auto"/>
                    <w:jc w:val="center"/>
                    <w:rPr>
                      <w:kern w:val="0"/>
                      <w:sz w:val="18"/>
                      <w:szCs w:val="18"/>
                      <w:u w:val="none"/>
                    </w:rPr>
                  </w:pPr>
                  <w:r>
                    <w:rPr>
                      <w:kern w:val="0"/>
                      <w:sz w:val="18"/>
                      <w:szCs w:val="18"/>
                      <w:u w:val="none"/>
                    </w:rPr>
                    <w:t>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1</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生活垃圾</w:t>
                  </w:r>
                </w:p>
              </w:tc>
              <w:tc>
                <w:tcPr>
                  <w:tcW w:w="4268" w:type="dxa"/>
                  <w:gridSpan w:val="2"/>
                  <w:vAlign w:val="center"/>
                </w:tcPr>
                <w:p>
                  <w:pPr>
                    <w:adjustRightInd w:val="0"/>
                    <w:snapToGrid w:val="0"/>
                    <w:spacing w:before="10" w:after="10" w:line="240" w:lineRule="auto"/>
                    <w:jc w:val="center"/>
                    <w:rPr>
                      <w:sz w:val="18"/>
                      <w:szCs w:val="18"/>
                      <w:u w:val="none"/>
                    </w:rPr>
                  </w:pPr>
                  <w:r>
                    <w:rPr>
                      <w:rFonts w:hint="eastAsia"/>
                      <w:sz w:val="18"/>
                      <w:szCs w:val="18"/>
                      <w:u w:val="none"/>
                    </w:rPr>
                    <w:t>垃圾桶</w:t>
                  </w:r>
                </w:p>
              </w:tc>
              <w:tc>
                <w:tcPr>
                  <w:tcW w:w="1647" w:type="dxa"/>
                  <w:vAlign w:val="center"/>
                </w:tcPr>
                <w:p>
                  <w:pPr>
                    <w:adjustRightInd w:val="0"/>
                    <w:snapToGrid w:val="0"/>
                    <w:spacing w:before="10" w:after="10" w:line="240" w:lineRule="auto"/>
                    <w:jc w:val="center"/>
                    <w:rPr>
                      <w:sz w:val="18"/>
                      <w:szCs w:val="18"/>
                      <w:u w:val="none"/>
                    </w:rPr>
                  </w:pPr>
                  <w:r>
                    <w:rPr>
                      <w:rFonts w:hint="eastAsia"/>
                      <w:sz w:val="18"/>
                      <w:szCs w:val="18"/>
                      <w:u w:val="none"/>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2</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二保焊</w:t>
                  </w:r>
                </w:p>
              </w:tc>
              <w:tc>
                <w:tcPr>
                  <w:tcW w:w="1420" w:type="dxa"/>
                  <w:vMerge w:val="restart"/>
                  <w:vAlign w:val="center"/>
                </w:tcPr>
                <w:p>
                  <w:pPr>
                    <w:adjustRightInd w:val="0"/>
                    <w:snapToGrid w:val="0"/>
                    <w:spacing w:before="10" w:after="10" w:line="240" w:lineRule="auto"/>
                    <w:jc w:val="center"/>
                    <w:rPr>
                      <w:bCs/>
                      <w:sz w:val="18"/>
                      <w:szCs w:val="18"/>
                      <w:u w:val="none"/>
                    </w:rPr>
                  </w:pPr>
                  <w:r>
                    <w:rPr>
                      <w:rFonts w:hint="eastAsia"/>
                      <w:bCs/>
                      <w:sz w:val="18"/>
                      <w:szCs w:val="18"/>
                      <w:u w:val="none"/>
                    </w:rPr>
                    <w:t>单间二次</w:t>
                  </w:r>
                </w:p>
                <w:p>
                  <w:pPr>
                    <w:adjustRightInd w:val="0"/>
                    <w:snapToGrid w:val="0"/>
                    <w:spacing w:before="10" w:after="10" w:line="240" w:lineRule="auto"/>
                    <w:jc w:val="center"/>
                    <w:rPr>
                      <w:bCs/>
                      <w:sz w:val="18"/>
                      <w:szCs w:val="18"/>
                      <w:u w:val="none"/>
                    </w:rPr>
                  </w:pPr>
                  <w:r>
                    <w:rPr>
                      <w:rFonts w:hint="eastAsia"/>
                      <w:bCs/>
                      <w:sz w:val="18"/>
                      <w:szCs w:val="18"/>
                      <w:u w:val="none"/>
                    </w:rPr>
                    <w:t>密闭</w:t>
                  </w:r>
                </w:p>
              </w:tc>
              <w:tc>
                <w:tcPr>
                  <w:tcW w:w="2848" w:type="dxa"/>
                  <w:vMerge w:val="restart"/>
                  <w:vAlign w:val="center"/>
                </w:tcPr>
                <w:p>
                  <w:pPr>
                    <w:adjustRightInd w:val="0"/>
                    <w:snapToGrid w:val="0"/>
                    <w:spacing w:before="10" w:after="10" w:line="240" w:lineRule="auto"/>
                    <w:jc w:val="center"/>
                    <w:rPr>
                      <w:bCs/>
                      <w:sz w:val="18"/>
                      <w:szCs w:val="18"/>
                      <w:u w:val="none"/>
                    </w:rPr>
                  </w:pPr>
                  <w:r>
                    <w:rPr>
                      <w:rFonts w:hint="eastAsia"/>
                      <w:bCs/>
                      <w:sz w:val="18"/>
                      <w:szCs w:val="18"/>
                      <w:u w:val="none"/>
                    </w:rPr>
                    <w:t>袋式除尘器+15米排气筒</w:t>
                  </w:r>
                </w:p>
              </w:tc>
              <w:tc>
                <w:tcPr>
                  <w:tcW w:w="1647" w:type="dxa"/>
                  <w:vMerge w:val="restart"/>
                  <w:vAlign w:val="center"/>
                </w:tcPr>
                <w:p>
                  <w:pPr>
                    <w:adjustRightInd w:val="0"/>
                    <w:snapToGrid w:val="0"/>
                    <w:spacing w:before="10" w:after="10" w:line="240" w:lineRule="auto"/>
                    <w:jc w:val="center"/>
                    <w:rPr>
                      <w:color w:val="FF0000"/>
                      <w:sz w:val="18"/>
                      <w:szCs w:val="18"/>
                      <w:u w:val="none"/>
                    </w:rPr>
                  </w:pPr>
                  <w:r>
                    <w:rPr>
                      <w:rFonts w:hint="eastAsia"/>
                      <w:color w:val="auto"/>
                      <w:sz w:val="18"/>
                      <w:szCs w:val="18"/>
                      <w:u w:val="none"/>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3</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激光切割机</w:t>
                  </w:r>
                </w:p>
              </w:tc>
              <w:tc>
                <w:tcPr>
                  <w:tcW w:w="1420" w:type="dxa"/>
                  <w:vMerge w:val="continue"/>
                  <w:vAlign w:val="center"/>
                </w:tcPr>
                <w:p>
                  <w:pPr>
                    <w:adjustRightInd w:val="0"/>
                    <w:snapToGrid w:val="0"/>
                    <w:spacing w:before="10" w:after="10" w:line="240" w:lineRule="auto"/>
                    <w:jc w:val="center"/>
                    <w:rPr>
                      <w:bCs/>
                      <w:sz w:val="18"/>
                      <w:szCs w:val="18"/>
                      <w:u w:val="none"/>
                    </w:rPr>
                  </w:pPr>
                </w:p>
              </w:tc>
              <w:tc>
                <w:tcPr>
                  <w:tcW w:w="2848" w:type="dxa"/>
                  <w:vMerge w:val="continue"/>
                  <w:vAlign w:val="center"/>
                </w:tcPr>
                <w:p>
                  <w:pPr>
                    <w:adjustRightInd w:val="0"/>
                    <w:snapToGrid w:val="0"/>
                    <w:spacing w:before="10" w:after="10" w:line="240" w:lineRule="auto"/>
                    <w:jc w:val="center"/>
                    <w:rPr>
                      <w:bCs/>
                      <w:sz w:val="18"/>
                      <w:szCs w:val="18"/>
                      <w:u w:val="none"/>
                    </w:rPr>
                  </w:pPr>
                </w:p>
              </w:tc>
              <w:tc>
                <w:tcPr>
                  <w:tcW w:w="1647" w:type="dxa"/>
                  <w:vMerge w:val="continue"/>
                  <w:vAlign w:val="center"/>
                </w:tcPr>
                <w:p>
                  <w:pPr>
                    <w:adjustRightInd w:val="0"/>
                    <w:snapToGrid w:val="0"/>
                    <w:spacing w:before="10" w:after="10" w:line="240" w:lineRule="auto"/>
                    <w:jc w:val="center"/>
                    <w:rPr>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4</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一般固废堆场</w:t>
                  </w:r>
                </w:p>
              </w:tc>
              <w:tc>
                <w:tcPr>
                  <w:tcW w:w="4268" w:type="dxa"/>
                  <w:gridSpan w:val="2"/>
                  <w:vAlign w:val="center"/>
                </w:tcPr>
                <w:p>
                  <w:pPr>
                    <w:adjustRightInd w:val="0"/>
                    <w:snapToGrid w:val="0"/>
                    <w:spacing w:before="10" w:after="10" w:line="240" w:lineRule="auto"/>
                    <w:jc w:val="center"/>
                    <w:rPr>
                      <w:sz w:val="18"/>
                      <w:szCs w:val="18"/>
                      <w:u w:val="none"/>
                    </w:rPr>
                  </w:pPr>
                  <w:r>
                    <w:rPr>
                      <w:rFonts w:hint="eastAsia"/>
                      <w:bCs/>
                      <w:sz w:val="18"/>
                      <w:szCs w:val="18"/>
                      <w:u w:val="none"/>
                    </w:rPr>
                    <w:t>1个10 m</w:t>
                  </w:r>
                  <w:r>
                    <w:rPr>
                      <w:rFonts w:hint="eastAsia"/>
                      <w:bCs/>
                      <w:sz w:val="18"/>
                      <w:szCs w:val="18"/>
                      <w:u w:val="none"/>
                      <w:vertAlign w:val="superscript"/>
                    </w:rPr>
                    <w:t>2</w:t>
                  </w:r>
                  <w:r>
                    <w:rPr>
                      <w:rFonts w:hint="eastAsia"/>
                      <w:bCs/>
                      <w:sz w:val="18"/>
                      <w:szCs w:val="18"/>
                      <w:u w:val="none"/>
                    </w:rPr>
                    <w:t>固废</w:t>
                  </w:r>
                  <w:r>
                    <w:rPr>
                      <w:rFonts w:hint="eastAsia"/>
                      <w:bCs/>
                      <w:color w:val="auto"/>
                      <w:sz w:val="18"/>
                      <w:szCs w:val="18"/>
                      <w:u w:val="none"/>
                    </w:rPr>
                    <w:t>堆场</w:t>
                  </w:r>
                </w:p>
              </w:tc>
              <w:tc>
                <w:tcPr>
                  <w:tcW w:w="1647" w:type="dxa"/>
                  <w:vAlign w:val="center"/>
                </w:tcPr>
                <w:p>
                  <w:pPr>
                    <w:adjustRightInd w:val="0"/>
                    <w:snapToGrid w:val="0"/>
                    <w:spacing w:before="10" w:after="10" w:line="240" w:lineRule="auto"/>
                    <w:jc w:val="center"/>
                    <w:rPr>
                      <w:sz w:val="18"/>
                      <w:szCs w:val="18"/>
                      <w:u w:val="none"/>
                    </w:rPr>
                  </w:pPr>
                  <w:r>
                    <w:rPr>
                      <w:rFonts w:hint="eastAsia"/>
                      <w:sz w:val="18"/>
                      <w:szCs w:val="18"/>
                      <w:u w:val="none"/>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5</w:t>
                  </w:r>
                </w:p>
              </w:tc>
              <w:tc>
                <w:tcPr>
                  <w:tcW w:w="2069"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危废暂存区</w:t>
                  </w:r>
                </w:p>
              </w:tc>
              <w:tc>
                <w:tcPr>
                  <w:tcW w:w="4268" w:type="dxa"/>
                  <w:gridSpan w:val="2"/>
                  <w:vAlign w:val="center"/>
                </w:tcPr>
                <w:p>
                  <w:pPr>
                    <w:adjustRightInd w:val="0"/>
                    <w:snapToGrid w:val="0"/>
                    <w:spacing w:before="10" w:after="10" w:line="240" w:lineRule="auto"/>
                    <w:jc w:val="center"/>
                    <w:rPr>
                      <w:bCs/>
                      <w:sz w:val="18"/>
                      <w:szCs w:val="18"/>
                      <w:u w:val="none"/>
                    </w:rPr>
                  </w:pPr>
                  <w:r>
                    <w:rPr>
                      <w:rFonts w:hint="eastAsia"/>
                      <w:bCs/>
                      <w:sz w:val="18"/>
                      <w:szCs w:val="18"/>
                      <w:u w:val="none"/>
                    </w:rPr>
                    <w:t>1个5m</w:t>
                  </w:r>
                  <w:r>
                    <w:rPr>
                      <w:rFonts w:hint="eastAsia"/>
                      <w:bCs/>
                      <w:sz w:val="18"/>
                      <w:szCs w:val="18"/>
                      <w:u w:val="none"/>
                      <w:vertAlign w:val="superscript"/>
                    </w:rPr>
                    <w:t>2</w:t>
                  </w:r>
                  <w:r>
                    <w:rPr>
                      <w:rFonts w:hint="eastAsia"/>
                      <w:bCs/>
                      <w:sz w:val="18"/>
                      <w:szCs w:val="18"/>
                      <w:u w:val="none"/>
                    </w:rPr>
                    <w:t>危废间</w:t>
                  </w:r>
                </w:p>
              </w:tc>
              <w:tc>
                <w:tcPr>
                  <w:tcW w:w="1647" w:type="dxa"/>
                  <w:vAlign w:val="center"/>
                </w:tcPr>
                <w:p>
                  <w:pPr>
                    <w:adjustRightInd w:val="0"/>
                    <w:snapToGrid w:val="0"/>
                    <w:spacing w:before="10" w:after="10" w:line="240" w:lineRule="auto"/>
                    <w:jc w:val="center"/>
                    <w:rPr>
                      <w:sz w:val="18"/>
                      <w:szCs w:val="18"/>
                      <w:u w:val="none"/>
                    </w:rPr>
                  </w:pPr>
                  <w:r>
                    <w:rPr>
                      <w:rFonts w:hint="eastAsia"/>
                      <w:sz w:val="18"/>
                      <w:szCs w:val="18"/>
                      <w:u w:val="none"/>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433" w:type="dxa"/>
                  <w:gridSpan w:val="4"/>
                  <w:vAlign w:val="center"/>
                </w:tcPr>
                <w:p>
                  <w:pPr>
                    <w:snapToGrid w:val="0"/>
                    <w:spacing w:before="31" w:beforeLines="10" w:after="31" w:afterLines="10" w:line="240" w:lineRule="auto"/>
                    <w:jc w:val="center"/>
                    <w:rPr>
                      <w:kern w:val="0"/>
                      <w:sz w:val="18"/>
                      <w:szCs w:val="18"/>
                      <w:u w:val="none"/>
                    </w:rPr>
                  </w:pPr>
                  <w:r>
                    <w:rPr>
                      <w:kern w:val="0"/>
                      <w:sz w:val="18"/>
                      <w:szCs w:val="18"/>
                      <w:u w:val="none"/>
                    </w:rPr>
                    <w:t>合计</w:t>
                  </w:r>
                </w:p>
              </w:tc>
              <w:tc>
                <w:tcPr>
                  <w:tcW w:w="1647" w:type="dxa"/>
                  <w:vAlign w:val="center"/>
                </w:tcPr>
                <w:p>
                  <w:pPr>
                    <w:snapToGrid w:val="0"/>
                    <w:spacing w:before="31" w:beforeLines="10" w:after="31" w:afterLines="10" w:line="240" w:lineRule="auto"/>
                    <w:jc w:val="center"/>
                    <w:rPr>
                      <w:kern w:val="0"/>
                      <w:sz w:val="18"/>
                      <w:szCs w:val="18"/>
                      <w:u w:val="none"/>
                    </w:rPr>
                  </w:pPr>
                  <w:r>
                    <w:rPr>
                      <w:rFonts w:hint="eastAsia"/>
                      <w:kern w:val="0"/>
                      <w:sz w:val="18"/>
                      <w:szCs w:val="18"/>
                      <w:u w:val="none"/>
                    </w:rPr>
                    <w:t>4.5</w:t>
                  </w:r>
                </w:p>
              </w:tc>
            </w:tr>
          </w:tbl>
          <w:p>
            <w:pPr>
              <w:keepNext w:val="0"/>
              <w:keepLines w:val="0"/>
              <w:pageBreakBefore w:val="0"/>
              <w:tabs>
                <w:tab w:val="left" w:pos="3495"/>
              </w:tabs>
              <w:kinsoku/>
              <w:wordWrap/>
              <w:overflowPunct/>
              <w:topLinePunct w:val="0"/>
              <w:autoSpaceDE/>
              <w:autoSpaceDN/>
              <w:bidi w:val="0"/>
              <w:adjustRightInd/>
              <w:snapToGrid/>
              <w:spacing w:line="360" w:lineRule="auto"/>
              <w:ind w:left="0" w:leftChars="0" w:right="0" w:rightChars="0"/>
              <w:jc w:val="both"/>
              <w:textAlignment w:val="auto"/>
              <w:outlineLvl w:val="9"/>
              <w:rPr>
                <w:b/>
                <w:sz w:val="24"/>
                <w:szCs w:val="24"/>
                <w:u w:val="none"/>
              </w:rPr>
            </w:pPr>
            <w:r>
              <w:rPr>
                <w:rFonts w:hint="eastAsia"/>
                <w:b/>
                <w:sz w:val="24"/>
                <w:szCs w:val="24"/>
                <w:u w:val="none"/>
              </w:rPr>
              <w:t>7相关政策文件相符性分析</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cs="宋体"/>
                <w:bCs/>
                <w:sz w:val="24"/>
                <w:szCs w:val="24"/>
                <w:u w:val="none"/>
              </w:rPr>
            </w:pPr>
            <w:r>
              <w:rPr>
                <w:rFonts w:hint="eastAsia" w:cs="宋体"/>
                <w:bCs/>
                <w:sz w:val="24"/>
                <w:szCs w:val="24"/>
                <w:u w:val="none"/>
              </w:rPr>
              <w:t>7.1与《洛阳市污染防治攻坚战三年行动计划（2018-2020年）》相符性分析</w:t>
            </w:r>
          </w:p>
          <w:p>
            <w:pPr>
              <w:pStyle w:val="58"/>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480"/>
              <w:jc w:val="both"/>
              <w:textAlignment w:val="auto"/>
              <w:outlineLvl w:val="9"/>
              <w:rPr>
                <w:bCs/>
                <w:color w:val="auto"/>
                <w:szCs w:val="24"/>
                <w:u w:val="none"/>
              </w:rPr>
            </w:pPr>
            <w:r>
              <w:rPr>
                <w:rFonts w:hint="eastAsia"/>
                <w:bCs/>
                <w:color w:val="auto"/>
                <w:szCs w:val="24"/>
                <w:u w:val="none"/>
              </w:rPr>
              <w:t>2018年10月18日中共洛阳市委和洛阳市人民政府联合颁发《中共洛阳市委、洛阳市人民政府关于印发洛阳市污染防治攻坚战三年行动计划（2018-2020年）的通知》（洛发〔2018〕23号），本项目与其相关规定的相符性如下：</w:t>
            </w:r>
          </w:p>
          <w:p>
            <w:pPr>
              <w:pStyle w:val="58"/>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480"/>
              <w:jc w:val="both"/>
              <w:textAlignment w:val="auto"/>
              <w:outlineLvl w:val="9"/>
              <w:rPr>
                <w:rFonts w:ascii="黑体" w:hAnsi="黑体" w:eastAsia="黑体"/>
                <w:color w:val="auto"/>
                <w:u w:val="none"/>
              </w:rPr>
            </w:pPr>
            <w:r>
              <w:rPr>
                <w:rFonts w:hint="eastAsia" w:ascii="黑体" w:hAnsi="黑体" w:eastAsia="黑体"/>
                <w:color w:val="auto"/>
                <w:u w:val="none"/>
              </w:rPr>
              <w:t>表</w:t>
            </w:r>
            <w:r>
              <w:rPr>
                <w:rFonts w:hint="eastAsia" w:ascii="黑体" w:hAnsi="黑体" w:eastAsia="黑体"/>
                <w:color w:val="auto"/>
                <w:u w:val="none"/>
                <w:lang w:val="en-US" w:eastAsia="zh-CN"/>
              </w:rPr>
              <w:t>36</w:t>
            </w:r>
            <w:r>
              <w:rPr>
                <w:rFonts w:ascii="黑体" w:hAnsi="黑体" w:eastAsia="黑体"/>
                <w:color w:val="auto"/>
                <w:u w:val="none"/>
              </w:rPr>
              <w:t xml:space="preserve">  </w:t>
            </w:r>
            <w:r>
              <w:rPr>
                <w:rFonts w:hint="eastAsia" w:ascii="黑体" w:hAnsi="黑体" w:eastAsia="黑体"/>
                <w:color w:val="auto"/>
                <w:u w:val="none"/>
              </w:rPr>
              <w:t xml:space="preserve"> 《洛阳市污染防治攻坚战三年行动计划（2018-2020年）》相符性分析</w:t>
            </w:r>
          </w:p>
          <w:tbl>
            <w:tblPr>
              <w:tblStyle w:val="27"/>
              <w:tblW w:w="88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
              <w:gridCol w:w="846"/>
              <w:gridCol w:w="4981"/>
              <w:gridCol w:w="1525"/>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483" w:type="dxa"/>
                  <w:gridSpan w:val="2"/>
                  <w:vAlign w:val="center"/>
                </w:tcPr>
                <w:p>
                  <w:pPr>
                    <w:snapToGrid w:val="0"/>
                    <w:spacing w:line="240" w:lineRule="auto"/>
                    <w:jc w:val="center"/>
                    <w:rPr>
                      <w:kern w:val="0"/>
                      <w:sz w:val="18"/>
                      <w:szCs w:val="18"/>
                      <w:u w:val="none"/>
                    </w:rPr>
                  </w:pPr>
                  <w:r>
                    <w:rPr>
                      <w:rFonts w:hAnsi="宋体"/>
                      <w:kern w:val="0"/>
                      <w:sz w:val="18"/>
                      <w:szCs w:val="18"/>
                      <w:u w:val="none"/>
                    </w:rPr>
                    <w:t>项目</w:t>
                  </w:r>
                </w:p>
              </w:tc>
              <w:tc>
                <w:tcPr>
                  <w:tcW w:w="4981" w:type="dxa"/>
                  <w:vAlign w:val="center"/>
                </w:tcPr>
                <w:p>
                  <w:pPr>
                    <w:snapToGrid w:val="0"/>
                    <w:spacing w:line="240" w:lineRule="auto"/>
                    <w:jc w:val="center"/>
                    <w:rPr>
                      <w:kern w:val="0"/>
                      <w:sz w:val="18"/>
                      <w:szCs w:val="18"/>
                      <w:u w:val="none"/>
                    </w:rPr>
                  </w:pPr>
                  <w:r>
                    <w:rPr>
                      <w:rFonts w:hAnsi="宋体"/>
                      <w:kern w:val="0"/>
                      <w:sz w:val="18"/>
                      <w:szCs w:val="18"/>
                      <w:u w:val="none"/>
                    </w:rPr>
                    <w:t>要求内容</w:t>
                  </w:r>
                </w:p>
              </w:tc>
              <w:tc>
                <w:tcPr>
                  <w:tcW w:w="1525" w:type="dxa"/>
                  <w:vAlign w:val="center"/>
                </w:tcPr>
                <w:p>
                  <w:pPr>
                    <w:snapToGrid w:val="0"/>
                    <w:spacing w:line="240" w:lineRule="auto"/>
                    <w:jc w:val="center"/>
                    <w:rPr>
                      <w:kern w:val="0"/>
                      <w:sz w:val="18"/>
                      <w:szCs w:val="18"/>
                      <w:u w:val="none"/>
                    </w:rPr>
                  </w:pPr>
                  <w:r>
                    <w:rPr>
                      <w:rFonts w:hAnsi="宋体"/>
                      <w:kern w:val="0"/>
                      <w:sz w:val="18"/>
                      <w:szCs w:val="18"/>
                      <w:u w:val="none"/>
                    </w:rPr>
                    <w:t>本项目情况</w:t>
                  </w:r>
                </w:p>
              </w:tc>
              <w:tc>
                <w:tcPr>
                  <w:tcW w:w="882" w:type="dxa"/>
                  <w:vAlign w:val="center"/>
                </w:tcPr>
                <w:p>
                  <w:pPr>
                    <w:snapToGrid w:val="0"/>
                    <w:spacing w:line="240" w:lineRule="auto"/>
                    <w:jc w:val="center"/>
                    <w:rPr>
                      <w:kern w:val="0"/>
                      <w:sz w:val="18"/>
                      <w:szCs w:val="18"/>
                      <w:u w:val="none"/>
                    </w:rPr>
                  </w:pPr>
                  <w:r>
                    <w:rPr>
                      <w:rFonts w:hAnsi="宋体"/>
                      <w:kern w:val="0"/>
                      <w:sz w:val="18"/>
                      <w:szCs w:val="18"/>
                      <w:u w:val="none"/>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637" w:type="dxa"/>
                  <w:vAlign w:val="center"/>
                </w:tcPr>
                <w:p>
                  <w:pPr>
                    <w:snapToGrid w:val="0"/>
                    <w:spacing w:line="240" w:lineRule="auto"/>
                    <w:rPr>
                      <w:kern w:val="0"/>
                      <w:sz w:val="18"/>
                      <w:szCs w:val="18"/>
                      <w:u w:val="none"/>
                    </w:rPr>
                  </w:pPr>
                  <w:r>
                    <w:rPr>
                      <w:rFonts w:hAnsi="宋体"/>
                      <w:kern w:val="0"/>
                      <w:sz w:val="18"/>
                      <w:szCs w:val="18"/>
                      <w:u w:val="none"/>
                    </w:rPr>
                    <w:t>二、坚决打赢蓝天保卫战</w:t>
                  </w:r>
                </w:p>
              </w:tc>
              <w:tc>
                <w:tcPr>
                  <w:tcW w:w="846" w:type="dxa"/>
                  <w:vAlign w:val="center"/>
                </w:tcPr>
                <w:p>
                  <w:pPr>
                    <w:snapToGrid w:val="0"/>
                    <w:spacing w:line="240" w:lineRule="auto"/>
                    <w:rPr>
                      <w:kern w:val="0"/>
                      <w:sz w:val="18"/>
                      <w:szCs w:val="18"/>
                      <w:u w:val="none"/>
                    </w:rPr>
                  </w:pPr>
                  <w:r>
                    <w:rPr>
                      <w:rFonts w:hAnsi="宋体"/>
                      <w:kern w:val="0"/>
                      <w:sz w:val="18"/>
                      <w:szCs w:val="18"/>
                      <w:u w:val="none"/>
                    </w:rPr>
                    <w:t>（二）调整优化产业结构，推进产业绿色发展</w:t>
                  </w:r>
                </w:p>
              </w:tc>
              <w:tc>
                <w:tcPr>
                  <w:tcW w:w="4981" w:type="dxa"/>
                  <w:vAlign w:val="center"/>
                </w:tcPr>
                <w:p>
                  <w:pPr>
                    <w:snapToGrid w:val="0"/>
                    <w:spacing w:line="240" w:lineRule="auto"/>
                    <w:rPr>
                      <w:kern w:val="0"/>
                      <w:sz w:val="18"/>
                      <w:szCs w:val="18"/>
                      <w:u w:val="none"/>
                    </w:rPr>
                  </w:pPr>
                  <w:r>
                    <w:rPr>
                      <w:kern w:val="0"/>
                      <w:sz w:val="18"/>
                      <w:szCs w:val="18"/>
                      <w:u w:val="none"/>
                    </w:rPr>
                    <w:t>6.</w:t>
                  </w:r>
                  <w:r>
                    <w:rPr>
                      <w:rFonts w:hAnsi="宋体"/>
                      <w:kern w:val="0"/>
                      <w:sz w:val="18"/>
                      <w:szCs w:val="18"/>
                      <w:u w:val="none"/>
                    </w:rPr>
                    <w:t>优化产业布局（</w:t>
                  </w:r>
                  <w:r>
                    <w:rPr>
                      <w:kern w:val="0"/>
                      <w:sz w:val="18"/>
                      <w:szCs w:val="18"/>
                      <w:u w:val="none"/>
                    </w:rPr>
                    <w:t>1</w:t>
                  </w:r>
                  <w:r>
                    <w:rPr>
                      <w:rFonts w:hAnsi="宋体"/>
                      <w:kern w:val="0"/>
                      <w:sz w:val="18"/>
                      <w:szCs w:val="18"/>
                      <w:u w:val="none"/>
                    </w:rPr>
                    <w:t>）严格环境准入。按要求完成生态保护红线、环境质量底线、资源利用上线、环境准入清单编制工作，明确禁止和限制发展的行业、生产工艺和产业目录。依据国家和省高耗能、高污染、资源型行业准入条件，制定更加严格的产业准入门槛。积极推行区域、规划环境影响评价，新、改、扩建石化、化工、建材、有色等涉气项目的环境影响评价，应满足区域、规划环评要求。全市禁止钢铁、火电、焦化、电解铝、铸造、水泥、平板玻璃、传统煤化工（甲醇、合成氨）等行业新建、扩建单纯新增产能以及耐火材料、陶瓷等行业新建、扩建以煤炭为燃料的项目，对钢铁、水泥、电解铝、玻璃等行业不再实施产能置换。</w:t>
                  </w:r>
                </w:p>
              </w:tc>
              <w:tc>
                <w:tcPr>
                  <w:tcW w:w="1525" w:type="dxa"/>
                  <w:vAlign w:val="center"/>
                </w:tcPr>
                <w:p>
                  <w:pPr>
                    <w:snapToGrid w:val="0"/>
                    <w:spacing w:line="240" w:lineRule="auto"/>
                    <w:rPr>
                      <w:snapToGrid w:val="0"/>
                      <w:kern w:val="0"/>
                      <w:sz w:val="18"/>
                      <w:szCs w:val="18"/>
                      <w:u w:val="none"/>
                    </w:rPr>
                  </w:pPr>
                  <w:r>
                    <w:rPr>
                      <w:rFonts w:hAnsi="宋体"/>
                      <w:snapToGrid w:val="0"/>
                      <w:kern w:val="0"/>
                      <w:sz w:val="18"/>
                      <w:szCs w:val="18"/>
                      <w:u w:val="none"/>
                    </w:rPr>
                    <w:t>本项目</w:t>
                  </w:r>
                  <w:r>
                    <w:rPr>
                      <w:rFonts w:hAnsi="宋体"/>
                      <w:kern w:val="0"/>
                      <w:sz w:val="18"/>
                      <w:szCs w:val="18"/>
                      <w:u w:val="none"/>
                    </w:rPr>
                    <w:t>不属于钢铁、电解铝、水泥、玻璃、传统煤化工</w:t>
                  </w:r>
                  <w:r>
                    <w:rPr>
                      <w:kern w:val="0"/>
                      <w:sz w:val="18"/>
                      <w:szCs w:val="18"/>
                      <w:u w:val="none"/>
                    </w:rPr>
                    <w:t>(</w:t>
                  </w:r>
                  <w:r>
                    <w:rPr>
                      <w:rFonts w:hAnsi="宋体"/>
                      <w:kern w:val="0"/>
                      <w:sz w:val="18"/>
                      <w:szCs w:val="18"/>
                      <w:u w:val="none"/>
                    </w:rPr>
                    <w:t>甲醇、合成氨</w:t>
                  </w:r>
                  <w:r>
                    <w:rPr>
                      <w:kern w:val="0"/>
                      <w:sz w:val="18"/>
                      <w:szCs w:val="18"/>
                      <w:u w:val="none"/>
                    </w:rPr>
                    <w:t>)</w:t>
                  </w:r>
                  <w:r>
                    <w:rPr>
                      <w:rFonts w:hAnsi="宋体"/>
                      <w:kern w:val="0"/>
                      <w:sz w:val="18"/>
                      <w:szCs w:val="18"/>
                      <w:u w:val="none"/>
                    </w:rPr>
                    <w:t>、焦化、耐火材料、陶瓷等行业</w:t>
                  </w:r>
                  <w:r>
                    <w:rPr>
                      <w:rFonts w:hint="eastAsia" w:hAnsi="宋体"/>
                      <w:kern w:val="0"/>
                      <w:sz w:val="18"/>
                      <w:szCs w:val="18"/>
                      <w:u w:val="none"/>
                    </w:rPr>
                    <w:t>。</w:t>
                  </w:r>
                </w:p>
              </w:tc>
              <w:tc>
                <w:tcPr>
                  <w:tcW w:w="882" w:type="dxa"/>
                  <w:vAlign w:val="center"/>
                </w:tcPr>
                <w:p>
                  <w:pPr>
                    <w:snapToGrid w:val="0"/>
                    <w:spacing w:line="240" w:lineRule="auto"/>
                    <w:jc w:val="center"/>
                    <w:rPr>
                      <w:kern w:val="0"/>
                      <w:sz w:val="18"/>
                      <w:szCs w:val="18"/>
                      <w:u w:val="none"/>
                    </w:rPr>
                  </w:pPr>
                  <w:r>
                    <w:rPr>
                      <w:rFonts w:hAnsi="宋体"/>
                      <w:kern w:val="0"/>
                      <w:sz w:val="18"/>
                      <w:szCs w:val="18"/>
                      <w:u w:val="none"/>
                    </w:rPr>
                    <w:t>相符</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textAlignment w:val="auto"/>
              <w:outlineLvl w:val="9"/>
              <w:rPr>
                <w:bCs/>
                <w:sz w:val="24"/>
                <w:szCs w:val="24"/>
                <w:u w:val="none"/>
              </w:rPr>
            </w:pPr>
            <w:r>
              <w:rPr>
                <w:bCs/>
                <w:sz w:val="24"/>
                <w:szCs w:val="24"/>
                <w:u w:val="none"/>
              </w:rPr>
              <w:t>综上所述，</w:t>
            </w:r>
            <w:r>
              <w:rPr>
                <w:rFonts w:hint="eastAsia"/>
                <w:bCs/>
                <w:sz w:val="24"/>
                <w:szCs w:val="24"/>
                <w:u w:val="none"/>
              </w:rPr>
              <w:t>本项目的建设与《洛阳市污染防治攻坚战三年行动计划（2018—2020年）》</w:t>
            </w:r>
            <w:r>
              <w:rPr>
                <w:bCs/>
                <w:sz w:val="24"/>
                <w:szCs w:val="24"/>
                <w:u w:val="none"/>
              </w:rPr>
              <w:t>相关要求</w:t>
            </w:r>
            <w:r>
              <w:rPr>
                <w:rFonts w:hint="eastAsia"/>
                <w:bCs/>
                <w:sz w:val="24"/>
                <w:szCs w:val="24"/>
                <w:u w:val="none"/>
              </w:rPr>
              <w:t>相符</w:t>
            </w:r>
            <w:r>
              <w:rPr>
                <w:bCs/>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sz w:val="24"/>
                <w:szCs w:val="21"/>
                <w:u w:val="none"/>
              </w:rPr>
            </w:pPr>
            <w:r>
              <w:rPr>
                <w:rFonts w:hint="eastAsia"/>
                <w:sz w:val="24"/>
                <w:szCs w:val="24"/>
                <w:u w:val="none"/>
                <w:lang w:val="en-US" w:eastAsia="zh-CN"/>
              </w:rPr>
              <w:t>7.2</w:t>
            </w:r>
            <w:r>
              <w:rPr>
                <w:sz w:val="24"/>
                <w:szCs w:val="24"/>
                <w:u w:val="none"/>
              </w:rPr>
              <w:t>《洛阳市</w:t>
            </w:r>
            <w:r>
              <w:rPr>
                <w:rFonts w:hint="eastAsia"/>
                <w:sz w:val="24"/>
                <w:szCs w:val="24"/>
                <w:u w:val="none"/>
              </w:rPr>
              <w:t>2020</w:t>
            </w:r>
            <w:r>
              <w:rPr>
                <w:sz w:val="24"/>
                <w:szCs w:val="24"/>
                <w:u w:val="none"/>
              </w:rPr>
              <w:t>年</w:t>
            </w:r>
            <w:r>
              <w:rPr>
                <w:rFonts w:hint="eastAsia"/>
                <w:sz w:val="24"/>
                <w:szCs w:val="24"/>
                <w:u w:val="none"/>
              </w:rPr>
              <w:t>工业污染治理专项</w:t>
            </w:r>
            <w:r>
              <w:rPr>
                <w:sz w:val="24"/>
                <w:szCs w:val="24"/>
                <w:u w:val="none"/>
              </w:rPr>
              <w:t>方案的通知》（洛环攻坚</w:t>
            </w:r>
            <w:r>
              <w:rPr>
                <w:rFonts w:hint="eastAsia"/>
                <w:sz w:val="24"/>
                <w:szCs w:val="24"/>
                <w:u w:val="none"/>
              </w:rPr>
              <w:t>办</w:t>
            </w:r>
            <w:r>
              <w:rPr>
                <w:sz w:val="24"/>
                <w:szCs w:val="24"/>
                <w:u w:val="none"/>
              </w:rPr>
              <w:t>〔20</w:t>
            </w:r>
            <w:r>
              <w:rPr>
                <w:rFonts w:hint="eastAsia"/>
                <w:sz w:val="24"/>
                <w:szCs w:val="24"/>
                <w:u w:val="none"/>
              </w:rPr>
              <w:t>20</w:t>
            </w:r>
            <w:r>
              <w:rPr>
                <w:sz w:val="24"/>
                <w:szCs w:val="24"/>
                <w:u w:val="none"/>
              </w:rPr>
              <w:t>〕1</w:t>
            </w:r>
            <w:r>
              <w:rPr>
                <w:rFonts w:hint="eastAsia"/>
                <w:sz w:val="24"/>
                <w:szCs w:val="24"/>
                <w:u w:val="none"/>
              </w:rPr>
              <w:t>4</w:t>
            </w:r>
            <w:r>
              <w:rPr>
                <w:sz w:val="24"/>
                <w:szCs w:val="24"/>
                <w:u w:val="none"/>
              </w:rPr>
              <w:t>号）相符性分析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1"/>
                <w:u w:val="none"/>
              </w:rPr>
            </w:pPr>
            <w:r>
              <w:rPr>
                <w:rFonts w:hint="eastAsia"/>
                <w:sz w:val="24"/>
                <w:szCs w:val="21"/>
                <w:u w:val="none"/>
              </w:rPr>
              <w:t>洛阳市污染防治攻坚战领导小组办公室关于印发洛阳市2020年工业污染治理专项方案的通知（洛环攻坚办[2020]14号）文件的相关要求见下表。</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center"/>
              <w:textAlignment w:val="auto"/>
              <w:outlineLvl w:val="9"/>
              <w:rPr>
                <w:rFonts w:eastAsia="黑体"/>
                <w:sz w:val="24"/>
                <w:szCs w:val="24"/>
                <w:u w:val="none"/>
              </w:rPr>
            </w:pPr>
            <w:r>
              <w:rPr>
                <w:rFonts w:eastAsia="黑体"/>
                <w:sz w:val="24"/>
                <w:szCs w:val="24"/>
                <w:u w:val="none"/>
              </w:rPr>
              <w:t>表</w:t>
            </w:r>
            <w:r>
              <w:rPr>
                <w:rFonts w:hint="eastAsia" w:eastAsia="黑体"/>
                <w:sz w:val="24"/>
                <w:szCs w:val="24"/>
                <w:u w:val="none"/>
                <w:lang w:val="en-US" w:eastAsia="zh-CN"/>
              </w:rPr>
              <w:t xml:space="preserve">37           </w:t>
            </w:r>
            <w:r>
              <w:rPr>
                <w:rFonts w:eastAsia="黑体"/>
                <w:sz w:val="24"/>
                <w:szCs w:val="24"/>
                <w:u w:val="none"/>
              </w:rPr>
              <w:t xml:space="preserve">  洛环攻坚</w:t>
            </w:r>
            <w:r>
              <w:rPr>
                <w:rFonts w:hint="eastAsia" w:eastAsia="黑体"/>
                <w:sz w:val="24"/>
                <w:szCs w:val="24"/>
                <w:u w:val="none"/>
              </w:rPr>
              <w:t>办</w:t>
            </w:r>
            <w:r>
              <w:rPr>
                <w:rFonts w:eastAsia="黑体"/>
                <w:sz w:val="24"/>
                <w:szCs w:val="24"/>
                <w:u w:val="none"/>
              </w:rPr>
              <w:t>〔20</w:t>
            </w:r>
            <w:r>
              <w:rPr>
                <w:rFonts w:hint="eastAsia" w:eastAsia="黑体"/>
                <w:sz w:val="24"/>
                <w:szCs w:val="24"/>
                <w:u w:val="none"/>
              </w:rPr>
              <w:t>20</w:t>
            </w:r>
            <w:r>
              <w:rPr>
                <w:rFonts w:eastAsia="黑体"/>
                <w:sz w:val="24"/>
                <w:szCs w:val="24"/>
                <w:u w:val="none"/>
              </w:rPr>
              <w:t>〕1</w:t>
            </w:r>
            <w:r>
              <w:rPr>
                <w:rFonts w:hint="eastAsia" w:eastAsia="黑体"/>
                <w:sz w:val="24"/>
                <w:szCs w:val="24"/>
                <w:u w:val="none"/>
              </w:rPr>
              <w:t>4</w:t>
            </w:r>
            <w:r>
              <w:rPr>
                <w:rFonts w:eastAsia="黑体"/>
                <w:sz w:val="24"/>
                <w:szCs w:val="24"/>
                <w:u w:val="none"/>
              </w:rPr>
              <w:t>号文件相符性分析</w:t>
            </w:r>
          </w:p>
          <w:tbl>
            <w:tblPr>
              <w:tblStyle w:val="27"/>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5052"/>
              <w:gridCol w:w="2462"/>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序号</w:t>
                  </w:r>
                </w:p>
              </w:tc>
              <w:tc>
                <w:tcPr>
                  <w:tcW w:w="50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要求</w:t>
                  </w:r>
                </w:p>
              </w:tc>
              <w:tc>
                <w:tcPr>
                  <w:tcW w:w="24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环评要求</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1</w:t>
                  </w:r>
                </w:p>
              </w:tc>
              <w:tc>
                <w:tcPr>
                  <w:tcW w:w="50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u w:val="none"/>
                    </w:rPr>
                  </w:pPr>
                  <w:r>
                    <w:rPr>
                      <w:rFonts w:hint="eastAsia" w:eastAsiaTheme="minorEastAsia"/>
                      <w:color w:val="000000" w:themeColor="text1"/>
                      <w:sz w:val="18"/>
                      <w:szCs w:val="18"/>
                      <w:u w:val="none"/>
                    </w:rPr>
                    <w:t>工业无组织排放全面控制到位：工艺和工业堆场无组织排放治理。所有工业企业全面落实“密闭生产、密闭传输、密闭封装、密闭装卸、密闭储存、密闭运输”的工艺废气无组织排放控制措施；所有工业企业（除露天开采场所外）必须建设原料库和成品库，禁止露天作业、露天堆放。</w:t>
                  </w:r>
                </w:p>
              </w:tc>
              <w:tc>
                <w:tcPr>
                  <w:tcW w:w="24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u w:val="none"/>
                    </w:rPr>
                  </w:pPr>
                  <w:r>
                    <w:rPr>
                      <w:rFonts w:hint="eastAsia" w:eastAsiaTheme="minorEastAsia"/>
                      <w:color w:val="000000" w:themeColor="text1"/>
                      <w:sz w:val="18"/>
                      <w:szCs w:val="18"/>
                      <w:u w:val="none"/>
                    </w:rPr>
                    <w:t>本企业生产区位于密闭的生产车间内，</w:t>
                  </w:r>
                  <w:r>
                    <w:rPr>
                      <w:rFonts w:hint="eastAsia" w:eastAsiaTheme="minorEastAsia"/>
                      <w:color w:val="000000" w:themeColor="text1"/>
                      <w:sz w:val="18"/>
                      <w:szCs w:val="18"/>
                      <w:u w:val="none"/>
                      <w:lang w:eastAsia="zh-CN"/>
                    </w:rPr>
                    <w:t>不涉及流散体物料及成品</w:t>
                  </w:r>
                  <w:r>
                    <w:rPr>
                      <w:rFonts w:hint="eastAsia" w:eastAsiaTheme="minorEastAsia"/>
                      <w:color w:val="000000" w:themeColor="text1"/>
                      <w:sz w:val="18"/>
                      <w:szCs w:val="18"/>
                      <w:u w:val="none"/>
                    </w:rPr>
                    <w:t>。</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rFonts w:hint="eastAsia"/>
                      <w:snapToGrid w:val="0"/>
                      <w:sz w:val="18"/>
                      <w:szCs w:val="18"/>
                      <w:u w:val="none"/>
                    </w:rPr>
                    <w:t>2</w:t>
                  </w:r>
                </w:p>
              </w:tc>
              <w:tc>
                <w:tcPr>
                  <w:tcW w:w="50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u w:val="none"/>
                    </w:rPr>
                  </w:pPr>
                  <w:r>
                    <w:rPr>
                      <w:rFonts w:hint="eastAsia" w:eastAsiaTheme="minorEastAsia"/>
                      <w:color w:val="000000" w:themeColor="text1"/>
                      <w:sz w:val="18"/>
                      <w:szCs w:val="18"/>
                      <w:u w:val="none"/>
                    </w:rPr>
                    <w:t>工业焊接烟气无组织排放治理。全市机械加工、装备制造、钢构加工、钢制家具制造、锻造等凡排放工业焊接烟气的企业或工艺（不包括临时施工焊接烟气）淘汰移动式焊接烟气收集净化设施，进行工艺改造和整合，建设固定点位焊接烟气收集净化设施，配套建设袋式除尘器，颗粒物排放浓度不高于10毫克/立方米。</w:t>
                  </w:r>
                </w:p>
              </w:tc>
              <w:tc>
                <w:tcPr>
                  <w:tcW w:w="24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u w:val="none"/>
                    </w:rPr>
                  </w:pPr>
                  <w:r>
                    <w:rPr>
                      <w:rFonts w:hint="eastAsia" w:eastAsiaTheme="minorEastAsia"/>
                      <w:color w:val="000000" w:themeColor="text1"/>
                      <w:sz w:val="18"/>
                      <w:szCs w:val="18"/>
                      <w:u w:val="none"/>
                    </w:rPr>
                    <w:t>本项目设固定焊接工序作业区，焊接烟尘经配套的袋式除尘器进行处理</w:t>
                  </w:r>
                  <w:r>
                    <w:rPr>
                      <w:rFonts w:hint="eastAsia" w:eastAsiaTheme="minorEastAsia"/>
                      <w:color w:val="000000" w:themeColor="text1"/>
                      <w:sz w:val="18"/>
                      <w:szCs w:val="18"/>
                      <w:u w:val="none"/>
                      <w:lang w:eastAsia="zh-CN"/>
                    </w:rPr>
                    <w:t>，颗粒物排放浓度小于</w:t>
                  </w:r>
                  <w:r>
                    <w:rPr>
                      <w:rFonts w:hint="eastAsia" w:eastAsiaTheme="minorEastAsia"/>
                      <w:color w:val="000000" w:themeColor="text1"/>
                      <w:sz w:val="18"/>
                      <w:szCs w:val="18"/>
                      <w:u w:val="none"/>
                      <w:lang w:val="en-US" w:eastAsia="zh-CN"/>
                    </w:rPr>
                    <w:t>10</w:t>
                  </w:r>
                  <w:r>
                    <w:rPr>
                      <w:rFonts w:hint="eastAsia" w:eastAsiaTheme="minorEastAsia"/>
                      <w:color w:val="000000" w:themeColor="text1"/>
                      <w:sz w:val="18"/>
                      <w:szCs w:val="18"/>
                      <w:u w:val="none"/>
                    </w:rPr>
                    <w:t>毫克/立方米。</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u w:val="none"/>
                    </w:rPr>
                  </w:pPr>
                  <w:r>
                    <w:rPr>
                      <w:snapToGrid w:val="0"/>
                      <w:sz w:val="18"/>
                      <w:szCs w:val="18"/>
                      <w:u w:val="none"/>
                    </w:rPr>
                    <w:t>相符</w:t>
                  </w:r>
                </w:p>
              </w:tc>
            </w:tr>
          </w:tbl>
          <w:p>
            <w:pPr>
              <w:widowControl/>
              <w:spacing w:line="360" w:lineRule="auto"/>
              <w:ind w:firstLine="480" w:firstLineChars="200"/>
              <w:rPr>
                <w:bCs/>
                <w:sz w:val="24"/>
                <w:szCs w:val="24"/>
                <w:u w:val="none"/>
              </w:rPr>
            </w:pPr>
            <w:r>
              <w:rPr>
                <w:sz w:val="24"/>
                <w:szCs w:val="24"/>
                <w:u w:val="none"/>
              </w:rPr>
              <w:t>由上述分析可知，</w:t>
            </w:r>
            <w:r>
              <w:rPr>
                <w:kern w:val="0"/>
                <w:sz w:val="24"/>
                <w:szCs w:val="21"/>
                <w:u w:val="none"/>
              </w:rPr>
              <w:t>本项目建设符合《</w:t>
            </w:r>
            <w:r>
              <w:rPr>
                <w:rFonts w:hint="eastAsia"/>
                <w:sz w:val="24"/>
                <w:szCs w:val="21"/>
                <w:u w:val="none"/>
              </w:rPr>
              <w:t>洛阳市2020年工业污染治理专项方案的通知</w:t>
            </w:r>
            <w:r>
              <w:rPr>
                <w:kern w:val="0"/>
                <w:sz w:val="24"/>
                <w:szCs w:val="21"/>
                <w:u w:val="none"/>
              </w:rPr>
              <w:t>》</w:t>
            </w:r>
            <w:r>
              <w:rPr>
                <w:sz w:val="24"/>
                <w:szCs w:val="21"/>
                <w:u w:val="none"/>
              </w:rPr>
              <w:t>（</w:t>
            </w:r>
            <w:r>
              <w:rPr>
                <w:rFonts w:hint="eastAsia"/>
                <w:sz w:val="24"/>
                <w:szCs w:val="21"/>
                <w:u w:val="none"/>
              </w:rPr>
              <w:t>洛环攻坚办[2020]14号</w:t>
            </w:r>
            <w:r>
              <w:rPr>
                <w:sz w:val="24"/>
                <w:szCs w:val="21"/>
                <w:u w:val="none"/>
              </w:rPr>
              <w:t>）</w:t>
            </w:r>
            <w:r>
              <w:rPr>
                <w:kern w:val="0"/>
                <w:sz w:val="24"/>
                <w:szCs w:val="21"/>
                <w:u w:val="none"/>
              </w:rPr>
              <w:t>中相关要求。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outlineLvl w:val="9"/>
              <w:rPr>
                <w:rFonts w:ascii="黑体" w:hAnsi="黑体" w:eastAsia="黑体" w:cs="宋体"/>
                <w:sz w:val="28"/>
                <w:szCs w:val="28"/>
                <w:u w:val="none"/>
              </w:rPr>
            </w:pPr>
            <w:r>
              <w:rPr>
                <w:rFonts w:hint="eastAsia"/>
                <w:bCs/>
                <w:color w:val="000000"/>
                <w:sz w:val="24"/>
                <w:szCs w:val="24"/>
                <w:u w:val="none"/>
              </w:rPr>
              <w:t>7.3与《偃师市环境污染防治攻坚战领导小组关于印发偃师市2020年大气污染防治攻坚战实施方案的通知》（偃环攻坚[2020]2号）相符性分析</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1440" w:firstLineChars="600"/>
              <w:jc w:val="left"/>
              <w:textAlignment w:val="auto"/>
              <w:outlineLvl w:val="9"/>
              <w:rPr>
                <w:rFonts w:ascii="黑体" w:hAnsi="黑体" w:eastAsia="黑体"/>
                <w:sz w:val="24"/>
                <w:u w:val="none"/>
              </w:rPr>
            </w:pPr>
            <w:r>
              <w:rPr>
                <w:rFonts w:hint="eastAsia" w:ascii="黑体" w:hAnsi="黑体" w:eastAsia="黑体"/>
                <w:bCs/>
                <w:sz w:val="24"/>
                <w:u w:val="none"/>
              </w:rPr>
              <w:t>表</w:t>
            </w:r>
            <w:r>
              <w:rPr>
                <w:bCs/>
                <w:sz w:val="24"/>
                <w:u w:val="none"/>
              </w:rPr>
              <w:t>3</w:t>
            </w:r>
            <w:r>
              <w:rPr>
                <w:rFonts w:hint="eastAsia"/>
                <w:bCs/>
                <w:sz w:val="24"/>
                <w:u w:val="none"/>
                <w:lang w:val="en-US" w:eastAsia="zh-CN"/>
              </w:rPr>
              <w:t>8</w:t>
            </w:r>
            <w:r>
              <w:rPr>
                <w:rFonts w:hint="eastAsia"/>
                <w:bCs/>
                <w:sz w:val="24"/>
                <w:u w:val="none"/>
              </w:rPr>
              <w:t xml:space="preserve">   </w:t>
            </w:r>
            <w:r>
              <w:rPr>
                <w:bCs/>
                <w:sz w:val="24"/>
                <w:u w:val="none"/>
              </w:rPr>
              <w:t xml:space="preserve">          </w:t>
            </w:r>
            <w:r>
              <w:rPr>
                <w:rFonts w:hint="eastAsia"/>
                <w:bCs/>
                <w:sz w:val="24"/>
                <w:u w:val="none"/>
              </w:rPr>
              <w:t xml:space="preserve"> </w:t>
            </w:r>
            <w:r>
              <w:rPr>
                <w:rFonts w:ascii="黑体" w:hAnsi="黑体" w:eastAsia="黑体"/>
                <w:sz w:val="24"/>
                <w:u w:val="none"/>
              </w:rPr>
              <w:t>项目与文件相符性分析一览表</w:t>
            </w:r>
          </w:p>
          <w:tbl>
            <w:tblPr>
              <w:tblStyle w:val="27"/>
              <w:tblW w:w="900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5"/>
              <w:gridCol w:w="4145"/>
              <w:gridCol w:w="2822"/>
              <w:gridCol w:w="1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9" w:hRule="atLeast"/>
                <w:jc w:val="center"/>
              </w:trPr>
              <w:tc>
                <w:tcPr>
                  <w:tcW w:w="955" w:type="dxa"/>
                  <w:vAlign w:val="center"/>
                </w:tcPr>
                <w:p>
                  <w:pPr>
                    <w:adjustRightInd w:val="0"/>
                    <w:snapToGrid w:val="0"/>
                    <w:spacing w:line="240" w:lineRule="auto"/>
                    <w:jc w:val="center"/>
                    <w:rPr>
                      <w:snapToGrid w:val="0"/>
                      <w:kern w:val="0"/>
                      <w:sz w:val="18"/>
                      <w:szCs w:val="18"/>
                      <w:u w:val="none"/>
                    </w:rPr>
                  </w:pPr>
                  <w:r>
                    <w:rPr>
                      <w:rFonts w:hint="eastAsia"/>
                      <w:snapToGrid w:val="0"/>
                      <w:kern w:val="0"/>
                      <w:sz w:val="18"/>
                      <w:szCs w:val="18"/>
                      <w:u w:val="none"/>
                    </w:rPr>
                    <w:t>项目</w:t>
                  </w:r>
                </w:p>
              </w:tc>
              <w:tc>
                <w:tcPr>
                  <w:tcW w:w="4145" w:type="dxa"/>
                  <w:vAlign w:val="center"/>
                </w:tcPr>
                <w:p>
                  <w:pPr>
                    <w:adjustRightInd w:val="0"/>
                    <w:snapToGrid w:val="0"/>
                    <w:spacing w:line="240" w:lineRule="auto"/>
                    <w:jc w:val="center"/>
                    <w:rPr>
                      <w:snapToGrid w:val="0"/>
                      <w:kern w:val="0"/>
                      <w:sz w:val="18"/>
                      <w:szCs w:val="18"/>
                      <w:u w:val="none"/>
                    </w:rPr>
                  </w:pPr>
                  <w:r>
                    <w:rPr>
                      <w:rFonts w:hint="eastAsia"/>
                      <w:snapToGrid w:val="0"/>
                      <w:kern w:val="0"/>
                      <w:sz w:val="18"/>
                      <w:szCs w:val="18"/>
                      <w:u w:val="none"/>
                    </w:rPr>
                    <w:t>方案要求内容</w:t>
                  </w:r>
                </w:p>
              </w:tc>
              <w:tc>
                <w:tcPr>
                  <w:tcW w:w="2822" w:type="dxa"/>
                  <w:vAlign w:val="center"/>
                </w:tcPr>
                <w:p>
                  <w:pPr>
                    <w:adjustRightInd w:val="0"/>
                    <w:snapToGrid w:val="0"/>
                    <w:spacing w:line="240" w:lineRule="auto"/>
                    <w:jc w:val="center"/>
                    <w:rPr>
                      <w:snapToGrid w:val="0"/>
                      <w:kern w:val="0"/>
                      <w:sz w:val="18"/>
                      <w:szCs w:val="18"/>
                      <w:u w:val="none"/>
                    </w:rPr>
                  </w:pPr>
                  <w:r>
                    <w:rPr>
                      <w:rFonts w:hint="eastAsia"/>
                      <w:snapToGrid w:val="0"/>
                      <w:kern w:val="0"/>
                      <w:sz w:val="18"/>
                      <w:szCs w:val="18"/>
                      <w:u w:val="none"/>
                    </w:rPr>
                    <w:t>本项目情况</w:t>
                  </w:r>
                </w:p>
              </w:tc>
              <w:tc>
                <w:tcPr>
                  <w:tcW w:w="1084" w:type="dxa"/>
                  <w:vAlign w:val="center"/>
                </w:tcPr>
                <w:p>
                  <w:pPr>
                    <w:adjustRightInd w:val="0"/>
                    <w:snapToGrid w:val="0"/>
                    <w:spacing w:line="240" w:lineRule="auto"/>
                    <w:jc w:val="center"/>
                    <w:rPr>
                      <w:snapToGrid w:val="0"/>
                      <w:kern w:val="0"/>
                      <w:sz w:val="18"/>
                      <w:szCs w:val="18"/>
                      <w:u w:val="none"/>
                    </w:rPr>
                  </w:pPr>
                  <w:r>
                    <w:rPr>
                      <w:rFonts w:hint="eastAsia"/>
                      <w:snapToGrid w:val="0"/>
                      <w:kern w:val="0"/>
                      <w:sz w:val="18"/>
                      <w:szCs w:val="18"/>
                      <w:u w:val="none"/>
                    </w:rPr>
                    <w:t>相符性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9" w:hRule="atLeast"/>
                <w:jc w:val="center"/>
              </w:trPr>
              <w:tc>
                <w:tcPr>
                  <w:tcW w:w="955" w:type="dxa"/>
                  <w:vAlign w:val="center"/>
                </w:tcPr>
                <w:p>
                  <w:pPr>
                    <w:adjustRightInd w:val="0"/>
                    <w:snapToGrid w:val="0"/>
                    <w:spacing w:line="240" w:lineRule="auto"/>
                    <w:jc w:val="left"/>
                    <w:rPr>
                      <w:snapToGrid w:val="0"/>
                      <w:kern w:val="0"/>
                      <w:sz w:val="18"/>
                      <w:szCs w:val="18"/>
                      <w:u w:val="none"/>
                    </w:rPr>
                  </w:pPr>
                  <w:r>
                    <w:rPr>
                      <w:rFonts w:hint="eastAsia"/>
                      <w:snapToGrid w:val="0"/>
                      <w:kern w:val="0"/>
                      <w:sz w:val="18"/>
                      <w:szCs w:val="18"/>
                      <w:u w:val="none"/>
                    </w:rPr>
                    <w:t xml:space="preserve">（三）产业升级改造专项 </w:t>
                  </w:r>
                </w:p>
              </w:tc>
              <w:tc>
                <w:tcPr>
                  <w:tcW w:w="4145" w:type="dxa"/>
                  <w:vAlign w:val="center"/>
                </w:tcPr>
                <w:p>
                  <w:pPr>
                    <w:spacing w:line="240" w:lineRule="auto"/>
                    <w:jc w:val="left"/>
                    <w:rPr>
                      <w:sz w:val="18"/>
                      <w:szCs w:val="18"/>
                      <w:u w:val="none"/>
                    </w:rPr>
                  </w:pPr>
                  <w:r>
                    <w:rPr>
                      <w:sz w:val="18"/>
                      <w:szCs w:val="18"/>
                      <w:u w:val="none"/>
                    </w:rPr>
                    <w:t>3.严格新建项目准入管理。</w:t>
                  </w:r>
                </w:p>
                <w:p>
                  <w:pPr>
                    <w:spacing w:line="240" w:lineRule="auto"/>
                    <w:jc w:val="left"/>
                    <w:rPr>
                      <w:snapToGrid w:val="0"/>
                      <w:kern w:val="0"/>
                      <w:sz w:val="18"/>
                      <w:szCs w:val="18"/>
                      <w:u w:val="none"/>
                    </w:rPr>
                  </w:pPr>
                  <w:r>
                    <w:rPr>
                      <w:sz w:val="18"/>
                      <w:szCs w:val="18"/>
                      <w:u w:val="none"/>
                    </w:rPr>
                    <w:t>按照生态保护红线、环境质量</w:t>
                  </w:r>
                  <w:r>
                    <w:rPr>
                      <w:rFonts w:hint="eastAsia"/>
                      <w:sz w:val="18"/>
                      <w:szCs w:val="18"/>
                      <w:u w:val="none"/>
                    </w:rPr>
                    <w:t>底线、资源利用上线和环境准入清单“三线一单”要求，加强区域、流域规划环评管理，强化对项目环评的指导和约束，明确禁止和限制发展的行业、生产工艺和产业目录，从源头上预防环境污染和生态破坏。</w:t>
                  </w:r>
                  <w:r>
                    <w:rPr>
                      <w:rFonts w:hint="eastAsia"/>
                      <w:b/>
                      <w:bCs/>
                      <w:sz w:val="18"/>
                      <w:szCs w:val="18"/>
                      <w:u w:val="none"/>
                    </w:rPr>
                    <w:t>全市原则上禁止钢铁、焦化、电解铝、铸造、水泥、平板玻璃、传统煤化工（甲醇、合成氨）、砖瓦窑、耐火材料等行业新建、扩建单纯新增产能</w:t>
                  </w:r>
                  <w:r>
                    <w:rPr>
                      <w:rFonts w:hint="eastAsia"/>
                      <w:sz w:val="18"/>
                      <w:szCs w:val="18"/>
                      <w:u w:val="none"/>
                    </w:rPr>
                    <w:t>以及耐火材料、陶瓷等行业新建、扩建以煤炭为燃料的项目，禁止新建燃料类煤气发生炉和</w:t>
                  </w:r>
                  <w:r>
                    <w:rPr>
                      <w:sz w:val="18"/>
                      <w:szCs w:val="18"/>
                      <w:u w:val="none"/>
                    </w:rPr>
                    <w:t>35蒸吨/时及以下燃煤锅炉。</w:t>
                  </w:r>
                  <w:r>
                    <w:rPr>
                      <w:bCs/>
                      <w:sz w:val="18"/>
                      <w:szCs w:val="18"/>
                      <w:u w:val="none"/>
                    </w:rPr>
                    <w:t>全市新建工业窑炉的建设项目，应</w:t>
                  </w:r>
                  <w:r>
                    <w:rPr>
                      <w:rFonts w:hint="eastAsia"/>
                      <w:bCs/>
                      <w:sz w:val="18"/>
                      <w:szCs w:val="18"/>
                      <w:u w:val="none"/>
                    </w:rPr>
                    <w:t>进入产业集聚区或工业园区并配套建设高效环保治理设施。</w:t>
                  </w:r>
                </w:p>
              </w:tc>
              <w:tc>
                <w:tcPr>
                  <w:tcW w:w="2822" w:type="dxa"/>
                  <w:vAlign w:val="center"/>
                </w:tcPr>
                <w:p>
                  <w:pPr>
                    <w:adjustRightInd w:val="0"/>
                    <w:snapToGrid w:val="0"/>
                    <w:spacing w:line="240" w:lineRule="auto"/>
                    <w:jc w:val="left"/>
                    <w:rPr>
                      <w:snapToGrid w:val="0"/>
                      <w:kern w:val="0"/>
                      <w:sz w:val="18"/>
                      <w:szCs w:val="18"/>
                      <w:u w:val="none"/>
                    </w:rPr>
                  </w:pPr>
                  <w:r>
                    <w:rPr>
                      <w:rFonts w:hint="eastAsia"/>
                      <w:snapToGrid w:val="0"/>
                      <w:kern w:val="0"/>
                      <w:sz w:val="18"/>
                      <w:szCs w:val="18"/>
                      <w:u w:val="none"/>
                    </w:rPr>
                    <w:t>本项目不属于</w:t>
                  </w:r>
                  <w:r>
                    <w:rPr>
                      <w:snapToGrid w:val="0"/>
                      <w:kern w:val="0"/>
                      <w:sz w:val="18"/>
                      <w:szCs w:val="18"/>
                      <w:u w:val="none"/>
                    </w:rPr>
                    <w:t>左列中</w:t>
                  </w:r>
                  <w:r>
                    <w:rPr>
                      <w:rFonts w:hint="eastAsia"/>
                      <w:snapToGrid w:val="0"/>
                      <w:kern w:val="0"/>
                      <w:sz w:val="18"/>
                      <w:szCs w:val="18"/>
                      <w:u w:val="none"/>
                    </w:rPr>
                    <w:t>限制</w:t>
                  </w:r>
                  <w:r>
                    <w:rPr>
                      <w:snapToGrid w:val="0"/>
                      <w:kern w:val="0"/>
                      <w:sz w:val="18"/>
                      <w:szCs w:val="18"/>
                      <w:u w:val="none"/>
                    </w:rPr>
                    <w:t>和禁止的行业</w:t>
                  </w:r>
                </w:p>
              </w:tc>
              <w:tc>
                <w:tcPr>
                  <w:tcW w:w="1084" w:type="dxa"/>
                  <w:vAlign w:val="center"/>
                </w:tcPr>
                <w:p>
                  <w:pPr>
                    <w:adjustRightInd w:val="0"/>
                    <w:snapToGrid w:val="0"/>
                    <w:spacing w:line="240" w:lineRule="auto"/>
                    <w:jc w:val="center"/>
                    <w:rPr>
                      <w:snapToGrid w:val="0"/>
                      <w:kern w:val="0"/>
                      <w:sz w:val="18"/>
                      <w:szCs w:val="18"/>
                      <w:u w:val="none"/>
                    </w:rPr>
                  </w:pPr>
                  <w:r>
                    <w:rPr>
                      <w:rFonts w:hint="eastAsia"/>
                      <w:snapToGrid w:val="0"/>
                      <w:kern w:val="0"/>
                      <w:sz w:val="18"/>
                      <w:szCs w:val="18"/>
                      <w:u w:val="none"/>
                    </w:rPr>
                    <w:t>符合</w:t>
                  </w:r>
                </w:p>
              </w:tc>
            </w:tr>
          </w:tbl>
          <w:p>
            <w:pPr>
              <w:spacing w:line="520" w:lineRule="exact"/>
              <w:ind w:firstLine="480"/>
              <w:jc w:val="left"/>
              <w:rPr>
                <w:b/>
                <w:sz w:val="24"/>
                <w:u w:val="none"/>
              </w:rPr>
            </w:pPr>
            <w:r>
              <w:rPr>
                <w:rFonts w:hint="eastAsia"/>
                <w:sz w:val="24"/>
                <w:u w:val="none"/>
              </w:rPr>
              <w:t>根据上表可知，本</w:t>
            </w:r>
            <w:r>
              <w:rPr>
                <w:rFonts w:hint="eastAsia"/>
                <w:bCs/>
                <w:sz w:val="24"/>
                <w:u w:val="none"/>
              </w:rPr>
              <w:t>项目的建设符合</w:t>
            </w:r>
            <w:r>
              <w:rPr>
                <w:bCs/>
                <w:sz w:val="24"/>
                <w:u w:val="none"/>
              </w:rPr>
              <w:t>《</w:t>
            </w:r>
            <w:r>
              <w:rPr>
                <w:rFonts w:hint="eastAsia"/>
                <w:bCs/>
                <w:sz w:val="24"/>
                <w:u w:val="none"/>
              </w:rPr>
              <w:t>偃师市环境污染防治攻坚战领导小组关于印发偃师市2</w:t>
            </w:r>
            <w:r>
              <w:rPr>
                <w:bCs/>
                <w:sz w:val="24"/>
                <w:u w:val="none"/>
              </w:rPr>
              <w:t>020年大气污染防治攻坚战实施方案的通知》</w:t>
            </w:r>
            <w:r>
              <w:rPr>
                <w:rFonts w:hint="eastAsia"/>
                <w:bCs/>
                <w:sz w:val="24"/>
                <w:u w:val="none"/>
              </w:rPr>
              <w:t>（偃环攻坚[</w:t>
            </w:r>
            <w:r>
              <w:rPr>
                <w:bCs/>
                <w:sz w:val="24"/>
                <w:u w:val="none"/>
              </w:rPr>
              <w:t>2020]2号</w:t>
            </w:r>
            <w:r>
              <w:rPr>
                <w:rFonts w:hint="eastAsia"/>
                <w:bCs/>
                <w:sz w:val="24"/>
                <w:u w:val="none"/>
              </w:rPr>
              <w:t>）</w:t>
            </w:r>
            <w:r>
              <w:rPr>
                <w:rFonts w:hint="eastAsia"/>
                <w:sz w:val="24"/>
                <w:u w:val="none"/>
              </w:rPr>
              <w:t>文</w:t>
            </w:r>
            <w:r>
              <w:rPr>
                <w:rFonts w:hint="eastAsia"/>
                <w:bCs/>
                <w:sz w:val="24"/>
                <w:u w:val="none"/>
              </w:rPr>
              <w:t>的相关要求。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方正小标宋简体" w:cs="方正小标宋简体"/>
                <w:b w:val="0"/>
                <w:bCs w:val="0"/>
                <w:sz w:val="44"/>
                <w:szCs w:val="44"/>
                <w:u w:val="none"/>
              </w:rPr>
            </w:pPr>
            <w:r>
              <w:rPr>
                <w:rFonts w:hint="eastAsia"/>
                <w:b w:val="0"/>
                <w:bCs w:val="0"/>
                <w:color w:val="000000" w:themeColor="text1"/>
                <w:sz w:val="24"/>
                <w:szCs w:val="24"/>
                <w:u w:val="none"/>
                <w:lang w:val="en-US" w:eastAsia="zh-CN"/>
              </w:rPr>
              <w:t>7.4与偃政办（2019）10号中《偃师市钢制家具行业规范标准》（试行）相符性分析</w:t>
            </w:r>
          </w:p>
          <w:p>
            <w:pPr>
              <w:pStyle w:val="6"/>
              <w:spacing w:line="360" w:lineRule="auto"/>
              <w:ind w:firstLine="480" w:firstLineChars="0"/>
              <w:rPr>
                <w:rFonts w:hint="eastAsia"/>
                <w:b w:val="0"/>
                <w:bCs w:val="0"/>
                <w:color w:val="000000" w:themeColor="text1"/>
                <w:sz w:val="24"/>
                <w:szCs w:val="24"/>
                <w:u w:val="none"/>
                <w:lang w:val="en-US" w:eastAsia="zh-CN"/>
              </w:rPr>
            </w:pPr>
            <w:r>
              <w:rPr>
                <w:rFonts w:hint="eastAsia"/>
                <w:b w:val="0"/>
                <w:bCs w:val="0"/>
                <w:color w:val="000000" w:themeColor="text1"/>
                <w:sz w:val="24"/>
                <w:szCs w:val="24"/>
                <w:u w:val="none"/>
                <w:lang w:val="en-US" w:eastAsia="zh-CN"/>
              </w:rPr>
              <w:t>本项目与偃政办（2019）10号中《偃师市钢制家具行业规范标准》（试行）相符性分析见下表。</w:t>
            </w:r>
          </w:p>
          <w:p>
            <w:pPr>
              <w:pStyle w:val="6"/>
              <w:spacing w:line="240" w:lineRule="auto"/>
              <w:ind w:firstLine="480" w:firstLineChars="0"/>
              <w:rPr>
                <w:rFonts w:hint="eastAsia" w:ascii="黑体" w:hAnsi="黑体" w:eastAsia="黑体" w:cs="黑体"/>
                <w:b w:val="0"/>
                <w:bCs w:val="0"/>
                <w:color w:val="000000" w:themeColor="text1"/>
                <w:sz w:val="24"/>
                <w:szCs w:val="24"/>
                <w:u w:val="none"/>
                <w:lang w:val="en-US" w:eastAsia="zh-CN"/>
              </w:rPr>
            </w:pPr>
            <w:r>
              <w:rPr>
                <w:rFonts w:hint="eastAsia"/>
                <w:b/>
                <w:bCs/>
                <w:color w:val="000000" w:themeColor="text1"/>
                <w:sz w:val="24"/>
                <w:szCs w:val="24"/>
                <w:u w:val="none"/>
                <w:lang w:val="en-US" w:eastAsia="zh-CN"/>
              </w:rPr>
              <w:t xml:space="preserve">   </w:t>
            </w:r>
            <w:r>
              <w:rPr>
                <w:rFonts w:hint="eastAsia" w:ascii="黑体" w:hAnsi="黑体" w:eastAsia="黑体" w:cs="黑体"/>
                <w:b w:val="0"/>
                <w:bCs w:val="0"/>
                <w:color w:val="000000" w:themeColor="text1"/>
                <w:sz w:val="24"/>
                <w:szCs w:val="24"/>
                <w:u w:val="none"/>
                <w:lang w:val="en-US" w:eastAsia="zh-CN"/>
              </w:rPr>
              <w:t xml:space="preserve"> 表39   与《偃师市钢制家具行业规范标准》（试行）相符性分析一览表</w:t>
            </w:r>
          </w:p>
          <w:tbl>
            <w:tblPr>
              <w:tblStyle w:val="28"/>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753"/>
              <w:gridCol w:w="390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54" w:type="dxa"/>
                  <w:gridSpan w:val="2"/>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规范要求</w:t>
                  </w:r>
                </w:p>
              </w:tc>
              <w:tc>
                <w:tcPr>
                  <w:tcW w:w="3900" w:type="dxa"/>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本项目情况</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u w:val="none"/>
                    </w:rPr>
                  </w:pPr>
                  <w:r>
                    <w:rPr>
                      <w:rFonts w:hint="default" w:ascii="Times New Roman" w:hAnsi="Times New Roman" w:eastAsia="宋体" w:cs="Times New Roman"/>
                      <w:b w:val="0"/>
                      <w:bCs w:val="0"/>
                      <w:sz w:val="18"/>
                      <w:szCs w:val="18"/>
                      <w:u w:val="none"/>
                    </w:rPr>
                    <w:t>建设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u w:val="none"/>
                    </w:rPr>
                  </w:pPr>
                  <w:r>
                    <w:rPr>
                      <w:rFonts w:hint="default" w:ascii="Times New Roman" w:hAnsi="Times New Roman" w:eastAsia="宋体" w:cs="Times New Roman"/>
                      <w:b w:val="0"/>
                      <w:bCs w:val="0"/>
                      <w:sz w:val="18"/>
                      <w:szCs w:val="18"/>
                      <w:u w:val="none"/>
                    </w:rPr>
                    <w:t>条件和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u w:val="none"/>
                    </w:rPr>
                  </w:pPr>
                  <w:r>
                    <w:rPr>
                      <w:rFonts w:hint="default" w:ascii="Times New Roman" w:hAnsi="Times New Roman" w:eastAsia="宋体" w:cs="Times New Roman"/>
                      <w:b w:val="0"/>
                      <w:bCs w:val="0"/>
                      <w:sz w:val="18"/>
                      <w:szCs w:val="18"/>
                      <w:u w:val="none"/>
                    </w:rPr>
                    <w:t>生产布局</w:t>
                  </w:r>
                </w:p>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新建和扩建钢制办公家具项目应符合国家产业政策和我市产业规划，统筹资源、能源、环境、物流和市场等因素，合理布局，优化产业产品结构，逐步进入园区，提高生产集中度。项目选址应符合城市（城镇或村庄）总体发展规划、土地利用总体规划、土地供应政策和土地使用标准的规定。</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w:t>
                  </w:r>
                  <w:r>
                    <w:rPr>
                      <w:rFonts w:hint="eastAsia" w:cs="Times New Roman"/>
                      <w:b w:val="0"/>
                      <w:bCs w:val="0"/>
                      <w:color w:val="000000" w:themeColor="text1"/>
                      <w:sz w:val="18"/>
                      <w:szCs w:val="18"/>
                      <w:u w:val="none"/>
                      <w:vertAlign w:val="baseline"/>
                      <w:lang w:val="en-US" w:eastAsia="zh-CN"/>
                    </w:rPr>
                    <w:t>不属于</w:t>
                  </w:r>
                  <w:r>
                    <w:rPr>
                      <w:rFonts w:hint="eastAsia" w:ascii="Times New Roman" w:hAnsi="Times New Roman" w:eastAsia="宋体" w:cs="Times New Roman"/>
                      <w:b w:val="0"/>
                      <w:bCs w:val="0"/>
                      <w:color w:val="000000" w:themeColor="text1"/>
                      <w:sz w:val="18"/>
                      <w:szCs w:val="18"/>
                      <w:u w:val="none"/>
                      <w:vertAlign w:val="baseline"/>
                      <w:lang w:val="en-US" w:eastAsia="zh-CN"/>
                    </w:rPr>
                    <w:t>《产业结构调整指导目录（2019年本）》中限制类、淘汰类项目，属允许建设项目，该项目已</w:t>
                  </w:r>
                  <w:r>
                    <w:rPr>
                      <w:color w:val="000000" w:themeColor="text1"/>
                      <w:sz w:val="18"/>
                      <w:szCs w:val="18"/>
                      <w:u w:val="none"/>
                    </w:rPr>
                    <w:t>在偃师市发展和改革委员会备案</w:t>
                  </w:r>
                  <w:r>
                    <w:rPr>
                      <w:rFonts w:hint="eastAsia" w:ascii="Times New Roman" w:hAnsi="Times New Roman" w:eastAsia="宋体" w:cs="Times New Roman"/>
                      <w:b w:val="0"/>
                      <w:bCs w:val="0"/>
                      <w:color w:val="000000" w:themeColor="text1"/>
                      <w:sz w:val="18"/>
                      <w:szCs w:val="18"/>
                      <w:u w:val="none"/>
                      <w:vertAlign w:val="baseline"/>
                      <w:lang w:val="en-US" w:eastAsia="zh-CN"/>
                    </w:rPr>
                    <w:t>，符合国家产业政策；</w:t>
                  </w:r>
                  <w:r>
                    <w:rPr>
                      <w:rFonts w:hint="eastAsia" w:cs="Times New Roman"/>
                      <w:b w:val="0"/>
                      <w:bCs w:val="0"/>
                      <w:color w:val="000000" w:themeColor="text1"/>
                      <w:sz w:val="18"/>
                      <w:szCs w:val="18"/>
                      <w:u w:val="none"/>
                      <w:vertAlign w:val="baseline"/>
                      <w:lang w:val="en-US" w:eastAsia="zh-CN"/>
                    </w:rPr>
                    <w:t>根据偃师市国土资源局出具的文件，项目用地为工业用地；根据偃师市规划局出具的文件，项目用地为工业用地，符合总体规划。</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（二）严禁在风景名胜区、生态保护区、自然和文化遗产保护区、饮用水源保护区、城市建成区和非工业规划区等区域内新建钢制办公家具项目。</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本项目厂址不在</w:t>
                  </w:r>
                  <w:r>
                    <w:rPr>
                      <w:rFonts w:hint="default" w:ascii="Times New Roman" w:hAnsi="Times New Roman" w:eastAsia="宋体" w:cs="Times New Roman"/>
                      <w:kern w:val="2"/>
                      <w:sz w:val="18"/>
                      <w:szCs w:val="18"/>
                      <w:u w:val="none"/>
                      <w:vertAlign w:val="baseline"/>
                      <w:lang w:val="en-US" w:eastAsia="zh-CN" w:bidi="ar-SA"/>
                    </w:rPr>
                    <w:t>风景名胜区、生态保护区、自然和文化遗产保护区、饮用水源保护区、城市建成区和非工业规划区等区域</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01" w:type="dxa"/>
                  <w:vMerge w:val="continue"/>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（三）钢制办公家具厂区布局要符合《工业企业总平面设计规范》（GB50187）、《工业企业设计卫生标准》（GBZ1）的要求。</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w:t>
                  </w:r>
                  <w:r>
                    <w:rPr>
                      <w:rFonts w:hint="eastAsia" w:cs="Times New Roman"/>
                      <w:kern w:val="2"/>
                      <w:sz w:val="18"/>
                      <w:szCs w:val="18"/>
                      <w:u w:val="none"/>
                      <w:vertAlign w:val="baseline"/>
                      <w:lang w:val="en-US" w:eastAsia="zh-CN" w:bidi="ar-SA"/>
                    </w:rPr>
                    <w:t>无需设置卫生防护距离，厂区平面设计符合</w:t>
                  </w:r>
                  <w:r>
                    <w:rPr>
                      <w:rFonts w:hint="default" w:ascii="Times New Roman" w:hAnsi="Times New Roman" w:eastAsia="宋体" w:cs="Times New Roman"/>
                      <w:kern w:val="2"/>
                      <w:sz w:val="18"/>
                      <w:szCs w:val="18"/>
                      <w:u w:val="none"/>
                      <w:vertAlign w:val="baseline"/>
                      <w:lang w:val="en-US" w:eastAsia="zh-CN" w:bidi="ar-SA"/>
                    </w:rPr>
                    <w:t>《工业企业总平面设计规范》（GB50187）、《工业企业设计卫生标准》（GBZ1）的要求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6"/>
                    <w:spacing w:line="240" w:lineRule="auto"/>
                    <w:ind w:left="0" w:leftChars="0" w:firstLine="0" w:firstLineChars="0"/>
                    <w:jc w:val="center"/>
                    <w:rPr>
                      <w:rFonts w:hint="default" w:ascii="Times New Roman" w:hAnsi="Times New Roman" w:eastAsia="宋体" w:cs="Times New Roman"/>
                      <w:b w:val="0"/>
                      <w:bCs w:val="0"/>
                      <w:kern w:val="2"/>
                      <w:sz w:val="18"/>
                      <w:szCs w:val="18"/>
                      <w:u w:val="none"/>
                      <w:lang w:val="en-US" w:eastAsia="zh-CN" w:bidi="ar-SA"/>
                    </w:rPr>
                  </w:pPr>
                  <w:r>
                    <w:rPr>
                      <w:rFonts w:hint="default" w:ascii="Times New Roman" w:hAnsi="Times New Roman" w:eastAsia="宋体" w:cs="Times New Roman"/>
                      <w:b w:val="0"/>
                      <w:bCs w:val="0"/>
                      <w:kern w:val="2"/>
                      <w:sz w:val="18"/>
                      <w:szCs w:val="18"/>
                      <w:u w:val="none"/>
                      <w:lang w:val="en-US" w:eastAsia="zh-CN" w:bidi="ar-SA"/>
                    </w:rPr>
                    <w:t>工艺与</w:t>
                  </w:r>
                </w:p>
                <w:p>
                  <w:pPr>
                    <w:pStyle w:val="6"/>
                    <w:spacing w:line="240" w:lineRule="auto"/>
                    <w:ind w:left="0" w:leftChars="0" w:firstLine="0" w:firstLineChars="0"/>
                    <w:jc w:val="center"/>
                    <w:rPr>
                      <w:rFonts w:hint="default" w:ascii="Times New Roman" w:hAnsi="Times New Roman" w:eastAsia="宋体" w:cs="Times New Roman"/>
                      <w:b w:val="0"/>
                      <w:bCs w:val="0"/>
                      <w:kern w:val="2"/>
                      <w:sz w:val="18"/>
                      <w:szCs w:val="18"/>
                      <w:u w:val="none"/>
                      <w:lang w:val="en-US" w:eastAsia="zh-CN" w:bidi="ar-SA"/>
                    </w:rPr>
                  </w:pPr>
                  <w:r>
                    <w:rPr>
                      <w:rFonts w:hint="default" w:ascii="Times New Roman" w:hAnsi="Times New Roman" w:eastAsia="宋体" w:cs="Times New Roman"/>
                      <w:b w:val="0"/>
                      <w:bCs w:val="0"/>
                      <w:kern w:val="2"/>
                      <w:sz w:val="18"/>
                      <w:szCs w:val="18"/>
                      <w:u w:val="none"/>
                      <w:lang w:val="en-US" w:eastAsia="zh-CN" w:bidi="ar-SA"/>
                    </w:rPr>
                    <w:t>装备</w:t>
                  </w: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（一）采用《产业结构调整指导目录》鼓励类工艺和装备，使用列入《节能机电设备（产品）推荐目录》的产品或能效标准达到1级的机电设备。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（二）不得采用《部分工业行业淘汰落后生产工艺装备和产品指导目录》《高耗能落后机电设备（产品）淘汰目录》等明令淘汰、限制的工艺和装备。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（三）使用本质安全的技术和装备，安全设备符合国家标准或行业标准，全面提升企业管理信息化、生产自动化水平。</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本项目生产</w:t>
                  </w:r>
                  <w:r>
                    <w:rPr>
                      <w:rFonts w:hint="default" w:ascii="Times New Roman" w:hAnsi="Times New Roman" w:eastAsia="宋体" w:cs="Times New Roman"/>
                      <w:kern w:val="2"/>
                      <w:sz w:val="18"/>
                      <w:szCs w:val="18"/>
                      <w:u w:val="none"/>
                      <w:vertAlign w:val="baseline"/>
                      <w:lang w:val="en-US" w:eastAsia="zh-CN" w:bidi="ar-SA"/>
                    </w:rPr>
                    <w:t>工艺和装备</w:t>
                  </w:r>
                  <w:r>
                    <w:rPr>
                      <w:rFonts w:hint="eastAsia" w:cs="Times New Roman"/>
                      <w:b w:val="0"/>
                      <w:bCs w:val="0"/>
                      <w:color w:val="000000" w:themeColor="text1"/>
                      <w:sz w:val="18"/>
                      <w:szCs w:val="18"/>
                      <w:u w:val="none"/>
                      <w:vertAlign w:val="baseline"/>
                      <w:lang w:val="en-US" w:eastAsia="zh-CN"/>
                    </w:rPr>
                    <w:t>不属于</w:t>
                  </w:r>
                  <w:r>
                    <w:rPr>
                      <w:rFonts w:hint="eastAsia" w:ascii="Times New Roman" w:hAnsi="Times New Roman" w:eastAsia="宋体" w:cs="Times New Roman"/>
                      <w:b w:val="0"/>
                      <w:bCs w:val="0"/>
                      <w:color w:val="000000" w:themeColor="text1"/>
                      <w:sz w:val="18"/>
                      <w:szCs w:val="18"/>
                      <w:u w:val="none"/>
                      <w:vertAlign w:val="baseline"/>
                      <w:lang w:val="en-US" w:eastAsia="zh-CN"/>
                    </w:rPr>
                    <w:t>《产业结构调整指导目录（2019年本）》中限制类、淘汰类项目，属允许建设项目</w:t>
                  </w:r>
                  <w:r>
                    <w:rPr>
                      <w:rFonts w:hint="eastAsia" w:cs="Times New Roman"/>
                      <w:b w:val="0"/>
                      <w:bCs w:val="0"/>
                      <w:color w:val="000000" w:themeColor="text1"/>
                      <w:sz w:val="18"/>
                      <w:szCs w:val="18"/>
                      <w:u w:val="none"/>
                      <w:vertAlign w:val="baseline"/>
                      <w:lang w:val="en-US" w:eastAsia="zh-CN"/>
                    </w:rPr>
                    <w:t>。本项目</w:t>
                  </w:r>
                  <w:r>
                    <w:rPr>
                      <w:rFonts w:hint="default" w:ascii="Times New Roman" w:hAnsi="Times New Roman" w:eastAsia="宋体" w:cs="Times New Roman"/>
                      <w:kern w:val="2"/>
                      <w:sz w:val="18"/>
                      <w:szCs w:val="18"/>
                      <w:u w:val="none"/>
                      <w:vertAlign w:val="baseline"/>
                      <w:lang w:val="en-US" w:eastAsia="zh-CN" w:bidi="ar-SA"/>
                    </w:rPr>
                    <w:t>安全设备符合国家</w:t>
                  </w:r>
                  <w:r>
                    <w:rPr>
                      <w:rFonts w:hint="eastAsia" w:cs="Times New Roman"/>
                      <w:kern w:val="2"/>
                      <w:sz w:val="18"/>
                      <w:szCs w:val="18"/>
                      <w:u w:val="none"/>
                      <w:vertAlign w:val="baseline"/>
                      <w:lang w:val="en-US" w:eastAsia="zh-CN" w:bidi="ar-SA"/>
                    </w:rPr>
                    <w:t>和</w:t>
                  </w:r>
                  <w:r>
                    <w:rPr>
                      <w:rFonts w:hint="default" w:ascii="Times New Roman" w:hAnsi="Times New Roman" w:eastAsia="宋体" w:cs="Times New Roman"/>
                      <w:kern w:val="2"/>
                      <w:sz w:val="18"/>
                      <w:szCs w:val="18"/>
                      <w:u w:val="none"/>
                      <w:vertAlign w:val="baseline"/>
                      <w:lang w:val="en-US" w:eastAsia="zh-CN" w:bidi="ar-SA"/>
                    </w:rPr>
                    <w:t>行业</w:t>
                  </w:r>
                  <w:r>
                    <w:rPr>
                      <w:rFonts w:hint="eastAsia" w:cs="Times New Roman"/>
                      <w:kern w:val="2"/>
                      <w:sz w:val="18"/>
                      <w:szCs w:val="18"/>
                      <w:u w:val="none"/>
                      <w:vertAlign w:val="baseline"/>
                      <w:lang w:val="en-US" w:eastAsia="zh-CN" w:bidi="ar-SA"/>
                    </w:rPr>
                    <w:t>相关</w:t>
                  </w:r>
                  <w:r>
                    <w:rPr>
                      <w:rFonts w:hint="default" w:ascii="Times New Roman" w:hAnsi="Times New Roman" w:eastAsia="宋体" w:cs="Times New Roman"/>
                      <w:kern w:val="2"/>
                      <w:sz w:val="18"/>
                      <w:szCs w:val="18"/>
                      <w:u w:val="none"/>
                      <w:vertAlign w:val="baseline"/>
                      <w:lang w:val="en-US" w:eastAsia="zh-CN" w:bidi="ar-SA"/>
                    </w:rPr>
                    <w:t>标准</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pStyle w:val="6"/>
                    <w:spacing w:line="240" w:lineRule="auto"/>
                    <w:ind w:left="0" w:leftChars="0" w:firstLine="0" w:firstLineChars="0"/>
                    <w:jc w:val="center"/>
                    <w:rPr>
                      <w:rFonts w:hint="default" w:ascii="Times New Roman" w:hAnsi="Times New Roman" w:eastAsia="宋体" w:cs="Times New Roman"/>
                      <w:sz w:val="18"/>
                      <w:szCs w:val="18"/>
                      <w:u w:val="none"/>
                    </w:rPr>
                  </w:pPr>
                  <w:r>
                    <w:rPr>
                      <w:rFonts w:hint="default" w:ascii="Times New Roman" w:hAnsi="Times New Roman" w:eastAsia="宋体" w:cs="Times New Roman"/>
                      <w:sz w:val="18"/>
                      <w:szCs w:val="18"/>
                      <w:u w:val="none"/>
                    </w:rPr>
                    <w:t>清洁生产</w:t>
                  </w:r>
                </w:p>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p>
                <w:p>
                  <w:pPr>
                    <w:pStyle w:val="6"/>
                    <w:spacing w:line="240" w:lineRule="auto"/>
                    <w:jc w:val="center"/>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废气治理标准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1、焊接烟尘：采取工位集中布置，在工位上设置集气罩，集气罩的投影面积大于工作台面，集气效率及风量以设备、设施满负荷运行时没有烟尘外溢为准。收集后废气经袋式除尘器，除尘器设计除尘效率大于95%,处理达标后通过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本项目焊接区在车间内单间进行二次密闭，焊接工作区上方设置有集气罩，</w:t>
                  </w:r>
                  <w:r>
                    <w:rPr>
                      <w:rFonts w:hint="default" w:ascii="Times New Roman" w:hAnsi="Times New Roman" w:eastAsia="宋体" w:cs="Times New Roman"/>
                      <w:kern w:val="2"/>
                      <w:sz w:val="18"/>
                      <w:szCs w:val="18"/>
                      <w:u w:val="none"/>
                      <w:vertAlign w:val="baseline"/>
                      <w:lang w:val="en-US" w:eastAsia="zh-CN" w:bidi="ar-SA"/>
                    </w:rPr>
                    <w:t>集气罩的投影面积大于工作台面</w:t>
                  </w:r>
                  <w:r>
                    <w:rPr>
                      <w:rFonts w:hint="eastAsia" w:cs="Times New Roman"/>
                      <w:kern w:val="2"/>
                      <w:sz w:val="18"/>
                      <w:szCs w:val="18"/>
                      <w:u w:val="none"/>
                      <w:vertAlign w:val="baseline"/>
                      <w:lang w:val="en-US" w:eastAsia="zh-CN" w:bidi="ar-SA"/>
                    </w:rPr>
                    <w:t>，工作台面边缘风速大于0.3m/s；废气经收集后再经除尘效率95%的布袋除尘器处理后15米排气筒排放，</w:t>
                  </w:r>
                  <w:r>
                    <w:rPr>
                      <w:rFonts w:hint="default" w:ascii="Times New Roman" w:hAnsi="Times New Roman" w:eastAsia="宋体" w:cs="Times New Roman"/>
                      <w:kern w:val="2"/>
                      <w:sz w:val="18"/>
                      <w:szCs w:val="18"/>
                      <w:u w:val="none"/>
                      <w:vertAlign w:val="baseline"/>
                      <w:lang w:val="en-US" w:eastAsia="zh-CN" w:bidi="ar-SA"/>
                    </w:rPr>
                    <w:t>污染物排放</w:t>
                  </w:r>
                  <w:r>
                    <w:rPr>
                      <w:rFonts w:hint="eastAsia" w:cs="Times New Roman"/>
                      <w:kern w:val="2"/>
                      <w:sz w:val="18"/>
                      <w:szCs w:val="18"/>
                      <w:u w:val="none"/>
                      <w:vertAlign w:val="baseline"/>
                      <w:lang w:val="en-US" w:eastAsia="zh-CN" w:bidi="ar-SA"/>
                    </w:rPr>
                    <w:t>浓度</w:t>
                  </w:r>
                  <w:r>
                    <w:rPr>
                      <w:rFonts w:hint="default" w:ascii="Times New Roman" w:hAnsi="Times New Roman" w:eastAsia="宋体" w:cs="Times New Roman"/>
                      <w:kern w:val="2"/>
                      <w:sz w:val="18"/>
                      <w:szCs w:val="18"/>
                      <w:u w:val="none"/>
                      <w:vertAlign w:val="baseline"/>
                      <w:lang w:val="en-US" w:eastAsia="zh-CN" w:bidi="ar-SA"/>
                    </w:rPr>
                    <w:t>满足《大气污染物综合排放标准》（GB16297-1996）二级标准颗粒物：排放浓度120毫克/立方米</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喷粉间粉尘：喷粉室内整体（含进出口区域）要形成负压，杜绝粉尘外溢。喷粉室顶部（含轨道）、自动喷枪设备要密闭到位，在喷粉室上部及扩大封闭区域的顶部分别设置集气管提高集气效率，集气效率及风量以设备、设施满负荷运行时没有粉尘外溢为准。收集后废气经旋风除尘器+袋式除尘器或滤筒除尘器二级除尘器（经两级除尘器后的设计总除尘效率大于98%），处理后由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本项目无喷粉工序。</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激光切割粉尘：采取有效废气收集方式，集气效率及风量以设备、设施满负荷运行时没有烟尘外溢为准。收集后废气经袋式除尘器处理（袋式除尘器设计除尘效率大于95%）,处理后由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激光切割产生的废气经集气管道引致除尘效率95%的布袋除尘器处理后</w:t>
                  </w:r>
                  <w:r>
                    <w:rPr>
                      <w:rFonts w:hint="default" w:ascii="Times New Roman" w:hAnsi="Times New Roman" w:eastAsia="宋体" w:cs="Times New Roman"/>
                      <w:kern w:val="2"/>
                      <w:sz w:val="18"/>
                      <w:szCs w:val="18"/>
                      <w:u w:val="none"/>
                      <w:vertAlign w:val="baseline"/>
                      <w:lang w:val="en-US" w:eastAsia="zh-CN" w:bidi="ar-SA"/>
                    </w:rPr>
                    <w:t>15米高排气筒排放</w:t>
                  </w:r>
                  <w:r>
                    <w:rPr>
                      <w:rFonts w:hint="eastAsia"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污染物排放满足《大气污染物综合排放标准》（GB16297-1996）二级标准颗粒物：排放浓度120毫克/立方米。</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烘干道废气：采用设置全密闭的烘干区，烘干道两端进出口内侧设置集气区并与集气管道接通，若无法实施烘干区全密闭可以采用半密闭方式但应适当外延烘干道废气集气投影面。集气效率及风量以设备、设施满负荷运行时没有烟尘外溢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非甲烷总烃废气处理：采用吸附、吸收或焚烧方式处理。采用吸附、吸收方法处理的应明确吸附吸收介质的更换周期，确保污染物去除效率不低于80%，非甲烷总烃满足《关于全省开展工业企业挥发性有机物专项治理工作中排放建议值的通知》（豫环攻坚办〔2017〕162号）表面涂装业挥发性有机物排放建议值（非甲烷总烃排放浓度60毫克/立方米）的要求。废气应通过不低于15米高排气筒排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烘干固化加热燃烧天然气产生的废气（含颗粒物、二氧化硫、氮氧化物）,污染物排放应满足《工业炉窑大气污染物排放标准》（DB41/1066-2015）废气通过不低于15米高排气筒排放。</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kern w:val="2"/>
                      <w:sz w:val="18"/>
                      <w:szCs w:val="18"/>
                      <w:u w:val="none"/>
                      <w:vertAlign w:val="baseline"/>
                      <w:lang w:val="en-US" w:eastAsia="zh-CN" w:bidi="ar-SA"/>
                    </w:rPr>
                    <w:t>本项目不涉及。</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vAlign w:val="center"/>
                </w:tcPr>
                <w:p>
                  <w:pPr>
                    <w:widowControl w:val="0"/>
                    <w:wordWrap/>
                    <w:adjustRightInd/>
                    <w:snapToGrid/>
                    <w:spacing w:before="0" w:beforeLines="0" w:after="0" w:afterLines="0"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喷粉间粉尘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焊接烟尘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切割粉尘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 xml:space="preserve">  《大气污染物综合排放标准》（GB16297-1996）表2二级颗粒物：排放浓度120毫克/立方米，排放速率应满足相应高度排气筒的排放速率标准要求。</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kern w:val="2"/>
                      <w:sz w:val="18"/>
                      <w:szCs w:val="18"/>
                      <w:u w:val="none"/>
                      <w:vertAlign w:val="baseline"/>
                      <w:lang w:val="en-US" w:eastAsia="zh-CN" w:bidi="ar-SA"/>
                    </w:rPr>
                    <w:t>本项目</w:t>
                  </w:r>
                  <w:r>
                    <w:rPr>
                      <w:rFonts w:hint="default" w:ascii="Times New Roman" w:hAnsi="Times New Roman" w:eastAsia="宋体" w:cs="Times New Roman"/>
                      <w:kern w:val="2"/>
                      <w:sz w:val="18"/>
                      <w:szCs w:val="18"/>
                      <w:u w:val="none"/>
                      <w:vertAlign w:val="baseline"/>
                      <w:lang w:val="en-US" w:eastAsia="zh-CN" w:bidi="ar-SA"/>
                    </w:rPr>
                    <w:t>焊接烟尘</w:t>
                  </w:r>
                  <w:r>
                    <w:rPr>
                      <w:rFonts w:hint="eastAsia" w:ascii="Times New Roman" w:hAnsi="Times New Roman" w:eastAsia="宋体" w:cs="Times New Roman"/>
                      <w:kern w:val="2"/>
                      <w:sz w:val="18"/>
                      <w:szCs w:val="18"/>
                      <w:u w:val="none"/>
                      <w:vertAlign w:val="baseline"/>
                      <w:lang w:val="en-US" w:eastAsia="zh-CN" w:bidi="ar-SA"/>
                    </w:rPr>
                    <w:t>、</w:t>
                  </w:r>
                  <w:r>
                    <w:rPr>
                      <w:rFonts w:hint="eastAsia" w:cs="Times New Roman"/>
                      <w:kern w:val="2"/>
                      <w:sz w:val="18"/>
                      <w:szCs w:val="18"/>
                      <w:u w:val="none"/>
                      <w:vertAlign w:val="baseline"/>
                      <w:lang w:val="en-US" w:eastAsia="zh-CN" w:bidi="ar-SA"/>
                    </w:rPr>
                    <w:t>激光切割</w:t>
                  </w:r>
                  <w:r>
                    <w:rPr>
                      <w:rFonts w:hint="default" w:ascii="Times New Roman" w:hAnsi="Times New Roman" w:eastAsia="宋体" w:cs="Times New Roman"/>
                      <w:kern w:val="2"/>
                      <w:sz w:val="18"/>
                      <w:szCs w:val="18"/>
                      <w:u w:val="none"/>
                      <w:vertAlign w:val="baseline"/>
                      <w:lang w:val="en-US" w:eastAsia="zh-CN" w:bidi="ar-SA"/>
                    </w:rPr>
                    <w:t>粉尘</w:t>
                  </w:r>
                  <w:r>
                    <w:rPr>
                      <w:rFonts w:hint="eastAsia" w:cs="Times New Roman"/>
                      <w:kern w:val="2"/>
                      <w:sz w:val="18"/>
                      <w:szCs w:val="18"/>
                      <w:u w:val="none"/>
                      <w:vertAlign w:val="baseline"/>
                      <w:lang w:val="en-US" w:eastAsia="zh-CN" w:bidi="ar-SA"/>
                    </w:rPr>
                    <w:t>经配套除尘设施处理后经15米高排气筒排放，颗粒物排放浓度均满足</w:t>
                  </w:r>
                  <w:r>
                    <w:rPr>
                      <w:rFonts w:hint="default" w:ascii="Times New Roman" w:hAnsi="Times New Roman" w:eastAsia="宋体" w:cs="Times New Roman"/>
                      <w:kern w:val="2"/>
                      <w:sz w:val="18"/>
                      <w:szCs w:val="18"/>
                      <w:u w:val="none"/>
                      <w:vertAlign w:val="baseline"/>
                      <w:lang w:val="en-US" w:eastAsia="zh-CN" w:bidi="ar-SA"/>
                    </w:rPr>
                    <w:t>《大气污染物综合排放标准》（GB16297-1996）表2二级颗粒物：排放浓度120毫克/立方米，排放速率应满足相应高度排气筒的排放速率标准要求。</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1" w:type="dxa"/>
                  <w:vMerge w:val="continue"/>
                  <w:vAlign w:val="center"/>
                </w:tcPr>
                <w:p>
                  <w:pPr>
                    <w:widowControl w:val="0"/>
                    <w:wordWrap/>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vAlign w:val="center"/>
                </w:tcPr>
                <w:p>
                  <w:pPr>
                    <w:widowControl w:val="0"/>
                    <w:wordWrap/>
                    <w:adjustRightInd/>
                    <w:snapToGrid/>
                    <w:spacing w:before="0" w:beforeLines="0" w:after="0" w:afterLines="0" w:line="240" w:lineRule="auto"/>
                    <w:ind w:right="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烘干固化废气</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fldChar w:fldCharType="begin"/>
                  </w:r>
                  <w:r>
                    <w:rPr>
                      <w:rFonts w:hint="default" w:ascii="Times New Roman" w:hAnsi="Times New Roman" w:eastAsia="宋体" w:cs="Times New Roman"/>
                      <w:kern w:val="2"/>
                      <w:sz w:val="18"/>
                      <w:szCs w:val="18"/>
                      <w:u w:val="none"/>
                      <w:vertAlign w:val="baseline"/>
                      <w:lang w:val="en-US" w:eastAsia="zh-CN" w:bidi="ar-SA"/>
                    </w:rPr>
                    <w:instrText xml:space="preserve">= 1 \* GB3</w:instrText>
                  </w:r>
                  <w:r>
                    <w:rPr>
                      <w:rFonts w:hint="default" w:ascii="Times New Roman" w:hAnsi="Times New Roman" w:eastAsia="宋体" w:cs="Times New Roman"/>
                      <w:kern w:val="2"/>
                      <w:sz w:val="18"/>
                      <w:szCs w:val="18"/>
                      <w:u w:val="none"/>
                      <w:vertAlign w:val="baseline"/>
                      <w:lang w:val="en-US" w:eastAsia="zh-CN" w:bidi="ar-SA"/>
                    </w:rPr>
                    <w:fldChar w:fldCharType="separate"/>
                  </w:r>
                  <w:r>
                    <w:rPr>
                      <w:rFonts w:hint="default" w:ascii="Times New Roman" w:hAnsi="Times New Roman" w:eastAsia="宋体" w:cs="Times New Roman"/>
                      <w:kern w:val="2"/>
                      <w:sz w:val="18"/>
                      <w:szCs w:val="18"/>
                      <w:u w:val="none"/>
                      <w:vertAlign w:val="baseline"/>
                      <w:lang w:val="en-US" w:eastAsia="zh-CN" w:bidi="ar-SA"/>
                    </w:rPr>
                    <w:t>①</w:t>
                  </w:r>
                  <w:r>
                    <w:rPr>
                      <w:rFonts w:hint="default" w:ascii="Times New Roman" w:hAnsi="Times New Roman" w:eastAsia="宋体" w:cs="Times New Roman"/>
                      <w:kern w:val="2"/>
                      <w:sz w:val="18"/>
                      <w:szCs w:val="18"/>
                      <w:u w:val="none"/>
                      <w:vertAlign w:val="baseline"/>
                      <w:lang w:val="en-US" w:eastAsia="zh-CN" w:bidi="ar-SA"/>
                    </w:rPr>
                    <w:fldChar w:fldCharType="end"/>
                  </w:r>
                  <w:r>
                    <w:rPr>
                      <w:rFonts w:hint="default" w:ascii="Times New Roman" w:hAnsi="Times New Roman" w:eastAsia="宋体" w:cs="Times New Roman"/>
                      <w:kern w:val="2"/>
                      <w:sz w:val="18"/>
                      <w:szCs w:val="18"/>
                      <w:u w:val="none"/>
                      <w:vertAlign w:val="baseline"/>
                      <w:lang w:val="en-US" w:eastAsia="zh-CN" w:bidi="ar-SA"/>
                    </w:rPr>
                    <w:t>《工业炉窑大气污染物排放标准》（DB41/1066-2015）表1标准：颗粒物、SO2、NOX排放浓度：30毫克/立方米、200毫克/立方米、400毫克/立方米。</w:t>
                  </w:r>
                  <w:r>
                    <w:rPr>
                      <w:rFonts w:hint="default" w:ascii="Times New Roman" w:hAnsi="Times New Roman" w:eastAsia="宋体" w:cs="Times New Roman"/>
                      <w:kern w:val="2"/>
                      <w:sz w:val="18"/>
                      <w:szCs w:val="18"/>
                      <w:u w:val="none"/>
                      <w:vertAlign w:val="baseline"/>
                      <w:lang w:val="en-US" w:eastAsia="zh-CN" w:bidi="ar-SA"/>
                    </w:rPr>
                    <w:fldChar w:fldCharType="begin"/>
                  </w:r>
                  <w:r>
                    <w:rPr>
                      <w:rFonts w:hint="default" w:ascii="Times New Roman" w:hAnsi="Times New Roman" w:eastAsia="宋体" w:cs="Times New Roman"/>
                      <w:kern w:val="2"/>
                      <w:sz w:val="18"/>
                      <w:szCs w:val="18"/>
                      <w:u w:val="none"/>
                      <w:vertAlign w:val="baseline"/>
                      <w:lang w:val="en-US" w:eastAsia="zh-CN" w:bidi="ar-SA"/>
                    </w:rPr>
                    <w:instrText xml:space="preserve">= 2 \* GB3</w:instrText>
                  </w:r>
                  <w:r>
                    <w:rPr>
                      <w:rFonts w:hint="default" w:ascii="Times New Roman" w:hAnsi="Times New Roman" w:eastAsia="宋体" w:cs="Times New Roman"/>
                      <w:kern w:val="2"/>
                      <w:sz w:val="18"/>
                      <w:szCs w:val="18"/>
                      <w:u w:val="none"/>
                      <w:vertAlign w:val="baseline"/>
                      <w:lang w:val="en-US" w:eastAsia="zh-CN" w:bidi="ar-SA"/>
                    </w:rPr>
                    <w:fldChar w:fldCharType="separate"/>
                  </w:r>
                  <w:r>
                    <w:rPr>
                      <w:rFonts w:hint="default" w:ascii="Times New Roman" w:hAnsi="Times New Roman" w:eastAsia="宋体" w:cs="Times New Roman"/>
                      <w:kern w:val="2"/>
                      <w:sz w:val="18"/>
                      <w:szCs w:val="18"/>
                      <w:u w:val="none"/>
                      <w:vertAlign w:val="baseline"/>
                      <w:lang w:val="en-US" w:eastAsia="zh-CN" w:bidi="ar-SA"/>
                    </w:rPr>
                    <w:t>②</w:t>
                  </w:r>
                  <w:r>
                    <w:rPr>
                      <w:rFonts w:hint="default" w:ascii="Times New Roman" w:hAnsi="Times New Roman" w:eastAsia="宋体" w:cs="Times New Roman"/>
                      <w:kern w:val="2"/>
                      <w:sz w:val="18"/>
                      <w:szCs w:val="18"/>
                      <w:u w:val="none"/>
                      <w:vertAlign w:val="baseline"/>
                      <w:lang w:val="en-US" w:eastAsia="zh-CN" w:bidi="ar-SA"/>
                    </w:rPr>
                    <w:fldChar w:fldCharType="end"/>
                  </w:r>
                  <w:r>
                    <w:rPr>
                      <w:rFonts w:hint="default" w:ascii="Times New Roman" w:hAnsi="Times New Roman" w:eastAsia="宋体" w:cs="Times New Roman"/>
                      <w:kern w:val="2"/>
                      <w:sz w:val="18"/>
                      <w:szCs w:val="18"/>
                      <w:u w:val="none"/>
                      <w:vertAlign w:val="baseline"/>
                      <w:lang w:val="en-US" w:eastAsia="zh-CN" w:bidi="ar-SA"/>
                    </w:rPr>
                    <w:t>非甲烷总烃：满足《关于全省开展工业企业挥发性有机物专项治理工作中排放建议值的通知》（豫环攻坚办〔2017〕162号）表面涂装业挥发性有机物排放建议值（非甲烷总烃排放浓度60毫克/立方米）的要求。</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本项目不涉及。</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cs="Times New Roman"/>
                      <w:b w:val="0"/>
                      <w:bCs w:val="0"/>
                      <w:color w:val="000000" w:themeColor="text1"/>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widowControl w:val="0"/>
                    <w:wordWrap/>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vAlign w:val="center"/>
                </w:tcPr>
                <w:p>
                  <w:pPr>
                    <w:widowControl w:val="0"/>
                    <w:wordWrap/>
                    <w:adjustRightInd/>
                    <w:snapToGrid/>
                    <w:spacing w:before="0" w:beforeLines="0" w:after="0" w:afterLines="0" w:line="240" w:lineRule="auto"/>
                    <w:ind w:left="0" w:leftChars="0" w:right="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无组织废气</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 xml:space="preserve"> 《大气污染物综合排放标准》（GB16297-1996）表2无组织排放浓度监控限制要求，非甲烷总烃同时满足《关于全省开展工业企业挥发性有机物专项治理工作中排放建议值的通知》（豫环攻坚办〔2017〕162号）工业企业边界挥发性有机物建议排放值2.0毫克/立方米。</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根据预测结果，四周厂界外最高浓度点无组织废气满足</w:t>
                  </w:r>
                  <w:r>
                    <w:rPr>
                      <w:rFonts w:hint="default" w:ascii="Times New Roman" w:hAnsi="Times New Roman" w:eastAsia="宋体" w:cs="Times New Roman"/>
                      <w:kern w:val="2"/>
                      <w:sz w:val="18"/>
                      <w:szCs w:val="18"/>
                      <w:u w:val="none"/>
                      <w:vertAlign w:val="baseline"/>
                      <w:lang w:val="en-US" w:eastAsia="zh-CN" w:bidi="ar-SA"/>
                    </w:rPr>
                    <w:t>《大气污染物综合排放标准》（GB16297-1996）表2无组织排放浓度监控限制要求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68" w:hRule="atLeast"/>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（二）</w:t>
                  </w:r>
                  <w:r>
                    <w:rPr>
                      <w:rFonts w:hint="default" w:ascii="Times New Roman" w:hAnsi="Times New Roman" w:eastAsia="宋体" w:cs="Times New Roman"/>
                      <w:kern w:val="2"/>
                      <w:sz w:val="18"/>
                      <w:szCs w:val="18"/>
                      <w:u w:val="none"/>
                      <w:vertAlign w:val="baseline"/>
                      <w:lang w:val="en-US" w:eastAsia="zh-CN" w:bidi="ar-SA"/>
                    </w:rPr>
                    <w:t>企业生产废水治理标准。废水治理应满足《水污染治理工程技术导则》HJ2015-2012及专项技术规范和相关排放标准的要求，园区之外不允许有酸洗磷化及陶化工艺的企业。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废水收集：厂区应改造污废水及雨水管网，分别设置雨水收集导流渠和完善的污水管网，做到雨、污分流。杜绝生产废水通过雨水渠道或管网外排至市政雨水管网。</w:t>
                  </w:r>
                </w:p>
                <w:p>
                  <w:pPr>
                    <w:pStyle w:val="6"/>
                    <w:spacing w:line="240" w:lineRule="auto"/>
                    <w:rPr>
                      <w:rFonts w:hint="default" w:ascii="Times New Roman" w:hAnsi="Times New Roman" w:eastAsia="宋体" w:cs="Times New Roman"/>
                      <w:kern w:val="2"/>
                      <w:sz w:val="18"/>
                      <w:szCs w:val="18"/>
                      <w:u w:val="none"/>
                      <w:vertAlign w:val="baseline"/>
                      <w:lang w:val="en-US" w:eastAsia="zh-CN" w:bidi="ar-SA"/>
                    </w:rPr>
                  </w:pP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本项目无生产废水产生及排放，项目所在区域无配套污水管网，生活污水经化粪池收集后农户拉走肥田，车间外雨水经雨水导流渠排至附近雨水管网。</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w:t>
                  </w:r>
                  <w:r>
                    <w:rPr>
                      <w:rFonts w:hint="eastAsia" w:ascii="Times New Roman" w:hAnsi="Times New Roman" w:eastAsia="宋体" w:cs="Times New Roman"/>
                      <w:kern w:val="2"/>
                      <w:sz w:val="18"/>
                      <w:szCs w:val="18"/>
                      <w:u w:val="none"/>
                      <w:vertAlign w:val="baseline"/>
                      <w:lang w:val="en-US" w:eastAsia="zh-CN" w:bidi="ar-SA"/>
                    </w:rPr>
                    <w:t>三</w:t>
                  </w:r>
                  <w:r>
                    <w:rPr>
                      <w:rFonts w:hint="default" w:ascii="Times New Roman" w:hAnsi="Times New Roman" w:eastAsia="宋体" w:cs="Times New Roman"/>
                      <w:kern w:val="2"/>
                      <w:sz w:val="18"/>
                      <w:szCs w:val="18"/>
                      <w:u w:val="none"/>
                      <w:vertAlign w:val="baseline"/>
                      <w:lang w:val="en-US" w:eastAsia="zh-CN" w:bidi="ar-SA"/>
                    </w:rPr>
                    <w:t>）固体废物规范化管理。固体废物应满足相关设计技术规范及管理规范的要求。危废应满足危险废物收集、贮存、运输技术规范（HJ2025-2012）。企业固废、危废应在专门库房存放，要按照“四防”标准（防风、防雨、防晒、防渗漏）建设，分类存放、安装标志牌、建立台账、随时备查。</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本项目固废堆场设置符合</w:t>
                  </w:r>
                  <w:r>
                    <w:rPr>
                      <w:rFonts w:hint="default" w:ascii="Times New Roman" w:hAnsi="Times New Roman" w:eastAsia="宋体" w:cs="Times New Roman"/>
                      <w:kern w:val="2"/>
                      <w:sz w:val="18"/>
                      <w:szCs w:val="18"/>
                      <w:u w:val="none"/>
                      <w:vertAlign w:val="baseline"/>
                      <w:lang w:val="en-US" w:eastAsia="zh-CN" w:bidi="ar-SA"/>
                    </w:rPr>
                    <w:t>《一般工业固体废物贮存、处置场污染控制标准》</w:t>
                  </w:r>
                  <w:r>
                    <w:rPr>
                      <w:rFonts w:hint="eastAsia" w:ascii="Times New Roman" w:hAnsi="Times New Roman" w:eastAsia="宋体" w:cs="Times New Roman"/>
                      <w:kern w:val="2"/>
                      <w:sz w:val="18"/>
                      <w:szCs w:val="18"/>
                      <w:u w:val="none"/>
                      <w:vertAlign w:val="baseline"/>
                      <w:lang w:val="en-US" w:eastAsia="zh-CN" w:bidi="ar-SA"/>
                    </w:rPr>
                    <w:t>（GB18599-2001）及2013年修改单</w:t>
                  </w:r>
                  <w:r>
                    <w:rPr>
                      <w:rFonts w:hint="default" w:ascii="Times New Roman" w:hAnsi="Times New Roman" w:eastAsia="宋体" w:cs="Times New Roman"/>
                      <w:kern w:val="2"/>
                      <w:sz w:val="18"/>
                      <w:szCs w:val="18"/>
                      <w:u w:val="none"/>
                      <w:vertAlign w:val="baseline"/>
                      <w:lang w:val="en-US" w:eastAsia="zh-CN" w:bidi="ar-SA"/>
                    </w:rPr>
                    <w:t>的规定</w:t>
                  </w:r>
                  <w:r>
                    <w:rPr>
                      <w:rFonts w:hint="eastAsia" w:ascii="Times New Roman" w:hAnsi="Times New Roman" w:eastAsia="宋体" w:cs="Times New Roman"/>
                      <w:kern w:val="2"/>
                      <w:sz w:val="18"/>
                      <w:szCs w:val="18"/>
                      <w:u w:val="none"/>
                      <w:vertAlign w:val="baseline"/>
                      <w:lang w:val="en-US" w:eastAsia="zh-CN" w:bidi="ar-SA"/>
                    </w:rPr>
                    <w:t>。本项目危废间设置符合《危险废物贮存污染控制标准》（GB18597-2001）及2013 年修改单要求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（四）噪声治理要求</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采取减振、隔声等降噪措施，确保厂界噪声达标，降低对周围声环境的影响。厂界噪声要满足《工业企业厂界环境噪声排放标准》（GB12348-2008）2类标准要求（昼间60dB（A），夜间50dB（A））。</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本项目生产设备均位于车间内，</w:t>
                  </w:r>
                  <w:r>
                    <w:rPr>
                      <w:rFonts w:hint="default" w:ascii="Times New Roman" w:hAnsi="Times New Roman" w:eastAsia="宋体" w:cs="Times New Roman"/>
                      <w:kern w:val="2"/>
                      <w:sz w:val="18"/>
                      <w:szCs w:val="18"/>
                      <w:u w:val="none"/>
                      <w:vertAlign w:val="baseline"/>
                      <w:lang w:val="en-US" w:eastAsia="zh-CN" w:bidi="ar-SA"/>
                    </w:rPr>
                    <w:t>采取减振、隔声等降噪措施</w:t>
                  </w:r>
                  <w:r>
                    <w:rPr>
                      <w:rFonts w:hint="eastAsia" w:cs="Times New Roman"/>
                      <w:kern w:val="2"/>
                      <w:sz w:val="18"/>
                      <w:szCs w:val="18"/>
                      <w:u w:val="none"/>
                      <w:vertAlign w:val="baseline"/>
                      <w:lang w:val="en-US" w:eastAsia="zh-CN" w:bidi="ar-SA"/>
                    </w:rPr>
                    <w:t>后，根据预测结果正常生产时，</w:t>
                  </w:r>
                  <w:r>
                    <w:rPr>
                      <w:rFonts w:hint="default" w:ascii="Times New Roman" w:hAnsi="Times New Roman" w:eastAsia="宋体" w:cs="Times New Roman"/>
                      <w:kern w:val="2"/>
                      <w:sz w:val="18"/>
                      <w:szCs w:val="18"/>
                      <w:u w:val="none"/>
                      <w:vertAlign w:val="baseline"/>
                      <w:lang w:val="en-US" w:eastAsia="zh-CN" w:bidi="ar-SA"/>
                    </w:rPr>
                    <w:t>厂界噪声</w:t>
                  </w:r>
                  <w:r>
                    <w:rPr>
                      <w:rFonts w:hint="eastAsia" w:cs="Times New Roman"/>
                      <w:kern w:val="2"/>
                      <w:sz w:val="18"/>
                      <w:szCs w:val="18"/>
                      <w:u w:val="none"/>
                      <w:vertAlign w:val="baseline"/>
                      <w:lang w:val="en-US" w:eastAsia="zh-CN" w:bidi="ar-SA"/>
                    </w:rPr>
                    <w:t>预测值</w:t>
                  </w:r>
                  <w:r>
                    <w:rPr>
                      <w:rFonts w:hint="default" w:ascii="Times New Roman" w:hAnsi="Times New Roman" w:eastAsia="宋体" w:cs="Times New Roman"/>
                      <w:kern w:val="2"/>
                      <w:sz w:val="18"/>
                      <w:szCs w:val="18"/>
                      <w:u w:val="none"/>
                      <w:vertAlign w:val="baseline"/>
                      <w:lang w:val="en-US" w:eastAsia="zh-CN" w:bidi="ar-SA"/>
                    </w:rPr>
                    <w:t>满足《工业企业厂界环境噪声排放标准》（GB12348-2008）2类标准要求（昼间60dB（A），夜间50dB（A））。</w:t>
                  </w:r>
                  <w:r>
                    <w:rPr>
                      <w:rFonts w:hint="eastAsia" w:cs="Times New Roman"/>
                      <w:kern w:val="2"/>
                      <w:sz w:val="18"/>
                      <w:szCs w:val="18"/>
                      <w:u w:val="none"/>
                      <w:vertAlign w:val="baseline"/>
                      <w:lang w:val="en-US" w:eastAsia="zh-CN" w:bidi="ar-SA"/>
                    </w:rPr>
                    <w:t>对周围环境影响较小。</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7" w:hRule="atLeast"/>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（五）排污口规范化建设</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对涉气、涉水企业排污口，要按要求规范化建设，废气经不低于15米高排气筒排放（多个污染治理环节可以合并设置排气筒），并安装标准化排污口标识牌。</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本项目无废水排放口，</w:t>
                  </w:r>
                  <w:r>
                    <w:rPr>
                      <w:rFonts w:hint="eastAsia" w:cs="Times New Roman"/>
                      <w:b w:val="0"/>
                      <w:bCs w:val="0"/>
                      <w:color w:val="000000" w:themeColor="text1"/>
                      <w:sz w:val="18"/>
                      <w:szCs w:val="18"/>
                      <w:u w:val="none"/>
                      <w:vertAlign w:val="baseline"/>
                      <w:lang w:val="en-US" w:eastAsia="zh-CN"/>
                    </w:rPr>
                    <w:t>要求建成后</w:t>
                  </w:r>
                  <w:r>
                    <w:rPr>
                      <w:rFonts w:hint="eastAsia" w:ascii="Times New Roman" w:hAnsi="Times New Roman" w:eastAsia="宋体" w:cs="Times New Roman"/>
                      <w:b w:val="0"/>
                      <w:bCs w:val="0"/>
                      <w:color w:val="000000" w:themeColor="text1"/>
                      <w:sz w:val="18"/>
                      <w:szCs w:val="18"/>
                      <w:u w:val="none"/>
                      <w:vertAlign w:val="baseline"/>
                      <w:lang w:val="en-US" w:eastAsia="zh-CN"/>
                    </w:rPr>
                    <w:t>废气排放口设置规范，排气筒高度为15米，并在排气筒废气排口设置排污标识。</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（六）厂容厂貌要求</w:t>
                  </w:r>
                  <w:r>
                    <w:rPr>
                      <w:rFonts w:hint="eastAsia" w:ascii="Times New Roman" w:hAnsi="Times New Roman" w:eastAsia="宋体" w:cs="Times New Roman"/>
                      <w:kern w:val="2"/>
                      <w:sz w:val="18"/>
                      <w:szCs w:val="18"/>
                      <w:u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1、厂区道路全部硬化，裸露土地全部绿化，厂区内外以常绿树种适当绿化，有专职卫生保洁人员和道路洒水保洁车辆、设施，厂区保持清洁和有序。</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2、厂区布局合理，符合生产流程，生活区和生产区相对分立，各类警示牌、提示牌、引导牌设置完善，车间内应划出检查、参观线路和通道，每个作业区应设置标识牌。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3、场内基础设施完善，雨污分离，管网配套，污水处理设施完善，生活垃圾定点存放，定时清运。</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4、生活领域不使用燃煤，无燃煤散烧设施，职工食堂餐饮油烟设施完善。</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5、各类物料无露天堆放，厂房内各类物料分类有序存放。</w:t>
                  </w:r>
                </w:p>
              </w:tc>
              <w:tc>
                <w:tcPr>
                  <w:tcW w:w="390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本项目为租用闲置车间进行建设，车间内地面全部硬化，</w:t>
                  </w:r>
                  <w:r>
                    <w:rPr>
                      <w:rFonts w:hint="default" w:ascii="Times New Roman" w:hAnsi="Times New Roman" w:eastAsia="宋体" w:cs="Times New Roman"/>
                      <w:kern w:val="2"/>
                      <w:sz w:val="18"/>
                      <w:szCs w:val="18"/>
                      <w:u w:val="none"/>
                      <w:vertAlign w:val="baseline"/>
                      <w:lang w:val="en-US" w:eastAsia="zh-CN" w:bidi="ar-SA"/>
                    </w:rPr>
                    <w:t>有专职卫生保洁人员保持</w:t>
                  </w:r>
                  <w:r>
                    <w:rPr>
                      <w:rFonts w:hint="eastAsia" w:ascii="Times New Roman" w:hAnsi="Times New Roman" w:eastAsia="宋体" w:cs="Times New Roman"/>
                      <w:kern w:val="2"/>
                      <w:sz w:val="18"/>
                      <w:szCs w:val="18"/>
                      <w:u w:val="none"/>
                      <w:vertAlign w:val="baseline"/>
                      <w:lang w:val="en-US" w:eastAsia="zh-CN" w:bidi="ar-SA"/>
                    </w:rPr>
                    <w:t>车间</w:t>
                  </w:r>
                  <w:r>
                    <w:rPr>
                      <w:rFonts w:hint="default" w:ascii="Times New Roman" w:hAnsi="Times New Roman" w:eastAsia="宋体" w:cs="Times New Roman"/>
                      <w:kern w:val="2"/>
                      <w:sz w:val="18"/>
                      <w:szCs w:val="18"/>
                      <w:u w:val="none"/>
                      <w:vertAlign w:val="baseline"/>
                      <w:lang w:val="en-US" w:eastAsia="zh-CN" w:bidi="ar-SA"/>
                    </w:rPr>
                    <w:t>清洁和有序。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cs="Times New Roman"/>
                      <w:kern w:val="2"/>
                      <w:sz w:val="18"/>
                      <w:szCs w:val="18"/>
                      <w:u w:val="none"/>
                      <w:vertAlign w:val="baseline"/>
                      <w:lang w:val="en-US" w:eastAsia="zh-CN" w:bidi="ar-SA"/>
                    </w:rPr>
                    <w:t>本项目</w:t>
                  </w:r>
                  <w:r>
                    <w:rPr>
                      <w:rFonts w:hint="eastAsia" w:ascii="Times New Roman" w:hAnsi="Times New Roman" w:eastAsia="宋体" w:cs="Times New Roman"/>
                      <w:kern w:val="2"/>
                      <w:sz w:val="18"/>
                      <w:szCs w:val="18"/>
                      <w:u w:val="none"/>
                      <w:vertAlign w:val="baseline"/>
                      <w:lang w:val="en-US" w:eastAsia="zh-CN" w:bidi="ar-SA"/>
                    </w:rPr>
                    <w:t>车间内</w:t>
                  </w:r>
                  <w:r>
                    <w:rPr>
                      <w:rFonts w:hint="default" w:ascii="Times New Roman" w:hAnsi="Times New Roman" w:eastAsia="宋体" w:cs="Times New Roman"/>
                      <w:kern w:val="2"/>
                      <w:sz w:val="18"/>
                      <w:szCs w:val="18"/>
                      <w:u w:val="none"/>
                      <w:vertAlign w:val="baseline"/>
                      <w:lang w:val="en-US" w:eastAsia="zh-CN" w:bidi="ar-SA"/>
                    </w:rPr>
                    <w:t>布局合理，符合生产流程，</w:t>
                  </w:r>
                  <w:r>
                    <w:rPr>
                      <w:rFonts w:hint="eastAsia" w:ascii="Times New Roman" w:hAnsi="Times New Roman" w:eastAsia="宋体" w:cs="Times New Roman"/>
                      <w:kern w:val="2"/>
                      <w:sz w:val="18"/>
                      <w:szCs w:val="18"/>
                      <w:u w:val="none"/>
                      <w:vertAlign w:val="baseline"/>
                      <w:lang w:val="en-US" w:eastAsia="zh-CN" w:bidi="ar-SA"/>
                    </w:rPr>
                    <w:t>办公区</w:t>
                  </w:r>
                  <w:r>
                    <w:rPr>
                      <w:rFonts w:hint="default" w:ascii="Times New Roman" w:hAnsi="Times New Roman" w:eastAsia="宋体" w:cs="Times New Roman"/>
                      <w:kern w:val="2"/>
                      <w:sz w:val="18"/>
                      <w:szCs w:val="18"/>
                      <w:u w:val="none"/>
                      <w:vertAlign w:val="baseline"/>
                      <w:lang w:val="en-US" w:eastAsia="zh-CN" w:bidi="ar-SA"/>
                    </w:rPr>
                    <w:t>和生产区相对分立，各类警示牌、提示牌、引导牌设置完善，车间内划出检查、参观线路和通道，作业区应设置标识牌。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本项目无生产废水产生及排放，项目所在区域无配套污水管网，生活污水经化粪池收集后农户拉走肥田，车间外雨水经雨水导流渠排至附近雨水管网。</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本项目采用电为能源，不涉及煤。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本项目原料及成品生产加工均位于车间内，无露天堆存。</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（七）企业生产环节必须在封闭车间内进行，要配置污染源监测设施，落实对企业粉尘、污水、噪声等排放点监测，逐步实现在线监测，以落实清洁生产的要求。</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本项目生产环节位于车间内，制定有检测计划，项目投产后按照检测计划进行检测，并按照环保部门要求，</w:t>
                  </w:r>
                  <w:r>
                    <w:rPr>
                      <w:rFonts w:hint="default" w:ascii="Times New Roman" w:hAnsi="Times New Roman" w:eastAsia="宋体" w:cs="Times New Roman"/>
                      <w:kern w:val="2"/>
                      <w:sz w:val="18"/>
                      <w:szCs w:val="18"/>
                      <w:u w:val="none"/>
                      <w:vertAlign w:val="baseline"/>
                      <w:lang w:val="en-US" w:eastAsia="zh-CN" w:bidi="ar-SA"/>
                    </w:rPr>
                    <w:t>逐步实现在线监测，以落实清洁生产的要求。</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u w:val="none"/>
                      <w:vertAlign w:val="baseline"/>
                      <w:lang w:val="en-US" w:eastAsia="zh-CN"/>
                    </w:rPr>
                  </w:pPr>
                  <w:r>
                    <w:rPr>
                      <w:rFonts w:hint="eastAsia" w:ascii="Times New Roman" w:hAnsi="Times New Roman" w:eastAsia="宋体" w:cs="Times New Roman"/>
                      <w:b w:val="0"/>
                      <w:bCs w:val="0"/>
                      <w:color w:val="000000" w:themeColor="text1"/>
                      <w:sz w:val="18"/>
                      <w:szCs w:val="18"/>
                      <w:u w:val="none"/>
                      <w:vertAlign w:val="baseline"/>
                      <w:lang w:val="en-US" w:eastAsia="zh-CN"/>
                    </w:rPr>
                    <w:t>相符</w:t>
                  </w:r>
                </w:p>
              </w:tc>
            </w:tr>
          </w:tbl>
          <w:p>
            <w:pPr>
              <w:pStyle w:val="6"/>
              <w:ind w:firstLine="480" w:firstLineChars="0"/>
              <w:rPr>
                <w:rFonts w:hint="default" w:ascii="Times New Roman" w:hAnsi="Times New Roman" w:eastAsia="宋体" w:cs="Times New Roman"/>
                <w:b w:val="0"/>
                <w:bCs w:val="0"/>
                <w:color w:val="000000" w:themeColor="text1"/>
                <w:sz w:val="24"/>
                <w:szCs w:val="24"/>
                <w:u w:val="none"/>
                <w:lang w:val="en-US" w:eastAsia="zh-CN"/>
              </w:rPr>
            </w:pPr>
            <w:r>
              <w:rPr>
                <w:rFonts w:hint="eastAsia" w:ascii="宋体" w:hAnsi="宋体" w:eastAsia="宋体" w:cs="宋体"/>
                <w:b w:val="0"/>
                <w:bCs w:val="0"/>
                <w:color w:val="000000" w:themeColor="text1"/>
                <w:sz w:val="24"/>
                <w:szCs w:val="24"/>
                <w:u w:val="none"/>
                <w:lang w:val="en-US" w:eastAsia="zh-CN"/>
              </w:rPr>
              <w:t>综上所述，本项目的建设符</w:t>
            </w:r>
            <w:r>
              <w:rPr>
                <w:rFonts w:hint="default" w:ascii="Times New Roman" w:hAnsi="Times New Roman" w:eastAsia="宋体" w:cs="Times New Roman"/>
                <w:b w:val="0"/>
                <w:bCs w:val="0"/>
                <w:color w:val="000000" w:themeColor="text1"/>
                <w:sz w:val="24"/>
                <w:szCs w:val="24"/>
                <w:u w:val="none"/>
                <w:lang w:val="en-US" w:eastAsia="zh-CN"/>
              </w:rPr>
              <w:t>合偃政办（2019）10号中《偃师市钢制家具行业规范标准》（试行）文件要求。</w:t>
            </w:r>
          </w:p>
          <w:p>
            <w:pPr>
              <w:spacing w:line="360" w:lineRule="auto"/>
              <w:rPr>
                <w:kern w:val="0"/>
                <w:sz w:val="24"/>
                <w:szCs w:val="24"/>
                <w:u w:val="single"/>
              </w:rPr>
            </w:pPr>
            <w:r>
              <w:rPr>
                <w:rFonts w:hint="eastAsia"/>
                <w:kern w:val="0"/>
                <w:sz w:val="24"/>
                <w:szCs w:val="24"/>
                <w:lang w:val="en-US" w:eastAsia="zh-CN"/>
              </w:rPr>
              <w:t>7.5</w:t>
            </w:r>
            <w:r>
              <w:rPr>
                <w:rFonts w:hint="eastAsia"/>
                <w:kern w:val="0"/>
                <w:sz w:val="24"/>
                <w:szCs w:val="24"/>
                <w:u w:val="single"/>
              </w:rPr>
              <w:t>与《排污许可证申请与核发技术规范 家具制造工业》(HJ 1027-2019)相符性</w:t>
            </w:r>
          </w:p>
          <w:p>
            <w:pPr>
              <w:pStyle w:val="3"/>
              <w:spacing w:line="360" w:lineRule="auto"/>
              <w:jc w:val="left"/>
              <w:rPr>
                <w:rFonts w:ascii="Times New Roman" w:eastAsia="宋体"/>
                <w:kern w:val="0"/>
                <w:sz w:val="24"/>
                <w:szCs w:val="24"/>
                <w:u w:val="single"/>
              </w:rPr>
            </w:pPr>
            <w:r>
              <w:rPr>
                <w:rFonts w:hint="eastAsia" w:ascii="Times New Roman" w:eastAsia="宋体"/>
                <w:kern w:val="0"/>
                <w:sz w:val="24"/>
                <w:szCs w:val="24"/>
                <w:u w:val="single"/>
              </w:rPr>
              <w:t xml:space="preserve">   本项目与《排污许可证申请与核发技术规范 家具制造工业》(HJ 1027-2019)相符性分析见下表。</w:t>
            </w:r>
          </w:p>
          <w:p>
            <w:pPr>
              <w:ind w:firstLine="480" w:firstLineChars="200"/>
              <w:rPr>
                <w:rFonts w:ascii="黑体" w:hAnsi="黑体" w:eastAsia="黑体" w:cs="黑体"/>
                <w:sz w:val="24"/>
                <w:szCs w:val="24"/>
                <w:u w:val="single"/>
              </w:rPr>
            </w:pPr>
            <w:r>
              <w:rPr>
                <w:rFonts w:hint="eastAsia" w:ascii="黑体" w:hAnsi="黑体" w:eastAsia="黑体" w:cs="黑体"/>
                <w:sz w:val="24"/>
                <w:szCs w:val="24"/>
                <w:u w:val="single"/>
              </w:rPr>
              <w:t>表</w:t>
            </w:r>
            <w:r>
              <w:rPr>
                <w:rFonts w:hint="eastAsia" w:ascii="黑体" w:hAnsi="黑体" w:eastAsia="黑体" w:cs="黑体"/>
                <w:sz w:val="24"/>
                <w:szCs w:val="24"/>
                <w:u w:val="single"/>
                <w:lang w:val="en-US" w:eastAsia="zh-CN"/>
              </w:rPr>
              <w:t>40</w:t>
            </w:r>
            <w:r>
              <w:rPr>
                <w:rFonts w:hint="eastAsia" w:ascii="黑体" w:hAnsi="黑体" w:eastAsia="黑体" w:cs="黑体"/>
                <w:kern w:val="0"/>
                <w:sz w:val="24"/>
                <w:szCs w:val="24"/>
                <w:u w:val="single"/>
              </w:rPr>
              <w:t>与《排污许可证申请与核发技术规范 家具制造工业》相符性一览表</w:t>
            </w:r>
          </w:p>
          <w:tbl>
            <w:tblPr>
              <w:tblStyle w:val="28"/>
              <w:tblW w:w="8980" w:type="dxa"/>
              <w:jc w:val="center"/>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3828"/>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223" w:type="dxa"/>
                </w:tcPr>
                <w:p>
                  <w:pPr>
                    <w:pStyle w:val="3"/>
                    <w:rPr>
                      <w:rFonts w:ascii="Times New Roman" w:eastAsia="宋体"/>
                      <w:sz w:val="18"/>
                      <w:szCs w:val="18"/>
                    </w:rPr>
                  </w:pPr>
                </w:p>
              </w:tc>
              <w:tc>
                <w:tcPr>
                  <w:tcW w:w="3828" w:type="dxa"/>
                </w:tcPr>
                <w:p>
                  <w:pPr>
                    <w:pStyle w:val="3"/>
                    <w:rPr>
                      <w:rFonts w:ascii="Times New Roman" w:eastAsia="宋体"/>
                      <w:sz w:val="18"/>
                      <w:szCs w:val="18"/>
                    </w:rPr>
                  </w:pPr>
                  <w:r>
                    <w:rPr>
                      <w:rFonts w:ascii="Times New Roman" w:eastAsia="宋体"/>
                      <w:sz w:val="18"/>
                      <w:szCs w:val="18"/>
                    </w:rPr>
                    <w:t>规范要求</w:t>
                  </w:r>
                </w:p>
              </w:tc>
              <w:tc>
                <w:tcPr>
                  <w:tcW w:w="3929" w:type="dxa"/>
                </w:tcPr>
                <w:p>
                  <w:pPr>
                    <w:pStyle w:val="3"/>
                    <w:rPr>
                      <w:rFonts w:ascii="Times New Roman" w:eastAsia="宋体"/>
                      <w:sz w:val="18"/>
                      <w:szCs w:val="18"/>
                    </w:rPr>
                  </w:pPr>
                  <w:r>
                    <w:rPr>
                      <w:rFonts w:ascii="Times New Roman" w:eastAsia="宋体"/>
                      <w:sz w:val="18"/>
                      <w:szCs w:val="18"/>
                    </w:rPr>
                    <w:t>本环评要求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223" w:type="dxa"/>
                </w:tcPr>
                <w:p>
                  <w:pPr>
                    <w:pStyle w:val="3"/>
                    <w:rPr>
                      <w:rFonts w:ascii="Times New Roman" w:eastAsia="宋体"/>
                      <w:sz w:val="18"/>
                      <w:szCs w:val="18"/>
                    </w:rPr>
                  </w:pPr>
                  <w:r>
                    <w:rPr>
                      <w:rFonts w:ascii="Times New Roman" w:eastAsia="宋体"/>
                      <w:sz w:val="18"/>
                      <w:szCs w:val="18"/>
                    </w:rPr>
                    <w:t>源强确定</w:t>
                  </w:r>
                </w:p>
              </w:tc>
              <w:tc>
                <w:tcPr>
                  <w:tcW w:w="3828" w:type="dxa"/>
                </w:tcPr>
                <w:p>
                  <w:pPr>
                    <w:autoSpaceDE w:val="0"/>
                    <w:autoSpaceDN w:val="0"/>
                    <w:adjustRightInd w:val="0"/>
                    <w:snapToGrid w:val="0"/>
                    <w:ind w:left="-90" w:leftChars="-43"/>
                    <w:rPr>
                      <w:rFonts w:eastAsiaTheme="minorEastAsia"/>
                      <w:color w:val="000000" w:themeColor="text1"/>
                      <w:sz w:val="18"/>
                      <w:szCs w:val="18"/>
                    </w:rPr>
                  </w:pPr>
                  <w:r>
                    <w:rPr>
                      <w:rFonts w:eastAsiaTheme="minorEastAsia"/>
                      <w:color w:val="000000" w:themeColor="text1"/>
                      <w:sz w:val="18"/>
                      <w:szCs w:val="18"/>
                    </w:rPr>
                    <w:t>根据《排污许可证申请与核发技术规范 家具制造工业》(HJ 1027-2019)，其中颗粒物的许可排放量</w:t>
                  </w:r>
                  <w:r>
                    <w:rPr>
                      <w:rFonts w:hint="eastAsia" w:eastAsiaTheme="minorEastAsia"/>
                      <w:color w:val="000000" w:themeColor="text1"/>
                      <w:sz w:val="18"/>
                      <w:szCs w:val="18"/>
                      <w:lang w:eastAsia="zh-CN"/>
                    </w:rPr>
                    <w:t>采用排污系数法、物料恒算法</w:t>
                  </w:r>
                  <w:r>
                    <w:rPr>
                      <w:rFonts w:eastAsiaTheme="minorEastAsia"/>
                      <w:color w:val="000000" w:themeColor="text1"/>
                      <w:sz w:val="18"/>
                      <w:szCs w:val="18"/>
                    </w:rPr>
                    <w:t>确定。</w:t>
                  </w:r>
                </w:p>
              </w:tc>
              <w:tc>
                <w:tcPr>
                  <w:tcW w:w="3929" w:type="dxa"/>
                </w:tcPr>
                <w:p>
                  <w:pPr>
                    <w:autoSpaceDE w:val="0"/>
                    <w:autoSpaceDN w:val="0"/>
                    <w:adjustRightInd w:val="0"/>
                    <w:snapToGrid w:val="0"/>
                    <w:ind w:left="-90" w:leftChars="-43"/>
                    <w:rPr>
                      <w:rFonts w:eastAsiaTheme="minorEastAsia"/>
                      <w:color w:val="000000" w:themeColor="text1"/>
                      <w:sz w:val="18"/>
                      <w:szCs w:val="18"/>
                    </w:rPr>
                  </w:pPr>
                  <w:r>
                    <w:rPr>
                      <w:rFonts w:eastAsiaTheme="minorEastAsia"/>
                      <w:color w:val="000000" w:themeColor="text1"/>
                      <w:sz w:val="18"/>
                      <w:szCs w:val="18"/>
                    </w:rPr>
                    <w:t>本项目焊接、</w:t>
                  </w:r>
                  <w:r>
                    <w:rPr>
                      <w:rFonts w:hint="eastAsia" w:eastAsiaTheme="minorEastAsia"/>
                      <w:color w:val="000000" w:themeColor="text1"/>
                      <w:sz w:val="18"/>
                      <w:szCs w:val="18"/>
                      <w:lang w:eastAsia="zh-CN"/>
                    </w:rPr>
                    <w:t>激光</w:t>
                  </w:r>
                  <w:r>
                    <w:rPr>
                      <w:rFonts w:eastAsiaTheme="minorEastAsia"/>
                      <w:color w:val="000000" w:themeColor="text1"/>
                      <w:sz w:val="18"/>
                      <w:szCs w:val="18"/>
                    </w:rPr>
                    <w:t>切割废气源强的确定</w:t>
                  </w:r>
                  <w:r>
                    <w:rPr>
                      <w:rFonts w:hint="eastAsia" w:eastAsiaTheme="minorEastAsia"/>
                      <w:color w:val="000000" w:themeColor="text1"/>
                      <w:sz w:val="18"/>
                      <w:szCs w:val="18"/>
                      <w:lang w:eastAsia="zh-CN"/>
                    </w:rPr>
                    <w:t>采用排污系数法</w:t>
                  </w:r>
                  <w:r>
                    <w:rPr>
                      <w:rFonts w:eastAsiaTheme="minorEastAsia"/>
                      <w:color w:val="000000" w:themeColor="text1"/>
                      <w:sz w:val="18"/>
                      <w:szCs w:val="18"/>
                    </w:rPr>
                    <w:t>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223" w:type="dxa"/>
                </w:tcPr>
                <w:p>
                  <w:pPr>
                    <w:pStyle w:val="3"/>
                    <w:rPr>
                      <w:rFonts w:ascii="Times New Roman" w:eastAsia="宋体"/>
                      <w:sz w:val="18"/>
                      <w:szCs w:val="18"/>
                    </w:rPr>
                  </w:pPr>
                  <w:r>
                    <w:rPr>
                      <w:rFonts w:ascii="Times New Roman" w:eastAsia="宋体"/>
                      <w:sz w:val="18"/>
                      <w:szCs w:val="18"/>
                    </w:rPr>
                    <w:t>污染治理</w:t>
                  </w:r>
                </w:p>
                <w:p>
                  <w:pPr>
                    <w:pStyle w:val="3"/>
                    <w:rPr>
                      <w:rFonts w:ascii="Times New Roman" w:eastAsia="宋体"/>
                      <w:sz w:val="18"/>
                      <w:szCs w:val="18"/>
                    </w:rPr>
                  </w:pPr>
                  <w:r>
                    <w:rPr>
                      <w:rFonts w:ascii="Times New Roman" w:eastAsia="宋体"/>
                      <w:sz w:val="18"/>
                      <w:szCs w:val="18"/>
                    </w:rPr>
                    <w:t>设施要求</w:t>
                  </w:r>
                </w:p>
              </w:tc>
              <w:tc>
                <w:tcPr>
                  <w:tcW w:w="3828" w:type="dxa"/>
                </w:tcPr>
                <w:p>
                  <w:pPr>
                    <w:autoSpaceDE w:val="0"/>
                    <w:autoSpaceDN w:val="0"/>
                    <w:adjustRightInd w:val="0"/>
                    <w:snapToGrid w:val="0"/>
                    <w:ind w:left="-90" w:leftChars="-43"/>
                    <w:rPr>
                      <w:rFonts w:eastAsiaTheme="minorEastAsia"/>
                      <w:color w:val="000000" w:themeColor="text1"/>
                      <w:sz w:val="18"/>
                      <w:szCs w:val="18"/>
                    </w:rPr>
                  </w:pPr>
                  <w:r>
                    <w:rPr>
                      <w:rFonts w:eastAsiaTheme="minorEastAsia"/>
                      <w:color w:val="000000" w:themeColor="text1"/>
                      <w:sz w:val="18"/>
                      <w:szCs w:val="18"/>
                    </w:rPr>
                    <w:t>激光切割、二保焊：采用布袋除尘器等措施</w:t>
                  </w:r>
                  <w:r>
                    <w:rPr>
                      <w:rFonts w:hint="eastAsia" w:eastAsiaTheme="minorEastAsia"/>
                      <w:color w:val="000000" w:themeColor="text1"/>
                      <w:sz w:val="18"/>
                      <w:szCs w:val="18"/>
                    </w:rPr>
                    <w:t>。</w:t>
                  </w:r>
                </w:p>
              </w:tc>
              <w:tc>
                <w:tcPr>
                  <w:tcW w:w="3929" w:type="dxa"/>
                </w:tcPr>
                <w:p>
                  <w:pPr>
                    <w:autoSpaceDE w:val="0"/>
                    <w:autoSpaceDN w:val="0"/>
                    <w:adjustRightInd w:val="0"/>
                    <w:snapToGrid w:val="0"/>
                    <w:ind w:left="-90" w:leftChars="-43"/>
                    <w:rPr>
                      <w:rFonts w:eastAsiaTheme="minorEastAsia"/>
                      <w:color w:val="000000" w:themeColor="text1"/>
                      <w:sz w:val="18"/>
                      <w:szCs w:val="18"/>
                    </w:rPr>
                  </w:pPr>
                  <w:r>
                    <w:rPr>
                      <w:rFonts w:eastAsiaTheme="minorEastAsia"/>
                      <w:color w:val="000000" w:themeColor="text1"/>
                      <w:sz w:val="18"/>
                      <w:szCs w:val="18"/>
                    </w:rPr>
                    <w:t>本项目激光切割及焊接工序产生的粉尘经袋式除尘器进行收集</w:t>
                  </w:r>
                  <w:r>
                    <w:rPr>
                      <w:rFonts w:hint="eastAsia" w:eastAsiaTheme="minorEastAsia"/>
                      <w:color w:val="000000" w:themeColor="text1"/>
                      <w:sz w:val="18"/>
                      <w:szCs w:val="18"/>
                    </w:rPr>
                    <w:t>。</w:t>
                  </w:r>
                </w:p>
              </w:tc>
            </w:tr>
          </w:tbl>
          <w:p>
            <w:pPr>
              <w:spacing w:line="360" w:lineRule="auto"/>
              <w:rPr>
                <w:b/>
                <w:sz w:val="24"/>
                <w:szCs w:val="24"/>
                <w:u w:val="none"/>
              </w:rPr>
            </w:pPr>
            <w:r>
              <w:rPr>
                <w:rFonts w:hint="eastAsia"/>
                <w:b/>
                <w:sz w:val="24"/>
                <w:szCs w:val="24"/>
                <w:u w:val="none"/>
                <w:lang w:val="en-US" w:eastAsia="zh-CN"/>
              </w:rPr>
              <w:t>8</w:t>
            </w:r>
            <w:r>
              <w:rPr>
                <w:b/>
                <w:sz w:val="24"/>
                <w:szCs w:val="24"/>
                <w:u w:val="none"/>
              </w:rPr>
              <w:t>选址</w:t>
            </w:r>
            <w:r>
              <w:rPr>
                <w:rFonts w:hint="eastAsia"/>
                <w:b/>
                <w:sz w:val="24"/>
                <w:szCs w:val="24"/>
                <w:u w:val="none"/>
              </w:rPr>
              <w:t>合理性分析</w:t>
            </w:r>
          </w:p>
          <w:p>
            <w:pPr>
              <w:spacing w:line="360" w:lineRule="auto"/>
              <w:ind w:firstLine="480" w:firstLineChars="200"/>
              <w:rPr>
                <w:color w:val="000000" w:themeColor="text1"/>
                <w:sz w:val="24"/>
                <w:szCs w:val="24"/>
                <w:u w:val="single"/>
              </w:rPr>
            </w:pPr>
            <w:r>
              <w:rPr>
                <w:rFonts w:hint="eastAsia"/>
                <w:sz w:val="24"/>
                <w:szCs w:val="24"/>
                <w:u w:val="single"/>
              </w:rPr>
              <w:t>本</w:t>
            </w:r>
            <w:r>
              <w:rPr>
                <w:rFonts w:hint="eastAsia"/>
                <w:color w:val="000000" w:themeColor="text1"/>
                <w:sz w:val="24"/>
                <w:szCs w:val="24"/>
                <w:u w:val="single"/>
              </w:rPr>
              <w:t>项目位于偃师市高龙镇</w:t>
            </w:r>
            <w:r>
              <w:rPr>
                <w:rFonts w:hint="eastAsia"/>
                <w:color w:val="000000" w:themeColor="text1"/>
                <w:sz w:val="24"/>
                <w:szCs w:val="24"/>
                <w:u w:val="single"/>
                <w:lang w:eastAsia="zh-CN"/>
              </w:rPr>
              <w:t>高龙村</w:t>
            </w:r>
            <w:r>
              <w:rPr>
                <w:rFonts w:hint="eastAsia"/>
                <w:color w:val="000000" w:themeColor="text1"/>
                <w:sz w:val="24"/>
                <w:szCs w:val="24"/>
                <w:u w:val="single"/>
              </w:rPr>
              <w:t>，项目占地面积1</w:t>
            </w:r>
            <w:r>
              <w:rPr>
                <w:rFonts w:hint="eastAsia"/>
                <w:color w:val="000000" w:themeColor="text1"/>
                <w:sz w:val="24"/>
                <w:szCs w:val="24"/>
                <w:u w:val="single"/>
                <w:lang w:val="en-US" w:eastAsia="zh-CN"/>
              </w:rPr>
              <w:t>5</w:t>
            </w:r>
            <w:r>
              <w:rPr>
                <w:rFonts w:hint="eastAsia"/>
                <w:color w:val="000000" w:themeColor="text1"/>
                <w:sz w:val="24"/>
                <w:szCs w:val="24"/>
                <w:u w:val="single"/>
              </w:rPr>
              <w:t>00m</w:t>
            </w:r>
            <w:r>
              <w:rPr>
                <w:rFonts w:hint="eastAsia"/>
                <w:color w:val="000000" w:themeColor="text1"/>
                <w:sz w:val="24"/>
                <w:szCs w:val="24"/>
                <w:u w:val="single"/>
                <w:vertAlign w:val="superscript"/>
              </w:rPr>
              <w:t>2</w:t>
            </w:r>
            <w:r>
              <w:rPr>
                <w:rFonts w:hint="eastAsia"/>
                <w:color w:val="000000" w:themeColor="text1"/>
                <w:sz w:val="24"/>
                <w:szCs w:val="24"/>
                <w:u w:val="single"/>
              </w:rPr>
              <w:t>，为租用闲置车间进行建设，根据偃师市国土资源局以及偃师市规划局出具的文件，项目用地为工业用地，符合规划要求</w:t>
            </w:r>
            <w:r>
              <w:rPr>
                <w:rFonts w:hint="eastAsia"/>
                <w:bCs/>
                <w:color w:val="000000" w:themeColor="text1"/>
                <w:sz w:val="24"/>
                <w:szCs w:val="24"/>
                <w:u w:val="single"/>
              </w:rPr>
              <w:t>。本项目</w:t>
            </w:r>
            <w:r>
              <w:rPr>
                <w:rFonts w:hint="eastAsia"/>
                <w:color w:val="000000" w:themeColor="text1"/>
                <w:sz w:val="24"/>
                <w:szCs w:val="24"/>
                <w:u w:val="single"/>
              </w:rPr>
              <w:t>周围</w:t>
            </w:r>
            <w:r>
              <w:rPr>
                <w:rFonts w:hint="eastAsia"/>
                <w:bCs/>
                <w:color w:val="000000" w:themeColor="text1"/>
                <w:sz w:val="24"/>
                <w:szCs w:val="24"/>
                <w:u w:val="single"/>
              </w:rPr>
              <w:t>道路通畅</w:t>
            </w:r>
            <w:r>
              <w:rPr>
                <w:rFonts w:hint="eastAsia"/>
                <w:bCs/>
                <w:sz w:val="24"/>
                <w:szCs w:val="24"/>
                <w:u w:val="single"/>
              </w:rPr>
              <w:t>，交通便利；</w:t>
            </w:r>
            <w:r>
              <w:rPr>
                <w:sz w:val="24"/>
                <w:szCs w:val="24"/>
                <w:u w:val="single"/>
              </w:rPr>
              <w:t>项目用电及给水有保证；</w:t>
            </w:r>
            <w:r>
              <w:rPr>
                <w:rFonts w:hint="eastAsia"/>
                <w:sz w:val="24"/>
                <w:szCs w:val="24"/>
                <w:u w:val="single"/>
              </w:rPr>
              <w:t>采取相应的环保措施后，</w:t>
            </w:r>
            <w:r>
              <w:rPr>
                <w:sz w:val="24"/>
                <w:szCs w:val="24"/>
                <w:u w:val="single"/>
              </w:rPr>
              <w:t>项目</w:t>
            </w:r>
            <w:r>
              <w:rPr>
                <w:rFonts w:hint="eastAsia"/>
                <w:sz w:val="24"/>
                <w:szCs w:val="24"/>
                <w:u w:val="single"/>
              </w:rPr>
              <w:t>废气和</w:t>
            </w:r>
            <w:r>
              <w:rPr>
                <w:sz w:val="24"/>
                <w:szCs w:val="24"/>
                <w:u w:val="single"/>
              </w:rPr>
              <w:t>噪声排放能够达标</w:t>
            </w:r>
            <w:r>
              <w:rPr>
                <w:rFonts w:hint="eastAsia"/>
                <w:sz w:val="24"/>
                <w:szCs w:val="24"/>
                <w:u w:val="single"/>
              </w:rPr>
              <w:t>；职工生活污水经化粪池处理，定期用于周围农户肥田；</w:t>
            </w:r>
            <w:r>
              <w:rPr>
                <w:sz w:val="24"/>
                <w:szCs w:val="24"/>
                <w:u w:val="single"/>
              </w:rPr>
              <w:t>固体废物</w:t>
            </w:r>
            <w:r>
              <w:rPr>
                <w:rFonts w:hint="eastAsia"/>
                <w:sz w:val="24"/>
                <w:szCs w:val="24"/>
                <w:u w:val="single"/>
              </w:rPr>
              <w:t>均</w:t>
            </w:r>
            <w:r>
              <w:rPr>
                <w:sz w:val="24"/>
                <w:szCs w:val="24"/>
                <w:u w:val="single"/>
              </w:rPr>
              <w:t>得到了合理的处置</w:t>
            </w:r>
            <w:r>
              <w:rPr>
                <w:rFonts w:hint="eastAsia"/>
                <w:color w:val="000000" w:themeColor="text1"/>
                <w:sz w:val="24"/>
                <w:szCs w:val="24"/>
                <w:u w:val="single"/>
              </w:rPr>
              <w:t>。本项目厂址不在高龙镇集中饮用水源保护区保护范围内，不会对高龙镇集中饮用水源造成影响；位于东汉陵墓南兆域建设控制地带范围内，已经文物部门勘探，未发现文物；项目的建设符合相关文件政策要求。因此</w:t>
            </w:r>
            <w:r>
              <w:rPr>
                <w:color w:val="000000" w:themeColor="text1"/>
                <w:sz w:val="24"/>
                <w:szCs w:val="24"/>
                <w:u w:val="single"/>
              </w:rPr>
              <w:t>本项目</w:t>
            </w:r>
            <w:r>
              <w:rPr>
                <w:rFonts w:hint="eastAsia"/>
                <w:color w:val="000000" w:themeColor="text1"/>
                <w:sz w:val="24"/>
                <w:szCs w:val="24"/>
                <w:u w:val="single"/>
              </w:rPr>
              <w:t>的</w:t>
            </w:r>
            <w:r>
              <w:rPr>
                <w:color w:val="000000" w:themeColor="text1"/>
                <w:sz w:val="24"/>
                <w:szCs w:val="24"/>
                <w:u w:val="single"/>
              </w:rPr>
              <w:t>选址从环境保护角度分析是可行的。</w:t>
            </w: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single"/>
              </w:rPr>
            </w:pPr>
          </w:p>
          <w:p>
            <w:pPr>
              <w:pStyle w:val="2"/>
              <w:rPr>
                <w:color w:val="000000" w:themeColor="text1"/>
                <w:sz w:val="24"/>
                <w:szCs w:val="24"/>
                <w:u w:val="none"/>
              </w:rPr>
            </w:pPr>
          </w:p>
          <w:p>
            <w:pPr>
              <w:pStyle w:val="2"/>
              <w:rPr>
                <w:color w:val="000000" w:themeColor="text1"/>
                <w:sz w:val="24"/>
                <w:szCs w:val="24"/>
                <w:u w:val="none"/>
              </w:rPr>
            </w:pPr>
          </w:p>
          <w:p>
            <w:pPr>
              <w:pStyle w:val="2"/>
              <w:rPr>
                <w:color w:val="000000" w:themeColor="text1"/>
                <w:sz w:val="24"/>
                <w:szCs w:val="24"/>
                <w:u w:val="none"/>
              </w:rPr>
            </w:pPr>
          </w:p>
          <w:p>
            <w:pPr>
              <w:pStyle w:val="2"/>
              <w:rPr>
                <w:rFonts w:hint="eastAsia"/>
                <w:color w:val="000000" w:themeColor="text1"/>
                <w:sz w:val="24"/>
                <w:szCs w:val="24"/>
                <w:u w:val="none"/>
              </w:rPr>
            </w:pPr>
          </w:p>
          <w:p>
            <w:pPr>
              <w:spacing w:line="360" w:lineRule="auto"/>
              <w:ind w:firstLine="480" w:firstLineChars="200"/>
              <w:rPr>
                <w:sz w:val="24"/>
                <w:szCs w:val="24"/>
                <w:u w:val="none"/>
              </w:rPr>
            </w:pPr>
          </w:p>
        </w:tc>
      </w:tr>
    </w:tbl>
    <w:p>
      <w:pPr>
        <w:sectPr>
          <w:pgSz w:w="11906" w:h="16838"/>
          <w:pgMar w:top="1440" w:right="1134" w:bottom="1440" w:left="1418" w:header="851" w:footer="992" w:gutter="0"/>
          <w:cols w:space="425" w:num="1"/>
          <w:docGrid w:type="lines" w:linePitch="312" w:charSpace="0"/>
        </w:sectPr>
      </w:pPr>
    </w:p>
    <w:p>
      <w:pPr>
        <w:rPr>
          <w:rFonts w:ascii="宋体"/>
          <w:b/>
          <w:sz w:val="32"/>
        </w:rPr>
      </w:pPr>
      <w:r>
        <w:rPr>
          <w:rFonts w:hint="eastAsia" w:ascii="宋体"/>
          <w:b/>
          <w:sz w:val="32"/>
        </w:rPr>
        <w:t>建设项目拟采取的防治措施及预期治理效果</w:t>
      </w:r>
    </w:p>
    <w:tbl>
      <w:tblPr>
        <w:tblStyle w:val="2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1789"/>
        <w:gridCol w:w="1790"/>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tLeast"/>
              <w:ind w:left="-108" w:right="-108"/>
              <w:jc w:val="center"/>
              <w:rPr>
                <w:b/>
                <w:bCs/>
                <w:sz w:val="24"/>
                <w:szCs w:val="24"/>
              </w:rPr>
            </w:pPr>
            <w:r>
              <w:rPr>
                <w:b/>
                <w:bCs/>
                <w:sz w:val="24"/>
                <w:szCs w:val="24"/>
              </w:rPr>
              <w:t>内容</w:t>
            </w:r>
          </w:p>
          <w:p>
            <w:pPr>
              <w:adjustRightInd w:val="0"/>
              <w:snapToGrid w:val="0"/>
              <w:spacing w:line="240" w:lineRule="atLeast"/>
              <w:ind w:left="-107"/>
              <w:jc w:val="center"/>
              <w:rPr>
                <w:b/>
                <w:bCs/>
                <w:sz w:val="24"/>
                <w:szCs w:val="24"/>
              </w:rPr>
            </w:pPr>
            <w:r>
              <w:rPr>
                <w:b/>
                <w:bCs/>
                <w:sz w:val="24"/>
                <w:szCs w:val="24"/>
              </w:rPr>
              <w:t>类型</w:t>
            </w:r>
          </w:p>
        </w:tc>
        <w:tc>
          <w:tcPr>
            <w:tcW w:w="1559" w:type="dxa"/>
            <w:vAlign w:val="center"/>
          </w:tcPr>
          <w:p>
            <w:pPr>
              <w:adjustRightInd w:val="0"/>
              <w:snapToGrid w:val="0"/>
              <w:spacing w:line="240" w:lineRule="atLeast"/>
              <w:jc w:val="center"/>
              <w:rPr>
                <w:b/>
                <w:bCs/>
                <w:sz w:val="24"/>
                <w:szCs w:val="24"/>
              </w:rPr>
            </w:pPr>
            <w:r>
              <w:rPr>
                <w:b/>
                <w:bCs/>
                <w:sz w:val="24"/>
                <w:szCs w:val="24"/>
              </w:rPr>
              <w:t>排放源</w:t>
            </w:r>
          </w:p>
          <w:p>
            <w:pPr>
              <w:adjustRightInd w:val="0"/>
              <w:snapToGrid w:val="0"/>
              <w:spacing w:line="240" w:lineRule="atLeast"/>
              <w:jc w:val="center"/>
              <w:rPr>
                <w:b/>
                <w:bCs/>
                <w:sz w:val="24"/>
                <w:szCs w:val="24"/>
              </w:rPr>
            </w:pPr>
            <w:r>
              <w:rPr>
                <w:b/>
                <w:bCs/>
                <w:sz w:val="24"/>
                <w:szCs w:val="24"/>
              </w:rPr>
              <w:t>(编号)</w:t>
            </w:r>
          </w:p>
        </w:tc>
        <w:tc>
          <w:tcPr>
            <w:tcW w:w="1701" w:type="dxa"/>
            <w:vAlign w:val="center"/>
          </w:tcPr>
          <w:p>
            <w:pPr>
              <w:adjustRightInd w:val="0"/>
              <w:snapToGrid w:val="0"/>
              <w:spacing w:line="240" w:lineRule="atLeast"/>
              <w:ind w:right="-108"/>
              <w:jc w:val="center"/>
              <w:rPr>
                <w:b/>
                <w:bCs/>
                <w:sz w:val="24"/>
                <w:szCs w:val="24"/>
              </w:rPr>
            </w:pPr>
            <w:r>
              <w:rPr>
                <w:b/>
                <w:bCs/>
                <w:sz w:val="24"/>
                <w:szCs w:val="24"/>
              </w:rPr>
              <w:t>污染物</w:t>
            </w:r>
          </w:p>
          <w:p>
            <w:pPr>
              <w:adjustRightInd w:val="0"/>
              <w:snapToGrid w:val="0"/>
              <w:spacing w:line="240" w:lineRule="atLeast"/>
              <w:jc w:val="center"/>
              <w:rPr>
                <w:b/>
                <w:bCs/>
                <w:sz w:val="24"/>
                <w:szCs w:val="24"/>
              </w:rPr>
            </w:pPr>
            <w:r>
              <w:rPr>
                <w:b/>
                <w:bCs/>
                <w:sz w:val="24"/>
                <w:szCs w:val="24"/>
              </w:rPr>
              <w:t>名称</w:t>
            </w:r>
          </w:p>
        </w:tc>
        <w:tc>
          <w:tcPr>
            <w:tcW w:w="3579" w:type="dxa"/>
            <w:gridSpan w:val="2"/>
            <w:vAlign w:val="center"/>
          </w:tcPr>
          <w:p>
            <w:pPr>
              <w:adjustRightInd w:val="0"/>
              <w:snapToGrid w:val="0"/>
              <w:spacing w:line="240" w:lineRule="atLeast"/>
              <w:jc w:val="center"/>
              <w:rPr>
                <w:b/>
                <w:bCs/>
                <w:sz w:val="24"/>
                <w:szCs w:val="24"/>
              </w:rPr>
            </w:pPr>
            <w:r>
              <w:rPr>
                <w:b/>
                <w:bCs/>
                <w:sz w:val="28"/>
                <w:szCs w:val="28"/>
              </w:rPr>
              <w:t>防治措施</w:t>
            </w:r>
          </w:p>
        </w:tc>
        <w:tc>
          <w:tcPr>
            <w:tcW w:w="1808" w:type="dxa"/>
            <w:vAlign w:val="center"/>
          </w:tcPr>
          <w:p>
            <w:pPr>
              <w:tabs>
                <w:tab w:val="left" w:pos="5760"/>
              </w:tabs>
              <w:adjustRightInd w:val="0"/>
              <w:snapToGrid w:val="0"/>
              <w:spacing w:line="240" w:lineRule="atLeast"/>
              <w:jc w:val="center"/>
              <w:rPr>
                <w:b/>
                <w:bCs/>
                <w:sz w:val="28"/>
                <w:szCs w:val="24"/>
              </w:rPr>
            </w:pPr>
            <w:r>
              <w:rPr>
                <w:b/>
                <w:bCs/>
                <w:sz w:val="28"/>
                <w:szCs w:val="24"/>
              </w:rPr>
              <w:t>预期治</w:t>
            </w:r>
          </w:p>
          <w:p>
            <w:pPr>
              <w:tabs>
                <w:tab w:val="left" w:pos="5760"/>
              </w:tabs>
              <w:adjustRightInd w:val="0"/>
              <w:snapToGrid w:val="0"/>
              <w:spacing w:line="240" w:lineRule="atLeast"/>
              <w:jc w:val="center"/>
              <w:rPr>
                <w:b/>
                <w:bCs/>
                <w:sz w:val="28"/>
                <w:szCs w:val="24"/>
              </w:rPr>
            </w:pPr>
            <w:r>
              <w:rPr>
                <w:b/>
                <w:bCs/>
                <w:sz w:val="28"/>
                <w:szCs w:val="24"/>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2" w:hRule="atLeast"/>
        </w:trPr>
        <w:tc>
          <w:tcPr>
            <w:tcW w:w="817" w:type="dxa"/>
            <w:vMerge w:val="restart"/>
            <w:vAlign w:val="center"/>
          </w:tcPr>
          <w:p>
            <w:pPr>
              <w:adjustRightInd w:val="0"/>
              <w:snapToGrid w:val="0"/>
              <w:spacing w:line="240" w:lineRule="atLeast"/>
              <w:ind w:left="-108"/>
              <w:jc w:val="center"/>
              <w:rPr>
                <w:b/>
                <w:bCs/>
                <w:sz w:val="24"/>
                <w:szCs w:val="24"/>
              </w:rPr>
            </w:pPr>
            <w:r>
              <w:rPr>
                <w:rFonts w:hint="eastAsia"/>
                <w:b/>
                <w:bCs/>
                <w:sz w:val="24"/>
                <w:szCs w:val="24"/>
              </w:rPr>
              <w:t>废气</w:t>
            </w:r>
            <w:r>
              <w:rPr>
                <w:b/>
                <w:bCs/>
                <w:sz w:val="24"/>
                <w:szCs w:val="24"/>
              </w:rPr>
              <w:t>污染物</w:t>
            </w:r>
          </w:p>
        </w:tc>
        <w:tc>
          <w:tcPr>
            <w:tcW w:w="1559" w:type="dxa"/>
            <w:vAlign w:val="center"/>
          </w:tcPr>
          <w:p>
            <w:pPr>
              <w:jc w:val="center"/>
              <w:rPr>
                <w:color w:val="auto"/>
                <w:kern w:val="0"/>
                <w:szCs w:val="21"/>
              </w:rPr>
            </w:pPr>
            <w:r>
              <w:rPr>
                <w:rFonts w:hint="eastAsia"/>
                <w:color w:val="auto"/>
                <w:kern w:val="0"/>
                <w:szCs w:val="21"/>
                <w:lang w:eastAsia="zh-CN"/>
              </w:rPr>
              <w:t>二保</w:t>
            </w:r>
            <w:r>
              <w:rPr>
                <w:rFonts w:hint="eastAsia"/>
                <w:color w:val="auto"/>
                <w:kern w:val="0"/>
                <w:szCs w:val="21"/>
              </w:rPr>
              <w:t>焊</w:t>
            </w:r>
          </w:p>
        </w:tc>
        <w:tc>
          <w:tcPr>
            <w:tcW w:w="1701" w:type="dxa"/>
            <w:vAlign w:val="center"/>
          </w:tcPr>
          <w:p>
            <w:pPr>
              <w:jc w:val="center"/>
              <w:rPr>
                <w:color w:val="auto"/>
                <w:szCs w:val="21"/>
              </w:rPr>
            </w:pPr>
            <w:r>
              <w:rPr>
                <w:color w:val="auto"/>
                <w:szCs w:val="21"/>
              </w:rPr>
              <w:t>粉尘</w:t>
            </w:r>
          </w:p>
        </w:tc>
        <w:tc>
          <w:tcPr>
            <w:tcW w:w="1789" w:type="dxa"/>
            <w:vAlign w:val="center"/>
          </w:tcPr>
          <w:p>
            <w:pPr>
              <w:jc w:val="center"/>
              <w:rPr>
                <w:color w:val="auto"/>
                <w:szCs w:val="21"/>
              </w:rPr>
            </w:pPr>
            <w:r>
              <w:rPr>
                <w:rFonts w:hint="eastAsia"/>
                <w:color w:val="auto"/>
                <w:szCs w:val="21"/>
              </w:rPr>
              <w:t>单间二次密闭</w:t>
            </w:r>
          </w:p>
        </w:tc>
        <w:tc>
          <w:tcPr>
            <w:tcW w:w="1790" w:type="dxa"/>
            <w:vMerge w:val="restart"/>
            <w:vAlign w:val="center"/>
          </w:tcPr>
          <w:p>
            <w:pPr>
              <w:jc w:val="center"/>
              <w:rPr>
                <w:color w:val="auto"/>
                <w:szCs w:val="21"/>
              </w:rPr>
            </w:pPr>
            <w:r>
              <w:rPr>
                <w:rFonts w:hint="eastAsia"/>
                <w:color w:val="auto"/>
                <w:szCs w:val="21"/>
              </w:rPr>
              <w:t>袋式除尘器</w:t>
            </w:r>
            <w:r>
              <w:rPr>
                <w:rFonts w:hint="eastAsia"/>
                <w:color w:val="auto"/>
                <w:szCs w:val="21"/>
                <w:lang w:val="en-US" w:eastAsia="zh-CN"/>
              </w:rPr>
              <w:t>+15米排气筒</w:t>
            </w:r>
          </w:p>
        </w:tc>
        <w:tc>
          <w:tcPr>
            <w:tcW w:w="1808" w:type="dxa"/>
            <w:vAlign w:val="center"/>
          </w:tcPr>
          <w:p>
            <w:pPr>
              <w:tabs>
                <w:tab w:val="left" w:pos="5760"/>
              </w:tabs>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17" w:type="dxa"/>
            <w:vMerge w:val="continue"/>
            <w:vAlign w:val="center"/>
          </w:tcPr>
          <w:p>
            <w:pPr>
              <w:adjustRightInd w:val="0"/>
              <w:snapToGrid w:val="0"/>
              <w:spacing w:line="240" w:lineRule="atLeast"/>
              <w:ind w:left="-108"/>
              <w:jc w:val="center"/>
              <w:rPr>
                <w:b/>
                <w:bCs/>
                <w:sz w:val="24"/>
                <w:szCs w:val="24"/>
              </w:rPr>
            </w:pPr>
          </w:p>
        </w:tc>
        <w:tc>
          <w:tcPr>
            <w:tcW w:w="1559" w:type="dxa"/>
            <w:vAlign w:val="center"/>
          </w:tcPr>
          <w:p>
            <w:pPr>
              <w:jc w:val="center"/>
              <w:rPr>
                <w:kern w:val="0"/>
                <w:szCs w:val="21"/>
              </w:rPr>
            </w:pPr>
            <w:r>
              <w:rPr>
                <w:rFonts w:hint="eastAsia"/>
                <w:kern w:val="0"/>
                <w:szCs w:val="21"/>
              </w:rPr>
              <w:t>激光切割</w:t>
            </w:r>
          </w:p>
        </w:tc>
        <w:tc>
          <w:tcPr>
            <w:tcW w:w="1701" w:type="dxa"/>
            <w:vAlign w:val="center"/>
          </w:tcPr>
          <w:p>
            <w:pPr>
              <w:jc w:val="center"/>
              <w:rPr>
                <w:szCs w:val="21"/>
              </w:rPr>
            </w:pPr>
            <w:r>
              <w:rPr>
                <w:szCs w:val="21"/>
              </w:rPr>
              <w:t>粉尘</w:t>
            </w:r>
          </w:p>
        </w:tc>
        <w:tc>
          <w:tcPr>
            <w:tcW w:w="1789" w:type="dxa"/>
            <w:vAlign w:val="center"/>
          </w:tcPr>
          <w:p>
            <w:pPr>
              <w:jc w:val="center"/>
              <w:rPr>
                <w:szCs w:val="21"/>
              </w:rPr>
            </w:pPr>
            <w:r>
              <w:rPr>
                <w:rFonts w:hint="eastAsia"/>
                <w:szCs w:val="21"/>
              </w:rPr>
              <w:t>/</w:t>
            </w:r>
          </w:p>
        </w:tc>
        <w:tc>
          <w:tcPr>
            <w:tcW w:w="1790" w:type="dxa"/>
            <w:vMerge w:val="continue"/>
            <w:vAlign w:val="center"/>
          </w:tcPr>
          <w:p>
            <w:pPr>
              <w:jc w:val="center"/>
              <w:rPr>
                <w:szCs w:val="21"/>
              </w:rPr>
            </w:pPr>
          </w:p>
        </w:tc>
        <w:tc>
          <w:tcPr>
            <w:tcW w:w="1808" w:type="dxa"/>
            <w:vAlign w:val="center"/>
          </w:tcPr>
          <w:p>
            <w:pPr>
              <w:tabs>
                <w:tab w:val="left" w:pos="5760"/>
              </w:tabs>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17" w:type="dxa"/>
            <w:vAlign w:val="center"/>
          </w:tcPr>
          <w:p>
            <w:pPr>
              <w:adjustRightInd w:val="0"/>
              <w:snapToGrid w:val="0"/>
              <w:spacing w:line="240" w:lineRule="atLeast"/>
              <w:ind w:left="-108"/>
              <w:jc w:val="center"/>
              <w:rPr>
                <w:b/>
                <w:bCs/>
                <w:sz w:val="24"/>
                <w:szCs w:val="24"/>
              </w:rPr>
            </w:pPr>
            <w:r>
              <w:rPr>
                <w:b/>
                <w:bCs/>
                <w:sz w:val="24"/>
                <w:szCs w:val="24"/>
              </w:rPr>
              <w:t>水污</w:t>
            </w:r>
          </w:p>
          <w:p>
            <w:pPr>
              <w:adjustRightInd w:val="0"/>
              <w:snapToGrid w:val="0"/>
              <w:spacing w:line="240" w:lineRule="atLeast"/>
              <w:ind w:left="-108"/>
              <w:jc w:val="center"/>
              <w:rPr>
                <w:b/>
                <w:bCs/>
                <w:sz w:val="24"/>
                <w:szCs w:val="24"/>
              </w:rPr>
            </w:pPr>
            <w:r>
              <w:rPr>
                <w:b/>
                <w:bCs/>
                <w:sz w:val="24"/>
                <w:szCs w:val="24"/>
              </w:rPr>
              <w:t>染物</w:t>
            </w:r>
          </w:p>
        </w:tc>
        <w:tc>
          <w:tcPr>
            <w:tcW w:w="1559" w:type="dxa"/>
            <w:vAlign w:val="center"/>
          </w:tcPr>
          <w:p>
            <w:pPr>
              <w:adjustRightInd w:val="0"/>
              <w:snapToGrid w:val="0"/>
              <w:spacing w:line="240" w:lineRule="atLeast"/>
              <w:jc w:val="center"/>
              <w:rPr>
                <w:szCs w:val="21"/>
              </w:rPr>
            </w:pPr>
            <w:r>
              <w:rPr>
                <w:szCs w:val="21"/>
              </w:rPr>
              <w:t>生活污水</w:t>
            </w:r>
          </w:p>
        </w:tc>
        <w:tc>
          <w:tcPr>
            <w:tcW w:w="1701" w:type="dxa"/>
            <w:vAlign w:val="center"/>
          </w:tcPr>
          <w:p>
            <w:pPr>
              <w:adjustRightInd w:val="0"/>
              <w:snapToGrid w:val="0"/>
              <w:spacing w:line="240" w:lineRule="atLeast"/>
              <w:jc w:val="center"/>
              <w:rPr>
                <w:szCs w:val="21"/>
              </w:rPr>
            </w:pPr>
            <w:r>
              <w:rPr>
                <w:szCs w:val="21"/>
              </w:rPr>
              <w:t>COD、NH</w:t>
            </w:r>
            <w:r>
              <w:rPr>
                <w:szCs w:val="21"/>
                <w:vertAlign w:val="subscript"/>
              </w:rPr>
              <w:t>3</w:t>
            </w:r>
            <w:r>
              <w:rPr>
                <w:szCs w:val="21"/>
              </w:rPr>
              <w:t>-N</w:t>
            </w:r>
          </w:p>
        </w:tc>
        <w:tc>
          <w:tcPr>
            <w:tcW w:w="3579" w:type="dxa"/>
            <w:gridSpan w:val="2"/>
            <w:vAlign w:val="center"/>
          </w:tcPr>
          <w:p>
            <w:pPr>
              <w:tabs>
                <w:tab w:val="left" w:pos="5760"/>
              </w:tabs>
              <w:adjustRightInd w:val="0"/>
              <w:snapToGrid w:val="0"/>
              <w:jc w:val="center"/>
              <w:rPr>
                <w:szCs w:val="21"/>
              </w:rPr>
            </w:pPr>
            <w:r>
              <w:rPr>
                <w:rFonts w:hint="eastAsia"/>
                <w:szCs w:val="21"/>
              </w:rPr>
              <w:t>化粪池收集，定期用于周围农户肥田</w:t>
            </w:r>
          </w:p>
        </w:tc>
        <w:tc>
          <w:tcPr>
            <w:tcW w:w="1808" w:type="dxa"/>
            <w:vAlign w:val="center"/>
          </w:tcPr>
          <w:p>
            <w:pPr>
              <w:tabs>
                <w:tab w:val="left" w:pos="5760"/>
              </w:tabs>
              <w:adjustRightInd w:val="0"/>
              <w:snapToGrid w:val="0"/>
              <w:jc w:val="center"/>
              <w:rPr>
                <w:szCs w:val="21"/>
              </w:rPr>
            </w:pP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17" w:type="dxa"/>
            <w:vMerge w:val="restart"/>
            <w:vAlign w:val="center"/>
          </w:tcPr>
          <w:p>
            <w:pPr>
              <w:jc w:val="center"/>
              <w:rPr>
                <w:b/>
                <w:bCs/>
                <w:sz w:val="24"/>
                <w:szCs w:val="24"/>
              </w:rPr>
            </w:pPr>
            <w:r>
              <w:rPr>
                <w:b/>
                <w:bCs/>
                <w:sz w:val="24"/>
                <w:szCs w:val="24"/>
              </w:rPr>
              <w:t>固</w:t>
            </w:r>
          </w:p>
          <w:p>
            <w:pPr>
              <w:jc w:val="center"/>
              <w:rPr>
                <w:b/>
                <w:sz w:val="32"/>
              </w:rPr>
            </w:pPr>
            <w:r>
              <w:rPr>
                <w:b/>
                <w:bCs/>
                <w:sz w:val="24"/>
                <w:szCs w:val="24"/>
              </w:rPr>
              <w:t>废</w:t>
            </w:r>
          </w:p>
        </w:tc>
        <w:tc>
          <w:tcPr>
            <w:tcW w:w="1559" w:type="dxa"/>
            <w:vAlign w:val="center"/>
          </w:tcPr>
          <w:p>
            <w:pPr>
              <w:adjustRightInd w:val="0"/>
              <w:snapToGrid w:val="0"/>
              <w:spacing w:line="240" w:lineRule="atLeast"/>
              <w:jc w:val="center"/>
              <w:rPr>
                <w:szCs w:val="21"/>
              </w:rPr>
            </w:pPr>
            <w:r>
              <w:rPr>
                <w:szCs w:val="21"/>
              </w:rPr>
              <w:t>职工生活</w:t>
            </w:r>
          </w:p>
        </w:tc>
        <w:tc>
          <w:tcPr>
            <w:tcW w:w="1701" w:type="dxa"/>
            <w:vAlign w:val="center"/>
          </w:tcPr>
          <w:p>
            <w:pPr>
              <w:spacing w:line="240" w:lineRule="atLeast"/>
              <w:jc w:val="center"/>
              <w:rPr>
                <w:szCs w:val="21"/>
              </w:rPr>
            </w:pPr>
            <w:r>
              <w:rPr>
                <w:szCs w:val="21"/>
              </w:rPr>
              <w:t>生活垃圾</w:t>
            </w:r>
          </w:p>
        </w:tc>
        <w:tc>
          <w:tcPr>
            <w:tcW w:w="3579" w:type="dxa"/>
            <w:gridSpan w:val="2"/>
            <w:vAlign w:val="center"/>
          </w:tcPr>
          <w:p>
            <w:pPr>
              <w:adjustRightInd w:val="0"/>
              <w:snapToGrid w:val="0"/>
              <w:spacing w:line="240" w:lineRule="atLeast"/>
              <w:jc w:val="center"/>
              <w:rPr>
                <w:szCs w:val="21"/>
              </w:rPr>
            </w:pPr>
            <w:r>
              <w:rPr>
                <w:szCs w:val="21"/>
              </w:rPr>
              <w:t>环卫部门清运至生活垃圾填埋场</w:t>
            </w:r>
          </w:p>
        </w:tc>
        <w:tc>
          <w:tcPr>
            <w:tcW w:w="1808" w:type="dxa"/>
            <w:vAlign w:val="center"/>
          </w:tcPr>
          <w:p>
            <w:pPr>
              <w:tabs>
                <w:tab w:val="left" w:pos="5760"/>
              </w:tabs>
              <w:adjustRightInd w:val="0"/>
              <w:snapToGrid w:val="0"/>
              <w:jc w:val="center"/>
              <w:rPr>
                <w:szCs w:val="21"/>
              </w:rPr>
            </w:pPr>
            <w:r>
              <w:rPr>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7" w:type="dxa"/>
            <w:vMerge w:val="continue"/>
            <w:vAlign w:val="center"/>
          </w:tcPr>
          <w:p>
            <w:pPr>
              <w:jc w:val="center"/>
              <w:rPr>
                <w:b/>
                <w:bCs/>
                <w:sz w:val="24"/>
                <w:szCs w:val="24"/>
              </w:rPr>
            </w:pPr>
          </w:p>
        </w:tc>
        <w:tc>
          <w:tcPr>
            <w:tcW w:w="1559" w:type="dxa"/>
            <w:vMerge w:val="restart"/>
            <w:vAlign w:val="center"/>
          </w:tcPr>
          <w:p>
            <w:pPr>
              <w:adjustRightInd w:val="0"/>
              <w:snapToGrid w:val="0"/>
              <w:spacing w:line="240" w:lineRule="atLeast"/>
              <w:jc w:val="center"/>
              <w:rPr>
                <w:szCs w:val="21"/>
              </w:rPr>
            </w:pPr>
            <w:r>
              <w:rPr>
                <w:szCs w:val="21"/>
              </w:rPr>
              <w:t>生产过程</w:t>
            </w:r>
          </w:p>
        </w:tc>
        <w:tc>
          <w:tcPr>
            <w:tcW w:w="1701"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3579" w:type="dxa"/>
            <w:gridSpan w:val="2"/>
            <w:vAlign w:val="center"/>
          </w:tcPr>
          <w:p>
            <w:pPr>
              <w:adjustRightInd w:val="0"/>
              <w:snapToGrid w:val="0"/>
              <w:spacing w:line="240" w:lineRule="atLeast"/>
              <w:jc w:val="center"/>
              <w:rPr>
                <w:szCs w:val="21"/>
              </w:rPr>
            </w:pPr>
            <w:r>
              <w:rPr>
                <w:rFonts w:hint="eastAsia"/>
                <w:szCs w:val="21"/>
              </w:rPr>
              <w:t>固废堆场</w:t>
            </w:r>
            <w:r>
              <w:rPr>
                <w:szCs w:val="21"/>
              </w:rPr>
              <w:t>暂存</w:t>
            </w:r>
          </w:p>
        </w:tc>
        <w:tc>
          <w:tcPr>
            <w:tcW w:w="1808" w:type="dxa"/>
            <w:vAlign w:val="center"/>
          </w:tcPr>
          <w:p>
            <w:pPr>
              <w:tabs>
                <w:tab w:val="left" w:pos="5760"/>
              </w:tabs>
              <w:adjustRightInd w:val="0"/>
              <w:snapToGrid w:val="0"/>
              <w:jc w:val="center"/>
              <w:rPr>
                <w:szCs w:val="21"/>
              </w:rPr>
            </w:pPr>
            <w:r>
              <w:rPr>
                <w:rFonts w:hint="eastAsia"/>
                <w:szCs w:val="21"/>
              </w:rPr>
              <w:t>定期</w:t>
            </w: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vMerge w:val="continue"/>
            <w:vAlign w:val="center"/>
          </w:tcPr>
          <w:p>
            <w:pPr>
              <w:jc w:val="center"/>
              <w:rPr>
                <w:b/>
                <w:bCs/>
                <w:sz w:val="24"/>
                <w:szCs w:val="24"/>
              </w:rPr>
            </w:pPr>
          </w:p>
        </w:tc>
        <w:tc>
          <w:tcPr>
            <w:tcW w:w="1559" w:type="dxa"/>
            <w:vMerge w:val="continue"/>
            <w:vAlign w:val="center"/>
          </w:tcPr>
          <w:p>
            <w:pPr>
              <w:adjustRightInd w:val="0"/>
              <w:snapToGrid w:val="0"/>
              <w:spacing w:line="240" w:lineRule="atLeast"/>
              <w:jc w:val="center"/>
              <w:rPr>
                <w:szCs w:val="21"/>
              </w:rPr>
            </w:pPr>
          </w:p>
        </w:tc>
        <w:tc>
          <w:tcPr>
            <w:tcW w:w="1701"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3579" w:type="dxa"/>
            <w:gridSpan w:val="2"/>
            <w:vAlign w:val="center"/>
          </w:tcPr>
          <w:p>
            <w:pPr>
              <w:spacing w:line="240" w:lineRule="atLeast"/>
              <w:ind w:firstLine="630" w:firstLineChars="300"/>
              <w:rPr>
                <w:szCs w:val="21"/>
              </w:rPr>
            </w:pPr>
            <w:r>
              <w:rPr>
                <w:rFonts w:hint="eastAsia"/>
                <w:szCs w:val="21"/>
              </w:rPr>
              <w:t>固废堆场</w:t>
            </w:r>
            <w:r>
              <w:rPr>
                <w:szCs w:val="21"/>
              </w:rPr>
              <w:t>暂存</w:t>
            </w:r>
            <w:r>
              <w:rPr>
                <w:rFonts w:hint="eastAsia"/>
                <w:szCs w:val="21"/>
              </w:rPr>
              <w:t>后</w:t>
            </w:r>
            <w:r>
              <w:rPr>
                <w:rFonts w:hint="eastAsia"/>
                <w:szCs w:val="21"/>
                <w:lang w:eastAsia="zh-CN"/>
              </w:rPr>
              <w:t>外售</w:t>
            </w:r>
          </w:p>
        </w:tc>
        <w:tc>
          <w:tcPr>
            <w:tcW w:w="1808" w:type="dxa"/>
            <w:vAlign w:val="center"/>
          </w:tcPr>
          <w:p>
            <w:pPr>
              <w:tabs>
                <w:tab w:val="left" w:pos="5760"/>
              </w:tabs>
              <w:adjustRightInd w:val="0"/>
              <w:snapToGrid w:val="0"/>
              <w:jc w:val="center"/>
              <w:rPr>
                <w:szCs w:val="21"/>
              </w:rPr>
            </w:pPr>
            <w:r>
              <w:rPr>
                <w:rFonts w:hint="eastAsia"/>
                <w:szCs w:val="21"/>
              </w:rPr>
              <w:t>定期</w:t>
            </w: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vMerge w:val="continue"/>
            <w:vAlign w:val="center"/>
          </w:tcPr>
          <w:p>
            <w:pPr>
              <w:jc w:val="center"/>
              <w:rPr>
                <w:b/>
                <w:bCs/>
                <w:sz w:val="24"/>
                <w:szCs w:val="24"/>
              </w:rPr>
            </w:pPr>
          </w:p>
        </w:tc>
        <w:tc>
          <w:tcPr>
            <w:tcW w:w="1559" w:type="dxa"/>
            <w:vMerge w:val="continue"/>
            <w:vAlign w:val="center"/>
          </w:tcPr>
          <w:p>
            <w:pPr>
              <w:adjustRightInd w:val="0"/>
              <w:snapToGrid w:val="0"/>
              <w:spacing w:line="240" w:lineRule="atLeast"/>
              <w:jc w:val="center"/>
              <w:rPr>
                <w:szCs w:val="21"/>
              </w:rPr>
            </w:pPr>
          </w:p>
        </w:tc>
        <w:tc>
          <w:tcPr>
            <w:tcW w:w="1701" w:type="dxa"/>
            <w:vAlign w:val="center"/>
          </w:tcPr>
          <w:p>
            <w:pPr>
              <w:spacing w:line="240" w:lineRule="atLeast"/>
              <w:jc w:val="center"/>
              <w:rPr>
                <w:szCs w:val="21"/>
              </w:rPr>
            </w:pPr>
            <w:r>
              <w:rPr>
                <w:szCs w:val="21"/>
              </w:rPr>
              <w:t>废</w:t>
            </w:r>
            <w:r>
              <w:rPr>
                <w:rFonts w:hint="eastAsia"/>
                <w:szCs w:val="21"/>
                <w:lang w:eastAsia="zh-CN"/>
              </w:rPr>
              <w:t>机</w:t>
            </w:r>
            <w:r>
              <w:rPr>
                <w:szCs w:val="21"/>
              </w:rPr>
              <w:t>油</w:t>
            </w:r>
          </w:p>
        </w:tc>
        <w:tc>
          <w:tcPr>
            <w:tcW w:w="3579" w:type="dxa"/>
            <w:gridSpan w:val="2"/>
            <w:vAlign w:val="center"/>
          </w:tcPr>
          <w:p>
            <w:pPr>
              <w:spacing w:line="240" w:lineRule="atLeast"/>
              <w:ind w:firstLine="840" w:firstLineChars="400"/>
              <w:rPr>
                <w:szCs w:val="21"/>
              </w:rPr>
            </w:pPr>
            <w:r>
              <w:rPr>
                <w:szCs w:val="21"/>
              </w:rPr>
              <w:t>危废</w:t>
            </w:r>
            <w:r>
              <w:rPr>
                <w:rFonts w:hint="eastAsia"/>
                <w:szCs w:val="21"/>
              </w:rPr>
              <w:t>间</w:t>
            </w:r>
            <w:r>
              <w:rPr>
                <w:szCs w:val="21"/>
              </w:rPr>
              <w:t>暂存</w:t>
            </w:r>
          </w:p>
        </w:tc>
        <w:tc>
          <w:tcPr>
            <w:tcW w:w="1808" w:type="dxa"/>
            <w:vAlign w:val="center"/>
          </w:tcPr>
          <w:p>
            <w:pPr>
              <w:tabs>
                <w:tab w:val="left" w:pos="5760"/>
              </w:tabs>
              <w:adjustRightInd w:val="0"/>
              <w:snapToGrid w:val="0"/>
              <w:jc w:val="center"/>
              <w:rPr>
                <w:szCs w:val="21"/>
              </w:rPr>
            </w:pPr>
            <w:r>
              <w:rPr>
                <w:szCs w:val="21"/>
              </w:rPr>
              <w:t>交资质单位处置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17" w:type="dxa"/>
            <w:vAlign w:val="center"/>
          </w:tcPr>
          <w:p>
            <w:pPr>
              <w:jc w:val="center"/>
              <w:rPr>
                <w:b/>
                <w:bCs/>
                <w:sz w:val="24"/>
                <w:szCs w:val="24"/>
              </w:rPr>
            </w:pPr>
            <w:r>
              <w:rPr>
                <w:b/>
                <w:bCs/>
                <w:sz w:val="24"/>
                <w:szCs w:val="24"/>
              </w:rPr>
              <w:t>噪</w:t>
            </w:r>
          </w:p>
          <w:p>
            <w:pPr>
              <w:jc w:val="center"/>
              <w:rPr>
                <w:b/>
                <w:sz w:val="32"/>
              </w:rPr>
            </w:pPr>
            <w:r>
              <w:rPr>
                <w:b/>
                <w:bCs/>
                <w:sz w:val="24"/>
                <w:szCs w:val="24"/>
              </w:rPr>
              <w:t>声</w:t>
            </w:r>
          </w:p>
        </w:tc>
        <w:tc>
          <w:tcPr>
            <w:tcW w:w="8647" w:type="dxa"/>
            <w:gridSpan w:val="5"/>
            <w:vAlign w:val="center"/>
          </w:tcPr>
          <w:p>
            <w:pPr>
              <w:ind w:firstLine="420" w:firstLineChars="200"/>
              <w:rPr>
                <w:szCs w:val="21"/>
              </w:rPr>
            </w:pPr>
            <w:r>
              <w:rPr>
                <w:szCs w:val="21"/>
              </w:rPr>
              <w:t>本项目的噪声源</w:t>
            </w:r>
            <w:r>
              <w:rPr>
                <w:kern w:val="0"/>
                <w:szCs w:val="21"/>
              </w:rPr>
              <w:t>主要是</w:t>
            </w:r>
            <w:r>
              <w:rPr>
                <w:rFonts w:hint="eastAsia"/>
                <w:szCs w:val="21"/>
              </w:rPr>
              <w:t>激光切割机、剪板机、切割机、冲床、折弯机、空压机等</w:t>
            </w:r>
            <w:r>
              <w:rPr>
                <w:szCs w:val="21"/>
              </w:rPr>
              <w:t>机械设备等</w:t>
            </w:r>
            <w:r>
              <w:rPr>
                <w:kern w:val="0"/>
                <w:szCs w:val="21"/>
              </w:rPr>
              <w:t>各种设备运行时产生的噪声。</w:t>
            </w:r>
            <w:r>
              <w:rPr>
                <w:szCs w:val="21"/>
              </w:rPr>
              <w:t>噪声值介于75~</w:t>
            </w:r>
            <w:r>
              <w:rPr>
                <w:rFonts w:hint="eastAsia"/>
                <w:szCs w:val="21"/>
              </w:rPr>
              <w:t>88</w:t>
            </w:r>
            <w:r>
              <w:rPr>
                <w:szCs w:val="21"/>
              </w:rPr>
              <w:t>dB(A)之间，经基础减振、厂房的隔音降噪措施，昼间噪声</w:t>
            </w:r>
            <w:r>
              <w:rPr>
                <w:rFonts w:hint="eastAsia"/>
                <w:szCs w:val="21"/>
              </w:rPr>
              <w:t>叠加值</w:t>
            </w:r>
            <w:r>
              <w:rPr>
                <w:szCs w:val="21"/>
              </w:rPr>
              <w:t>可以满足《工业企业厂界环境噪声排放标准》（GB12348-2008）表1 中2类标准的要求。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tLeast"/>
              <w:rPr>
                <w:b/>
                <w:bCs/>
                <w:sz w:val="24"/>
                <w:szCs w:val="24"/>
              </w:rPr>
            </w:pPr>
            <w:r>
              <w:rPr>
                <w:b/>
                <w:bCs/>
                <w:sz w:val="24"/>
                <w:szCs w:val="24"/>
              </w:rPr>
              <w:t>其他</w:t>
            </w:r>
          </w:p>
        </w:tc>
        <w:tc>
          <w:tcPr>
            <w:tcW w:w="8647" w:type="dxa"/>
            <w:gridSpan w:val="5"/>
            <w:vAlign w:val="center"/>
          </w:tcPr>
          <w:p>
            <w:pPr>
              <w:jc w:val="left"/>
              <w:rPr>
                <w:b/>
                <w:sz w:val="32"/>
              </w:rPr>
            </w:pPr>
            <w:r>
              <w:rPr>
                <w:b/>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center"/>
          </w:tcPr>
          <w:p>
            <w:pPr>
              <w:adjustRightInd w:val="0"/>
              <w:snapToGrid w:val="0"/>
              <w:spacing w:before="156" w:beforeLines="50" w:line="360" w:lineRule="auto"/>
              <w:ind w:right="-28"/>
              <w:rPr>
                <w:b/>
                <w:sz w:val="28"/>
                <w:szCs w:val="28"/>
              </w:rPr>
            </w:pPr>
            <w:r>
              <w:rPr>
                <w:b/>
                <w:sz w:val="28"/>
                <w:szCs w:val="28"/>
              </w:rPr>
              <w:t>主要生态保护措施及预期治理效果：</w:t>
            </w:r>
          </w:p>
          <w:p>
            <w:pPr>
              <w:spacing w:line="360" w:lineRule="auto"/>
              <w:ind w:firstLine="480" w:firstLineChars="200"/>
              <w:rPr>
                <w:b/>
                <w:sz w:val="32"/>
              </w:rPr>
            </w:pPr>
            <w:r>
              <w:rPr>
                <w:sz w:val="24"/>
                <w:szCs w:val="24"/>
              </w:rPr>
              <w:t>本项目周围主要植被主要为人工绿化植被等，</w:t>
            </w:r>
            <w:r>
              <w:rPr>
                <w:spacing w:val="8"/>
                <w:sz w:val="24"/>
                <w:szCs w:val="24"/>
              </w:rPr>
              <w:t>没有珍稀动植物种群。</w:t>
            </w:r>
            <w:r>
              <w:rPr>
                <w:sz w:val="24"/>
                <w:szCs w:val="24"/>
              </w:rPr>
              <w:t>本项目的建设对当地生态环境影响甚小。</w:t>
            </w:r>
          </w:p>
          <w:p>
            <w:pPr>
              <w:spacing w:line="360" w:lineRule="auto"/>
              <w:ind w:firstLine="643" w:firstLineChars="200"/>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tc>
      </w:tr>
    </w:tbl>
    <w:p>
      <w:pPr>
        <w:rPr>
          <w:rFonts w:ascii="宋体"/>
          <w:b/>
          <w:sz w:val="32"/>
        </w:r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jc w:val="left"/>
        <w:rPr>
          <w:rFonts w:ascii="宋体"/>
          <w:b/>
          <w:sz w:val="32"/>
        </w:rPr>
      </w:pPr>
      <w:r>
        <w:rPr>
          <w:rFonts w:hint="eastAsia" w:ascii="宋体"/>
          <w:b/>
          <w:sz w:val="32"/>
        </w:rPr>
        <w:t>结论与建议</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b/>
                <w:sz w:val="24"/>
                <w:szCs w:val="24"/>
              </w:rPr>
            </w:pPr>
            <w:r>
              <w:rPr>
                <w:rFonts w:hint="eastAsia"/>
                <w:b/>
                <w:sz w:val="24"/>
                <w:szCs w:val="24"/>
              </w:rPr>
              <w:t>评价结论</w:t>
            </w:r>
          </w:p>
          <w:p>
            <w:pPr>
              <w:spacing w:line="360" w:lineRule="auto"/>
              <w:rPr>
                <w:b/>
                <w:sz w:val="24"/>
                <w:szCs w:val="24"/>
              </w:rPr>
            </w:pPr>
            <w:r>
              <w:rPr>
                <w:b/>
                <w:sz w:val="24"/>
                <w:szCs w:val="24"/>
              </w:rPr>
              <w:t>1产业政策</w:t>
            </w:r>
            <w:r>
              <w:rPr>
                <w:rFonts w:hint="eastAsia"/>
                <w:b/>
                <w:sz w:val="24"/>
                <w:szCs w:val="24"/>
              </w:rPr>
              <w:t>相符</w:t>
            </w:r>
            <w:r>
              <w:rPr>
                <w:b/>
                <w:sz w:val="24"/>
                <w:szCs w:val="24"/>
              </w:rPr>
              <w:t>性</w:t>
            </w:r>
            <w:r>
              <w:rPr>
                <w:rFonts w:hint="eastAsia"/>
                <w:b/>
                <w:sz w:val="24"/>
                <w:szCs w:val="24"/>
              </w:rPr>
              <w:t>分析结论</w:t>
            </w:r>
          </w:p>
          <w:p>
            <w:pPr>
              <w:spacing w:line="360" w:lineRule="auto"/>
              <w:ind w:firstLine="480" w:firstLineChars="200"/>
              <w:rPr>
                <w:color w:val="000000" w:themeColor="text1"/>
                <w:sz w:val="24"/>
                <w:szCs w:val="24"/>
              </w:rPr>
            </w:pPr>
            <w:r>
              <w:rPr>
                <w:sz w:val="24"/>
                <w:szCs w:val="24"/>
              </w:rPr>
              <w:t>本项目不属于国家发展和改革委员会第29号令《产业结构调整指导目录》（2019年本）中限制类、淘汰类项目，属允许建设项目，符合国家产业</w:t>
            </w:r>
            <w:r>
              <w:rPr>
                <w:color w:val="000000" w:themeColor="text1"/>
                <w:sz w:val="24"/>
                <w:szCs w:val="24"/>
              </w:rPr>
              <w:t>政策；该项目已于2020年</w:t>
            </w:r>
            <w:r>
              <w:rPr>
                <w:rFonts w:hint="eastAsia"/>
                <w:color w:val="000000" w:themeColor="text1"/>
                <w:sz w:val="24"/>
                <w:szCs w:val="24"/>
                <w:lang w:val="en-US" w:eastAsia="zh-CN"/>
              </w:rPr>
              <w:t>8</w:t>
            </w:r>
            <w:r>
              <w:rPr>
                <w:color w:val="000000" w:themeColor="text1"/>
                <w:sz w:val="24"/>
                <w:szCs w:val="24"/>
              </w:rPr>
              <w:t>月</w:t>
            </w:r>
            <w:r>
              <w:rPr>
                <w:rFonts w:hint="eastAsia"/>
                <w:color w:val="000000" w:themeColor="text1"/>
                <w:sz w:val="24"/>
                <w:szCs w:val="24"/>
                <w:lang w:val="en-US" w:eastAsia="zh-CN"/>
              </w:rPr>
              <w:t>6</w:t>
            </w:r>
            <w:r>
              <w:rPr>
                <w:color w:val="000000" w:themeColor="text1"/>
                <w:sz w:val="24"/>
                <w:szCs w:val="24"/>
              </w:rPr>
              <w:t>日在偃师市发展和改革委员会备案，备案代码为：2020-410381-2</w:t>
            </w:r>
            <w:r>
              <w:rPr>
                <w:rFonts w:hint="eastAsia"/>
                <w:color w:val="000000" w:themeColor="text1"/>
                <w:sz w:val="24"/>
                <w:szCs w:val="24"/>
              </w:rPr>
              <w:t>1</w:t>
            </w:r>
            <w:r>
              <w:rPr>
                <w:color w:val="000000" w:themeColor="text1"/>
                <w:sz w:val="24"/>
                <w:szCs w:val="24"/>
              </w:rPr>
              <w:t>-03-0</w:t>
            </w:r>
            <w:r>
              <w:rPr>
                <w:rFonts w:hint="eastAsia"/>
                <w:color w:val="000000" w:themeColor="text1"/>
                <w:sz w:val="24"/>
                <w:szCs w:val="24"/>
              </w:rPr>
              <w:t>6</w:t>
            </w:r>
            <w:r>
              <w:rPr>
                <w:rFonts w:hint="eastAsia"/>
                <w:color w:val="000000" w:themeColor="text1"/>
                <w:sz w:val="24"/>
                <w:szCs w:val="24"/>
                <w:lang w:val="en-US" w:eastAsia="zh-CN"/>
              </w:rPr>
              <w:t>5762</w:t>
            </w:r>
            <w:r>
              <w:rPr>
                <w:color w:val="000000" w:themeColor="text1"/>
                <w:sz w:val="24"/>
                <w:szCs w:val="24"/>
              </w:rPr>
              <w:t>。</w:t>
            </w:r>
          </w:p>
          <w:p>
            <w:pPr>
              <w:spacing w:line="360" w:lineRule="auto"/>
              <w:rPr>
                <w:b/>
                <w:sz w:val="24"/>
                <w:szCs w:val="24"/>
              </w:rPr>
            </w:pPr>
            <w:r>
              <w:rPr>
                <w:rFonts w:hint="eastAsia"/>
                <w:b/>
                <w:sz w:val="24"/>
                <w:szCs w:val="24"/>
              </w:rPr>
              <w:t>2 项目选址可行性分析结论</w:t>
            </w:r>
          </w:p>
          <w:p>
            <w:pPr>
              <w:spacing w:line="360" w:lineRule="auto"/>
              <w:ind w:firstLine="480" w:firstLineChars="200"/>
              <w:rPr>
                <w:color w:val="000000" w:themeColor="text1"/>
                <w:sz w:val="24"/>
                <w:szCs w:val="24"/>
              </w:rPr>
            </w:pPr>
            <w:r>
              <w:rPr>
                <w:rFonts w:hint="eastAsia"/>
                <w:sz w:val="24"/>
                <w:szCs w:val="24"/>
              </w:rPr>
              <w:t>本</w:t>
            </w:r>
            <w:r>
              <w:rPr>
                <w:rFonts w:hint="eastAsia"/>
                <w:color w:val="000000" w:themeColor="text1"/>
                <w:sz w:val="24"/>
                <w:szCs w:val="24"/>
              </w:rPr>
              <w:t>项目位于偃师市高龙镇大屯村，项目占地面积1</w:t>
            </w:r>
            <w:r>
              <w:rPr>
                <w:rFonts w:hint="eastAsia"/>
                <w:color w:val="000000" w:themeColor="text1"/>
                <w:sz w:val="24"/>
                <w:szCs w:val="24"/>
                <w:lang w:val="en-US" w:eastAsia="zh-CN"/>
              </w:rPr>
              <w:t>5</w:t>
            </w:r>
            <w:r>
              <w:rPr>
                <w:rFonts w:hint="eastAsia"/>
                <w:color w:val="000000" w:themeColor="text1"/>
                <w:sz w:val="24"/>
                <w:szCs w:val="24"/>
              </w:rPr>
              <w:t>00m</w:t>
            </w:r>
            <w:r>
              <w:rPr>
                <w:rFonts w:hint="eastAsia"/>
                <w:color w:val="000000" w:themeColor="text1"/>
                <w:sz w:val="24"/>
                <w:szCs w:val="24"/>
                <w:vertAlign w:val="superscript"/>
              </w:rPr>
              <w:t>2</w:t>
            </w:r>
            <w:r>
              <w:rPr>
                <w:rFonts w:hint="eastAsia"/>
                <w:color w:val="000000" w:themeColor="text1"/>
                <w:sz w:val="24"/>
                <w:szCs w:val="24"/>
              </w:rPr>
              <w:t>，为租用闲置车间进行建设，根据偃师市国土资源局以及偃师市规划局出具的文件，项目用地为工业用地，符合规划要求</w:t>
            </w:r>
            <w:r>
              <w:rPr>
                <w:rFonts w:hint="eastAsia"/>
                <w:bCs/>
                <w:color w:val="000000" w:themeColor="text1"/>
                <w:sz w:val="24"/>
                <w:szCs w:val="24"/>
              </w:rPr>
              <w:t>。本项目</w:t>
            </w:r>
            <w:r>
              <w:rPr>
                <w:rFonts w:hint="eastAsia"/>
                <w:color w:val="000000" w:themeColor="text1"/>
                <w:sz w:val="24"/>
                <w:szCs w:val="24"/>
              </w:rPr>
              <w:t>周围</w:t>
            </w:r>
            <w:r>
              <w:rPr>
                <w:rFonts w:hint="eastAsia"/>
                <w:bCs/>
                <w:color w:val="000000" w:themeColor="text1"/>
                <w:sz w:val="24"/>
                <w:szCs w:val="24"/>
              </w:rPr>
              <w:t>道路通畅</w:t>
            </w:r>
            <w:r>
              <w:rPr>
                <w:rFonts w:hint="eastAsia"/>
                <w:bCs/>
                <w:sz w:val="24"/>
                <w:szCs w:val="24"/>
              </w:rPr>
              <w:t>，交通便利；</w:t>
            </w:r>
            <w:r>
              <w:rPr>
                <w:sz w:val="24"/>
                <w:szCs w:val="24"/>
              </w:rPr>
              <w:t>项目用电及给水有保证；</w:t>
            </w:r>
            <w:r>
              <w:rPr>
                <w:rFonts w:hint="eastAsia"/>
                <w:sz w:val="24"/>
                <w:szCs w:val="24"/>
              </w:rPr>
              <w:t>采取相应的环保措施后，</w:t>
            </w:r>
            <w:r>
              <w:rPr>
                <w:sz w:val="24"/>
                <w:szCs w:val="24"/>
              </w:rPr>
              <w:t>项目</w:t>
            </w:r>
            <w:r>
              <w:rPr>
                <w:rFonts w:hint="eastAsia"/>
                <w:sz w:val="24"/>
                <w:szCs w:val="24"/>
              </w:rPr>
              <w:t>废气和</w:t>
            </w:r>
            <w:r>
              <w:rPr>
                <w:sz w:val="24"/>
                <w:szCs w:val="24"/>
              </w:rPr>
              <w:t>噪声排放能够达标</w:t>
            </w:r>
            <w:r>
              <w:rPr>
                <w:rFonts w:hint="eastAsia"/>
                <w:sz w:val="24"/>
                <w:szCs w:val="24"/>
              </w:rPr>
              <w:t>；职工生活污水经化粪池处理，定期用于周围农户肥田；</w:t>
            </w:r>
            <w:r>
              <w:rPr>
                <w:sz w:val="24"/>
                <w:szCs w:val="24"/>
              </w:rPr>
              <w:t>固体废物</w:t>
            </w:r>
            <w:r>
              <w:rPr>
                <w:rFonts w:hint="eastAsia"/>
                <w:sz w:val="24"/>
                <w:szCs w:val="24"/>
              </w:rPr>
              <w:t>均</w:t>
            </w:r>
            <w:r>
              <w:rPr>
                <w:sz w:val="24"/>
                <w:szCs w:val="24"/>
              </w:rPr>
              <w:t>得到了合理的处置</w:t>
            </w:r>
            <w:r>
              <w:rPr>
                <w:rFonts w:hint="eastAsia"/>
                <w:color w:val="000000" w:themeColor="text1"/>
                <w:sz w:val="24"/>
                <w:szCs w:val="24"/>
              </w:rPr>
              <w:t>。本项目厂址不在高龙镇集中饮用水源保护区保护范围内，不会对高龙镇集中饮用水源造成影响；位于东汉陵墓南兆域建设控制地带范围内，已经文物部门勘探，未发现文物；项目的建设符合相关文件政策要求。因此，</w:t>
            </w:r>
            <w:r>
              <w:rPr>
                <w:color w:val="000000" w:themeColor="text1"/>
                <w:sz w:val="24"/>
                <w:szCs w:val="24"/>
              </w:rPr>
              <w:t>本项目</w:t>
            </w:r>
            <w:r>
              <w:rPr>
                <w:rFonts w:hint="eastAsia"/>
                <w:color w:val="000000" w:themeColor="text1"/>
                <w:sz w:val="24"/>
                <w:szCs w:val="24"/>
              </w:rPr>
              <w:t>的</w:t>
            </w:r>
            <w:r>
              <w:rPr>
                <w:color w:val="000000" w:themeColor="text1"/>
                <w:sz w:val="24"/>
                <w:szCs w:val="24"/>
              </w:rPr>
              <w:t>选址从环境保护角度分析是可行的。</w:t>
            </w:r>
          </w:p>
          <w:p>
            <w:pPr>
              <w:spacing w:line="360" w:lineRule="auto"/>
              <w:rPr>
                <w:b/>
                <w:sz w:val="24"/>
                <w:szCs w:val="24"/>
              </w:rPr>
            </w:pPr>
            <w:r>
              <w:rPr>
                <w:b/>
                <w:sz w:val="24"/>
                <w:szCs w:val="24"/>
              </w:rPr>
              <w:t>3环境质量现状</w:t>
            </w:r>
          </w:p>
          <w:p>
            <w:pPr>
              <w:spacing w:line="360" w:lineRule="auto"/>
              <w:rPr>
                <w:b/>
                <w:sz w:val="24"/>
                <w:szCs w:val="24"/>
              </w:rPr>
            </w:pPr>
            <w:r>
              <w:rPr>
                <w:sz w:val="24"/>
                <w:szCs w:val="24"/>
              </w:rPr>
              <w:t>3.1 环境空气质量现状</w:t>
            </w:r>
          </w:p>
          <w:p>
            <w:pPr>
              <w:widowControl/>
              <w:spacing w:line="360" w:lineRule="auto"/>
              <w:ind w:firstLine="480" w:firstLineChars="200"/>
              <w:rPr>
                <w:kern w:val="0"/>
                <w:sz w:val="24"/>
              </w:rPr>
            </w:pPr>
            <w:r>
              <w:rPr>
                <w:sz w:val="24"/>
                <w:szCs w:val="24"/>
              </w:rPr>
              <w:t>根据</w:t>
            </w:r>
            <w:r>
              <w:rPr>
                <w:rFonts w:hint="eastAsia"/>
                <w:sz w:val="24"/>
                <w:szCs w:val="24"/>
              </w:rPr>
              <w:t>《2019年洛阳市生态环境状况公报》</w:t>
            </w:r>
            <w:r>
              <w:rPr>
                <w:sz w:val="24"/>
                <w:szCs w:val="24"/>
              </w:rPr>
              <w:t>，项目所在区域为不达标区</w:t>
            </w:r>
            <w:r>
              <w:rPr>
                <w:rFonts w:hint="eastAsia"/>
                <w:sz w:val="24"/>
                <w:szCs w:val="24"/>
              </w:rPr>
              <w:t>，</w:t>
            </w:r>
            <w:r>
              <w:rPr>
                <w:sz w:val="24"/>
                <w:szCs w:val="24"/>
              </w:rPr>
              <w:t>2019年度洛阳市</w:t>
            </w:r>
            <w:r>
              <w:rPr>
                <w:bCs/>
                <w:sz w:val="24"/>
                <w:szCs w:val="24"/>
              </w:rPr>
              <w:t>PM</w:t>
            </w:r>
            <w:r>
              <w:rPr>
                <w:bCs/>
                <w:sz w:val="24"/>
                <w:szCs w:val="24"/>
                <w:vertAlign w:val="subscript"/>
              </w:rPr>
              <w:t>2.5</w:t>
            </w:r>
            <w:r>
              <w:rPr>
                <w:bCs/>
                <w:sz w:val="24"/>
                <w:szCs w:val="24"/>
              </w:rPr>
              <w:t>、PM</w:t>
            </w:r>
            <w:r>
              <w:rPr>
                <w:bCs/>
                <w:sz w:val="24"/>
                <w:szCs w:val="24"/>
                <w:vertAlign w:val="subscript"/>
              </w:rPr>
              <w:t>10</w:t>
            </w:r>
            <w:r>
              <w:rPr>
                <w:bCs/>
                <w:sz w:val="24"/>
                <w:szCs w:val="24"/>
              </w:rPr>
              <w:t>、O</w:t>
            </w:r>
            <w:r>
              <w:rPr>
                <w:bCs/>
                <w:sz w:val="24"/>
                <w:szCs w:val="24"/>
                <w:vertAlign w:val="subscript"/>
              </w:rPr>
              <w:t>3</w:t>
            </w:r>
            <w:r>
              <w:rPr>
                <w:bCs/>
                <w:sz w:val="24"/>
                <w:szCs w:val="24"/>
              </w:rPr>
              <w:t>的年均浓度不能满足</w:t>
            </w:r>
            <w:r>
              <w:rPr>
                <w:sz w:val="24"/>
              </w:rPr>
              <w:t>《环境空气质量标准》（GB</w:t>
            </w:r>
            <w:r>
              <w:rPr>
                <w:sz w:val="24"/>
                <w:szCs w:val="24"/>
              </w:rPr>
              <w:t>3095-2012）二级标准浓度限值要求。</w:t>
            </w:r>
          </w:p>
          <w:p>
            <w:pPr>
              <w:spacing w:line="360" w:lineRule="auto"/>
              <w:ind w:firstLine="480" w:firstLineChars="200"/>
              <w:rPr>
                <w:bCs/>
                <w:sz w:val="24"/>
                <w:szCs w:val="24"/>
              </w:rPr>
            </w:pPr>
            <w:r>
              <w:rPr>
                <w:rFonts w:hint="eastAsia"/>
                <w:bCs/>
                <w:sz w:val="24"/>
                <w:szCs w:val="24"/>
              </w:rPr>
              <w:t>根据</w:t>
            </w:r>
            <w:r>
              <w:rPr>
                <w:bCs/>
                <w:sz w:val="24"/>
                <w:szCs w:val="24"/>
              </w:rPr>
              <w:t>偃师市环境监测站2019年连续一年的常规监测数据，偃师市2019年优良天数202天。</w:t>
            </w:r>
            <w:r>
              <w:rPr>
                <w:rFonts w:hint="eastAsia"/>
                <w:bCs/>
                <w:sz w:val="24"/>
                <w:szCs w:val="24"/>
              </w:rPr>
              <w:t>根据检测结果</w:t>
            </w:r>
            <w:r>
              <w:rPr>
                <w:bCs/>
                <w:sz w:val="24"/>
                <w:szCs w:val="24"/>
              </w:rPr>
              <w:t>区域范围内的PM</w:t>
            </w:r>
            <w:r>
              <w:rPr>
                <w:bCs/>
                <w:sz w:val="24"/>
                <w:szCs w:val="24"/>
                <w:vertAlign w:val="subscript"/>
              </w:rPr>
              <w:t>2.5</w:t>
            </w:r>
            <w:r>
              <w:rPr>
                <w:bCs/>
                <w:sz w:val="24"/>
                <w:szCs w:val="24"/>
              </w:rPr>
              <w:t>和PM</w:t>
            </w:r>
            <w:r>
              <w:rPr>
                <w:bCs/>
                <w:sz w:val="24"/>
                <w:szCs w:val="24"/>
                <w:vertAlign w:val="subscript"/>
              </w:rPr>
              <w:t>10</w:t>
            </w:r>
            <w:r>
              <w:rPr>
                <w:bCs/>
                <w:sz w:val="24"/>
                <w:szCs w:val="24"/>
              </w:rPr>
              <w:t>年均浓度超标</w:t>
            </w:r>
            <w:r>
              <w:rPr>
                <w:rFonts w:hint="eastAsia"/>
                <w:bCs/>
                <w:sz w:val="24"/>
                <w:szCs w:val="24"/>
              </w:rPr>
              <w:t>，SO</w:t>
            </w:r>
            <w:r>
              <w:rPr>
                <w:rFonts w:hint="eastAsia"/>
                <w:bCs/>
                <w:sz w:val="24"/>
                <w:szCs w:val="24"/>
                <w:vertAlign w:val="subscript"/>
              </w:rPr>
              <w:t>2</w:t>
            </w:r>
            <w:r>
              <w:rPr>
                <w:rFonts w:hint="eastAsia"/>
                <w:bCs/>
                <w:sz w:val="24"/>
                <w:szCs w:val="24"/>
              </w:rPr>
              <w:t>、CO、</w:t>
            </w:r>
            <w:r>
              <w:rPr>
                <w:bCs/>
                <w:sz w:val="24"/>
                <w:szCs w:val="24"/>
              </w:rPr>
              <w:t>NO</w:t>
            </w:r>
            <w:r>
              <w:rPr>
                <w:bCs/>
                <w:sz w:val="24"/>
                <w:szCs w:val="24"/>
                <w:vertAlign w:val="subscript"/>
              </w:rPr>
              <w:t>2</w:t>
            </w:r>
            <w:r>
              <w:rPr>
                <w:rFonts w:hint="eastAsia"/>
                <w:bCs/>
                <w:sz w:val="24"/>
                <w:szCs w:val="24"/>
              </w:rPr>
              <w:t>、</w:t>
            </w:r>
            <w:r>
              <w:rPr>
                <w:bCs/>
                <w:sz w:val="24"/>
                <w:szCs w:val="24"/>
              </w:rPr>
              <w:t>O</w:t>
            </w:r>
            <w:r>
              <w:rPr>
                <w:bCs/>
                <w:sz w:val="24"/>
                <w:szCs w:val="24"/>
                <w:vertAlign w:val="subscript"/>
              </w:rPr>
              <w:t>3</w:t>
            </w:r>
            <w:r>
              <w:rPr>
                <w:rFonts w:hint="eastAsia"/>
                <w:bCs/>
                <w:sz w:val="24"/>
                <w:szCs w:val="24"/>
              </w:rPr>
              <w:t>、相应</w:t>
            </w:r>
            <w:r>
              <w:rPr>
                <w:bCs/>
                <w:sz w:val="24"/>
                <w:szCs w:val="24"/>
              </w:rPr>
              <w:t>年均</w:t>
            </w:r>
            <w:r>
              <w:rPr>
                <w:rFonts w:hint="eastAsia"/>
                <w:bCs/>
                <w:sz w:val="24"/>
                <w:szCs w:val="24"/>
              </w:rPr>
              <w:t>浓度满足《环境空气质量标准》（</w:t>
            </w:r>
            <w:r>
              <w:rPr>
                <w:bCs/>
                <w:sz w:val="24"/>
                <w:szCs w:val="24"/>
              </w:rPr>
              <w:t>GB3095-2012</w:t>
            </w:r>
            <w:r>
              <w:rPr>
                <w:rFonts w:hint="eastAsia"/>
                <w:bCs/>
                <w:sz w:val="24"/>
                <w:szCs w:val="24"/>
              </w:rPr>
              <w:t>）二级标准，</w:t>
            </w:r>
            <w:r>
              <w:rPr>
                <w:bCs/>
                <w:sz w:val="24"/>
                <w:szCs w:val="24"/>
              </w:rPr>
              <w:t>环境空气质量现状一般。</w:t>
            </w:r>
          </w:p>
          <w:p>
            <w:pPr>
              <w:pStyle w:val="10"/>
              <w:spacing w:after="0" w:line="360" w:lineRule="auto"/>
              <w:rPr>
                <w:bCs/>
                <w:sz w:val="24"/>
                <w:szCs w:val="24"/>
              </w:rPr>
            </w:pPr>
            <w:r>
              <w:rPr>
                <w:rFonts w:hint="eastAsia"/>
                <w:bCs/>
                <w:sz w:val="24"/>
                <w:szCs w:val="24"/>
              </w:rPr>
              <w:t xml:space="preserve">3.2 </w:t>
            </w:r>
            <w:r>
              <w:rPr>
                <w:bCs/>
                <w:sz w:val="24"/>
                <w:szCs w:val="24"/>
              </w:rPr>
              <w:t>声环境质量现状</w:t>
            </w:r>
          </w:p>
          <w:p>
            <w:pPr>
              <w:spacing w:line="360" w:lineRule="auto"/>
              <w:ind w:firstLine="480" w:firstLineChars="200"/>
              <w:rPr>
                <w:rFonts w:hAnsi="宋体"/>
                <w:sz w:val="24"/>
                <w:szCs w:val="24"/>
              </w:rPr>
            </w:pPr>
            <w:r>
              <w:rPr>
                <w:rFonts w:hint="eastAsia" w:hAnsi="宋体"/>
                <w:sz w:val="24"/>
                <w:szCs w:val="24"/>
              </w:rPr>
              <w:t>根据噪声监测结果，</w:t>
            </w:r>
            <w:r>
              <w:rPr>
                <w:rFonts w:hAnsi="宋体"/>
                <w:sz w:val="24"/>
                <w:szCs w:val="24"/>
              </w:rPr>
              <w:t>监测点的</w:t>
            </w:r>
            <w:r>
              <w:rPr>
                <w:rFonts w:hint="eastAsia" w:hAnsi="宋体"/>
                <w:sz w:val="24"/>
                <w:szCs w:val="24"/>
              </w:rPr>
              <w:t>四周厂界</w:t>
            </w:r>
            <w:r>
              <w:rPr>
                <w:rFonts w:hAnsi="宋体"/>
                <w:sz w:val="24"/>
                <w:szCs w:val="24"/>
              </w:rPr>
              <w:t>昼、夜间噪声</w:t>
            </w:r>
            <w:r>
              <w:rPr>
                <w:rFonts w:hint="eastAsia" w:hAnsi="宋体"/>
                <w:sz w:val="24"/>
                <w:szCs w:val="24"/>
              </w:rPr>
              <w:t>检测值均</w:t>
            </w:r>
            <w:r>
              <w:rPr>
                <w:rFonts w:hAnsi="宋体"/>
                <w:sz w:val="24"/>
                <w:szCs w:val="24"/>
              </w:rPr>
              <w:t>可以满足</w:t>
            </w:r>
            <w:r>
              <w:rPr>
                <w:sz w:val="24"/>
                <w:szCs w:val="24"/>
              </w:rPr>
              <w:t>《工业企业厂界环境噪声排放标准》</w:t>
            </w:r>
            <w:r>
              <w:rPr>
                <w:rFonts w:hint="eastAsia"/>
                <w:sz w:val="24"/>
                <w:szCs w:val="24"/>
              </w:rPr>
              <w:t>（</w:t>
            </w:r>
            <w:r>
              <w:rPr>
                <w:sz w:val="24"/>
                <w:szCs w:val="24"/>
              </w:rPr>
              <w:t>GB12348</w:t>
            </w:r>
            <w:r>
              <w:rPr>
                <w:rFonts w:hint="eastAsia"/>
                <w:sz w:val="24"/>
                <w:szCs w:val="24"/>
              </w:rPr>
              <w:t>-</w:t>
            </w:r>
            <w:r>
              <w:rPr>
                <w:sz w:val="24"/>
                <w:szCs w:val="24"/>
              </w:rPr>
              <w:t>2008</w:t>
            </w:r>
            <w:r>
              <w:rPr>
                <w:rFonts w:hint="eastAsia"/>
                <w:sz w:val="24"/>
                <w:szCs w:val="24"/>
              </w:rPr>
              <w:t>）2</w:t>
            </w:r>
            <w:r>
              <w:rPr>
                <w:sz w:val="24"/>
                <w:szCs w:val="24"/>
              </w:rPr>
              <w:t>类</w:t>
            </w:r>
            <w:r>
              <w:rPr>
                <w:rFonts w:hint="eastAsia"/>
                <w:sz w:val="24"/>
                <w:szCs w:val="24"/>
              </w:rPr>
              <w:t>标准要求</w:t>
            </w:r>
            <w:r>
              <w:rPr>
                <w:rFonts w:hint="eastAsia" w:hAnsi="宋体"/>
                <w:sz w:val="24"/>
                <w:szCs w:val="24"/>
              </w:rPr>
              <w:t>，该区域声环境质量现状较好</w:t>
            </w:r>
            <w:r>
              <w:rPr>
                <w:rFonts w:hAnsi="宋体"/>
                <w:sz w:val="24"/>
                <w:szCs w:val="24"/>
              </w:rPr>
              <w:t>。</w:t>
            </w:r>
          </w:p>
          <w:p>
            <w:pPr>
              <w:spacing w:line="360" w:lineRule="auto"/>
              <w:rPr>
                <w:b/>
                <w:sz w:val="24"/>
                <w:szCs w:val="24"/>
              </w:rPr>
            </w:pPr>
            <w:r>
              <w:rPr>
                <w:rFonts w:hint="eastAsia"/>
                <w:b/>
                <w:sz w:val="24"/>
                <w:szCs w:val="24"/>
              </w:rPr>
              <w:t>4 营运期环境影响分析结论</w:t>
            </w:r>
          </w:p>
          <w:p>
            <w:pPr>
              <w:spacing w:line="360" w:lineRule="auto"/>
              <w:rPr>
                <w:sz w:val="24"/>
                <w:szCs w:val="24"/>
              </w:rPr>
            </w:pPr>
            <w:r>
              <w:rPr>
                <w:rFonts w:hint="eastAsia"/>
                <w:sz w:val="24"/>
                <w:szCs w:val="24"/>
              </w:rPr>
              <w:t>4.1 大气环境影响分析</w:t>
            </w:r>
          </w:p>
          <w:p>
            <w:pPr>
              <w:spacing w:line="360" w:lineRule="auto"/>
              <w:ind w:firstLine="480" w:firstLineChars="200"/>
              <w:rPr>
                <w:sz w:val="24"/>
                <w:szCs w:val="24"/>
              </w:rPr>
            </w:pPr>
            <w:r>
              <w:rPr>
                <w:rFonts w:hint="eastAsia"/>
                <w:sz w:val="24"/>
                <w:szCs w:val="24"/>
              </w:rPr>
              <w:t>本项目激光切割机、二保焊产生的烟尘经袋式除尘器处理后经15米排气筒排放，粉尘排放浓度满足</w:t>
            </w:r>
            <w:r>
              <w:rPr>
                <w:sz w:val="24"/>
                <w:szCs w:val="24"/>
              </w:rPr>
              <w:t>《大气污染物综合排放标准》</w:t>
            </w:r>
            <w:r>
              <w:rPr>
                <w:rFonts w:hint="eastAsia"/>
                <w:sz w:val="24"/>
                <w:szCs w:val="24"/>
              </w:rPr>
              <w:t>（</w:t>
            </w:r>
            <w:r>
              <w:rPr>
                <w:sz w:val="24"/>
                <w:szCs w:val="24"/>
              </w:rPr>
              <w:t>GB16297-1996</w:t>
            </w:r>
            <w:r>
              <w:rPr>
                <w:rFonts w:hint="eastAsia"/>
                <w:sz w:val="24"/>
                <w:szCs w:val="24"/>
              </w:rPr>
              <w:t>）</w:t>
            </w:r>
            <w:r>
              <w:rPr>
                <w:sz w:val="24"/>
                <w:szCs w:val="24"/>
              </w:rPr>
              <w:t>表2</w:t>
            </w:r>
            <w:r>
              <w:rPr>
                <w:rFonts w:hint="eastAsia"/>
                <w:sz w:val="24"/>
                <w:szCs w:val="24"/>
              </w:rPr>
              <w:t>二级标准要求</w:t>
            </w:r>
            <w:r>
              <w:rPr>
                <w:rFonts w:hint="eastAsia"/>
                <w:sz w:val="24"/>
                <w:szCs w:val="24"/>
                <w:lang w:eastAsia="zh-CN"/>
              </w:rPr>
              <w:t>，同时</w:t>
            </w:r>
            <w:r>
              <w:rPr>
                <w:rFonts w:hint="eastAsia"/>
                <w:bCs/>
                <w:sz w:val="24"/>
                <w:szCs w:val="24"/>
                <w:lang w:eastAsia="zh-CN"/>
              </w:rPr>
              <w:t>满足</w:t>
            </w:r>
            <w:r>
              <w:rPr>
                <w:sz w:val="24"/>
                <w:szCs w:val="24"/>
              </w:rPr>
              <w:t>洛环攻坚</w:t>
            </w:r>
            <w:r>
              <w:rPr>
                <w:rFonts w:hint="eastAsia"/>
                <w:sz w:val="24"/>
                <w:szCs w:val="24"/>
              </w:rPr>
              <w:t>办</w:t>
            </w:r>
            <w:r>
              <w:rPr>
                <w:sz w:val="24"/>
                <w:szCs w:val="24"/>
              </w:rPr>
              <w:t>〔20</w:t>
            </w:r>
            <w:r>
              <w:rPr>
                <w:rFonts w:hint="eastAsia"/>
                <w:sz w:val="24"/>
                <w:szCs w:val="24"/>
              </w:rPr>
              <w:t>20</w:t>
            </w:r>
            <w:r>
              <w:rPr>
                <w:sz w:val="24"/>
                <w:szCs w:val="24"/>
              </w:rPr>
              <w:t>〕1</w:t>
            </w:r>
            <w:r>
              <w:rPr>
                <w:rFonts w:hint="eastAsia"/>
                <w:sz w:val="24"/>
                <w:szCs w:val="24"/>
              </w:rPr>
              <w:t>4</w:t>
            </w:r>
            <w:r>
              <w:rPr>
                <w:sz w:val="24"/>
                <w:szCs w:val="24"/>
              </w:rPr>
              <w:t>号</w:t>
            </w:r>
            <w:r>
              <w:rPr>
                <w:rFonts w:hint="eastAsia"/>
                <w:sz w:val="24"/>
                <w:szCs w:val="24"/>
                <w:lang w:eastAsia="zh-CN"/>
              </w:rPr>
              <w:t>颗粒物</w:t>
            </w:r>
            <w:r>
              <w:rPr>
                <w:rFonts w:hint="eastAsia"/>
                <w:sz w:val="24"/>
                <w:szCs w:val="24"/>
                <w:lang w:val="en-US" w:eastAsia="zh-CN"/>
              </w:rPr>
              <w:t>10</w:t>
            </w:r>
            <w:r>
              <w:rPr>
                <w:rFonts w:eastAsiaTheme="majorEastAsia"/>
                <w:sz w:val="24"/>
                <w:szCs w:val="24"/>
              </w:rPr>
              <w:t>mg/m</w:t>
            </w:r>
            <w:r>
              <w:rPr>
                <w:rFonts w:eastAsiaTheme="majorEastAsia"/>
                <w:sz w:val="24"/>
                <w:szCs w:val="24"/>
                <w:vertAlign w:val="superscript"/>
              </w:rPr>
              <w:t>3</w:t>
            </w:r>
            <w:r>
              <w:rPr>
                <w:rFonts w:hint="eastAsia"/>
                <w:bCs/>
                <w:sz w:val="24"/>
                <w:szCs w:val="24"/>
              </w:rPr>
              <w:t>标准</w:t>
            </w:r>
            <w:r>
              <w:rPr>
                <w:rFonts w:hint="eastAsia"/>
                <w:bCs/>
                <w:sz w:val="24"/>
                <w:szCs w:val="24"/>
                <w:lang w:eastAsia="zh-CN"/>
              </w:rPr>
              <w:t>要求</w:t>
            </w:r>
            <w:r>
              <w:rPr>
                <w:rFonts w:hint="eastAsia"/>
                <w:bCs/>
                <w:sz w:val="24"/>
                <w:szCs w:val="24"/>
              </w:rPr>
              <w:t>。</w:t>
            </w:r>
            <w:r>
              <w:rPr>
                <w:rFonts w:hint="eastAsia"/>
                <w:sz w:val="24"/>
                <w:szCs w:val="24"/>
              </w:rPr>
              <w:t>本项目无组织粉尘排放满足</w:t>
            </w:r>
            <w:r>
              <w:rPr>
                <w:sz w:val="24"/>
                <w:szCs w:val="24"/>
              </w:rPr>
              <w:t>《大气污染物综合排放标准》</w:t>
            </w:r>
            <w:r>
              <w:rPr>
                <w:rFonts w:hint="eastAsia"/>
                <w:sz w:val="24"/>
                <w:szCs w:val="24"/>
              </w:rPr>
              <w:t>（</w:t>
            </w:r>
            <w:r>
              <w:rPr>
                <w:sz w:val="24"/>
                <w:szCs w:val="24"/>
              </w:rPr>
              <w:t>GB16297-1996</w:t>
            </w:r>
            <w:r>
              <w:rPr>
                <w:rFonts w:hint="eastAsia"/>
                <w:sz w:val="24"/>
                <w:szCs w:val="24"/>
              </w:rPr>
              <w:t>）</w:t>
            </w:r>
            <w:r>
              <w:rPr>
                <w:sz w:val="24"/>
                <w:szCs w:val="24"/>
              </w:rPr>
              <w:t>表2</w:t>
            </w:r>
            <w:r>
              <w:rPr>
                <w:bCs/>
                <w:sz w:val="24"/>
                <w:szCs w:val="24"/>
              </w:rPr>
              <w:t>无组织排放浓度</w:t>
            </w:r>
            <w:r>
              <w:rPr>
                <w:sz w:val="24"/>
                <w:szCs w:val="24"/>
              </w:rPr>
              <w:t>监控限制要求</w:t>
            </w:r>
            <w:r>
              <w:rPr>
                <w:rFonts w:hint="eastAsia"/>
                <w:sz w:val="24"/>
                <w:szCs w:val="24"/>
              </w:rPr>
              <w:t>。综上所述本项目排放废气对周围环境空气影响较小。</w:t>
            </w:r>
          </w:p>
          <w:p>
            <w:pPr>
              <w:spacing w:line="360" w:lineRule="auto"/>
              <w:rPr>
                <w:rFonts w:hAnsi="宋体"/>
                <w:sz w:val="24"/>
                <w:szCs w:val="24"/>
              </w:rPr>
            </w:pPr>
            <w:r>
              <w:rPr>
                <w:rFonts w:hint="eastAsia"/>
                <w:sz w:val="24"/>
                <w:szCs w:val="24"/>
              </w:rPr>
              <w:t xml:space="preserve">4.2 </w:t>
            </w:r>
            <w:r>
              <w:rPr>
                <w:sz w:val="24"/>
                <w:szCs w:val="24"/>
              </w:rPr>
              <w:t>水环境影响分析</w:t>
            </w:r>
          </w:p>
          <w:p>
            <w:pPr>
              <w:spacing w:line="360" w:lineRule="auto"/>
              <w:ind w:firstLine="480" w:firstLineChars="200"/>
              <w:rPr>
                <w:sz w:val="24"/>
                <w:szCs w:val="24"/>
              </w:rPr>
            </w:pPr>
            <w:r>
              <w:rPr>
                <w:rFonts w:hint="eastAsia" w:hAnsi="宋体"/>
                <w:sz w:val="24"/>
                <w:szCs w:val="24"/>
              </w:rPr>
              <w:t>本项目</w:t>
            </w:r>
            <w:r>
              <w:rPr>
                <w:rFonts w:hint="eastAsia"/>
                <w:sz w:val="24"/>
                <w:szCs w:val="24"/>
              </w:rPr>
              <w:t>职工的生活污水化粪池收集后定期清理用于周围农户肥田。</w:t>
            </w:r>
            <w:r>
              <w:rPr>
                <w:sz w:val="24"/>
                <w:szCs w:val="24"/>
              </w:rPr>
              <w:t>因此本项目的建设不会对该区域的水环境产生影响。</w:t>
            </w:r>
          </w:p>
          <w:p>
            <w:pPr>
              <w:spacing w:line="360" w:lineRule="auto"/>
              <w:rPr>
                <w:sz w:val="24"/>
                <w:szCs w:val="24"/>
              </w:rPr>
            </w:pPr>
            <w:r>
              <w:rPr>
                <w:rFonts w:hint="eastAsia"/>
                <w:sz w:val="24"/>
                <w:szCs w:val="24"/>
              </w:rPr>
              <w:t>4.3</w:t>
            </w:r>
            <w:r>
              <w:rPr>
                <w:sz w:val="24"/>
                <w:szCs w:val="24"/>
              </w:rPr>
              <w:t>噪声环境影响分析</w:t>
            </w:r>
          </w:p>
          <w:p>
            <w:pPr>
              <w:spacing w:line="360" w:lineRule="auto"/>
              <w:ind w:firstLine="480" w:firstLineChars="200"/>
              <w:rPr>
                <w:sz w:val="28"/>
                <w:szCs w:val="28"/>
              </w:rPr>
            </w:pPr>
            <w:r>
              <w:rPr>
                <w:rFonts w:hint="eastAsia"/>
                <w:sz w:val="24"/>
                <w:szCs w:val="24"/>
              </w:rPr>
              <w:t>本</w:t>
            </w:r>
            <w:r>
              <w:rPr>
                <w:sz w:val="24"/>
                <w:szCs w:val="24"/>
              </w:rPr>
              <w:t>项目主要噪声源为</w:t>
            </w:r>
            <w:r>
              <w:rPr>
                <w:rFonts w:hint="eastAsia"/>
                <w:sz w:val="24"/>
                <w:szCs w:val="24"/>
              </w:rPr>
              <w:t>激光切割机、剪板机、切割机、冲床、折弯机、空压机</w:t>
            </w:r>
            <w:r>
              <w:rPr>
                <w:rFonts w:hint="eastAsia"/>
                <w:sz w:val="24"/>
                <w:szCs w:val="24"/>
                <w:lang w:eastAsia="zh-CN"/>
              </w:rPr>
              <w:t>、打磨机</w:t>
            </w:r>
            <w:r>
              <w:rPr>
                <w:rFonts w:hint="eastAsia"/>
                <w:sz w:val="24"/>
                <w:szCs w:val="24"/>
              </w:rPr>
              <w:t>等</w:t>
            </w:r>
            <w:r>
              <w:rPr>
                <w:sz w:val="24"/>
                <w:szCs w:val="24"/>
              </w:rPr>
              <w:t>机械设备运行时产生的噪声，该项目营运期间高噪声设备昼间对厂界的</w:t>
            </w:r>
            <w:r>
              <w:rPr>
                <w:rFonts w:hint="eastAsia"/>
                <w:sz w:val="24"/>
                <w:szCs w:val="24"/>
              </w:rPr>
              <w:t>叠加值</w:t>
            </w:r>
            <w:r>
              <w:rPr>
                <w:sz w:val="24"/>
                <w:szCs w:val="24"/>
              </w:rPr>
              <w:t>可以满足《工业企业厂界环境噪声排放标准》（GB12348-2008）表1中</w:t>
            </w:r>
            <w:r>
              <w:rPr>
                <w:rFonts w:hint="eastAsia"/>
                <w:sz w:val="24"/>
                <w:szCs w:val="24"/>
              </w:rPr>
              <w:t>2</w:t>
            </w:r>
            <w:r>
              <w:rPr>
                <w:sz w:val="24"/>
                <w:szCs w:val="24"/>
              </w:rPr>
              <w:t>类标准要求。</w:t>
            </w:r>
          </w:p>
          <w:p>
            <w:pPr>
              <w:spacing w:line="360" w:lineRule="auto"/>
              <w:rPr>
                <w:sz w:val="24"/>
                <w:szCs w:val="24"/>
              </w:rPr>
            </w:pPr>
            <w:r>
              <w:rPr>
                <w:rFonts w:hint="eastAsia"/>
                <w:sz w:val="24"/>
                <w:szCs w:val="24"/>
              </w:rPr>
              <w:t>4.4</w:t>
            </w:r>
            <w:r>
              <w:rPr>
                <w:sz w:val="24"/>
                <w:szCs w:val="24"/>
              </w:rPr>
              <w:t>固体废物环境影响分析</w:t>
            </w:r>
          </w:p>
          <w:p>
            <w:pPr>
              <w:spacing w:line="360" w:lineRule="auto"/>
              <w:ind w:firstLine="480" w:firstLineChars="200"/>
              <w:rPr>
                <w:sz w:val="24"/>
                <w:szCs w:val="24"/>
              </w:rPr>
            </w:pPr>
            <w:r>
              <w:rPr>
                <w:sz w:val="24"/>
                <w:szCs w:val="24"/>
              </w:rPr>
              <w:t>本项目各种固体废物均得到合理处置和综合利用，不会对外界环境产生较大的影响。</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b/>
                <w:sz w:val="24"/>
                <w:szCs w:val="24"/>
              </w:rPr>
            </w:pPr>
            <w:r>
              <w:rPr>
                <w:rFonts w:hint="eastAsia"/>
                <w:b/>
                <w:sz w:val="24"/>
                <w:szCs w:val="24"/>
              </w:rPr>
              <w:t>评价要求与建议</w:t>
            </w:r>
          </w:p>
          <w:p>
            <w:pPr>
              <w:spacing w:line="360" w:lineRule="auto"/>
              <w:ind w:firstLine="480" w:firstLineChars="200"/>
              <w:rPr>
                <w:sz w:val="24"/>
                <w:szCs w:val="24"/>
              </w:rPr>
            </w:pPr>
            <w:r>
              <w:rPr>
                <w:sz w:val="24"/>
                <w:szCs w:val="24"/>
              </w:rPr>
              <w:t>（1）严格落实“三同时”政策。</w:t>
            </w:r>
          </w:p>
          <w:p>
            <w:pPr>
              <w:spacing w:line="360" w:lineRule="auto"/>
              <w:ind w:firstLine="480" w:firstLineChars="200"/>
              <w:rPr>
                <w:sz w:val="24"/>
                <w:szCs w:val="24"/>
              </w:rPr>
            </w:pPr>
            <w:r>
              <w:rPr>
                <w:sz w:val="24"/>
                <w:szCs w:val="24"/>
              </w:rPr>
              <w:t>（2）认真落实本环境影响评价文件提出的各项环境污染防治措施。</w:t>
            </w:r>
          </w:p>
          <w:p>
            <w:pPr>
              <w:spacing w:line="360" w:lineRule="auto"/>
              <w:ind w:firstLine="480" w:firstLineChars="200"/>
              <w:rPr>
                <w:sz w:val="24"/>
                <w:szCs w:val="24"/>
              </w:rPr>
            </w:pPr>
            <w:r>
              <w:rPr>
                <w:sz w:val="24"/>
                <w:szCs w:val="24"/>
              </w:rPr>
              <w:t>（3）加强日常管理，保证各项环保设施正常有效运行。</w:t>
            </w:r>
          </w:p>
          <w:p>
            <w:pPr>
              <w:widowControl/>
              <w:spacing w:line="360" w:lineRule="auto"/>
              <w:ind w:firstLine="360" w:firstLineChars="150"/>
              <w:rPr>
                <w:sz w:val="24"/>
                <w:szCs w:val="24"/>
                <w:u w:val="none"/>
              </w:rPr>
            </w:pPr>
            <w:r>
              <w:rPr>
                <w:rFonts w:hint="eastAsia"/>
                <w:sz w:val="24"/>
                <w:szCs w:val="24"/>
              </w:rPr>
              <w:t>（4）</w:t>
            </w:r>
            <w:r>
              <w:rPr>
                <w:rFonts w:hint="eastAsia"/>
                <w:sz w:val="24"/>
                <w:szCs w:val="24"/>
                <w:u w:val="none"/>
              </w:rPr>
              <w:t>洛阳金都办公家具有限公司环评批复总量COD、氨氮排放量分别为0.0806t/a、0.0081t/a</w:t>
            </w:r>
            <w:r>
              <w:rPr>
                <w:rFonts w:hint="eastAsia"/>
                <w:sz w:val="24"/>
                <w:szCs w:val="24"/>
                <w:u w:val="none"/>
                <w:lang w:eastAsia="zh-CN"/>
              </w:rPr>
              <w:t>；</w:t>
            </w:r>
            <w:r>
              <w:rPr>
                <w:rFonts w:hint="eastAsia" w:asciiTheme="majorEastAsia" w:hAnsiTheme="majorEastAsia" w:eastAsiaTheme="majorEastAsia"/>
                <w:sz w:val="24"/>
                <w:szCs w:val="24"/>
                <w:u w:val="none"/>
              </w:rPr>
              <w:t>洛阳客思来实业有限公司</w:t>
            </w:r>
            <w:r>
              <w:rPr>
                <w:rFonts w:hint="eastAsia"/>
                <w:sz w:val="24"/>
                <w:szCs w:val="24"/>
                <w:u w:val="none"/>
              </w:rPr>
              <w:t>环评批复总量</w:t>
            </w:r>
            <w:r>
              <w:rPr>
                <w:rFonts w:hint="eastAsia" w:hAnsi="宋体"/>
                <w:bCs/>
                <w:sz w:val="24"/>
                <w:szCs w:val="24"/>
                <w:u w:val="none"/>
              </w:rPr>
              <w:t>COD、氨氮排放量分别为0.1t/a、0.01t/a</w:t>
            </w:r>
            <w:r>
              <w:rPr>
                <w:rFonts w:hint="eastAsia"/>
                <w:sz w:val="24"/>
                <w:szCs w:val="24"/>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bCs/>
                <w:kern w:val="0"/>
                <w:sz w:val="24"/>
                <w:szCs w:val="24"/>
                <w:u w:val="none"/>
                <w:lang w:eastAsia="zh-CN"/>
              </w:rPr>
            </w:pPr>
            <w:r>
              <w:rPr>
                <w:rFonts w:hint="eastAsia"/>
                <w:kern w:val="0"/>
                <w:sz w:val="24"/>
                <w:szCs w:val="24"/>
                <w:u w:val="none"/>
                <w:lang w:val="en-US" w:eastAsia="zh-CN"/>
              </w:rPr>
              <w:t xml:space="preserve"> 本项目新增生活废水总量指标为</w:t>
            </w:r>
            <w:r>
              <w:rPr>
                <w:rFonts w:hint="eastAsia"/>
                <w:sz w:val="24"/>
                <w:szCs w:val="24"/>
                <w:u w:val="none"/>
              </w:rPr>
              <w:t>COD0.023t/a、氨氮0.0023t/a</w:t>
            </w:r>
            <w:r>
              <w:rPr>
                <w:rFonts w:hint="eastAsia"/>
                <w:sz w:val="24"/>
                <w:szCs w:val="24"/>
                <w:u w:val="none"/>
                <w:lang w:eastAsia="zh-CN"/>
              </w:rPr>
              <w:t>，则全厂排口废水总量控制指标为</w:t>
            </w:r>
            <w:r>
              <w:rPr>
                <w:rFonts w:hint="eastAsia"/>
                <w:bCs/>
                <w:kern w:val="0"/>
                <w:sz w:val="24"/>
                <w:szCs w:val="24"/>
                <w:u w:val="none"/>
              </w:rPr>
              <w:t>COD 0.</w:t>
            </w:r>
            <w:r>
              <w:rPr>
                <w:rFonts w:hint="eastAsia"/>
                <w:bCs/>
                <w:kern w:val="0"/>
                <w:sz w:val="24"/>
                <w:szCs w:val="24"/>
                <w:u w:val="none"/>
                <w:lang w:val="en-US" w:eastAsia="zh-CN"/>
              </w:rPr>
              <w:t>203</w:t>
            </w:r>
            <w:r>
              <w:rPr>
                <w:rFonts w:hint="eastAsia"/>
                <w:bCs/>
                <w:kern w:val="0"/>
                <w:sz w:val="24"/>
                <w:szCs w:val="24"/>
                <w:u w:val="none"/>
              </w:rPr>
              <w:t>6t/a、氨氮0.0</w:t>
            </w:r>
            <w:r>
              <w:rPr>
                <w:rFonts w:hint="eastAsia"/>
                <w:bCs/>
                <w:kern w:val="0"/>
                <w:sz w:val="24"/>
                <w:szCs w:val="24"/>
                <w:u w:val="none"/>
                <w:lang w:val="en-US" w:eastAsia="zh-CN"/>
              </w:rPr>
              <w:t>204</w:t>
            </w:r>
            <w:r>
              <w:rPr>
                <w:rFonts w:hint="eastAsia"/>
                <w:bCs/>
                <w:kern w:val="0"/>
                <w:sz w:val="24"/>
                <w:szCs w:val="24"/>
                <w:u w:val="none"/>
              </w:rPr>
              <w:t>t/a</w:t>
            </w:r>
            <w:r>
              <w:rPr>
                <w:rFonts w:hint="eastAsia"/>
                <w:bCs/>
                <w:kern w:val="0"/>
                <w:sz w:val="24"/>
                <w:szCs w:val="24"/>
                <w:u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720" w:firstLineChars="300"/>
              <w:jc w:val="both"/>
              <w:textAlignment w:val="auto"/>
              <w:outlineLvl w:val="9"/>
              <w:rPr>
                <w:sz w:val="24"/>
                <w:u w:val="none"/>
              </w:rPr>
            </w:pPr>
            <w:r>
              <w:rPr>
                <w:rFonts w:hint="eastAsia"/>
                <w:sz w:val="24"/>
                <w:szCs w:val="24"/>
                <w:u w:val="none"/>
              </w:rPr>
              <w:t>本项目总量控制指标：</w:t>
            </w:r>
            <w:r>
              <w:rPr>
                <w:rFonts w:hint="eastAsia"/>
                <w:color w:val="000000" w:themeColor="text1"/>
                <w:sz w:val="24"/>
                <w:szCs w:val="24"/>
                <w:u w:val="none"/>
              </w:rPr>
              <w:t>废水：COD0.023t/a，氨氮0.0023t/a</w:t>
            </w:r>
            <w:r>
              <w:rPr>
                <w:rFonts w:hint="eastAsia"/>
                <w:color w:val="000000" w:themeColor="text1"/>
                <w:sz w:val="24"/>
                <w:szCs w:val="24"/>
                <w:u w:val="none"/>
                <w:lang w:eastAsia="zh-CN"/>
              </w:rPr>
              <w:t>，经化粪池收集后农户拉走肥田，不向外环境排放。</w:t>
            </w:r>
          </w:p>
          <w:p>
            <w:pPr>
              <w:adjustRightInd w:val="0"/>
              <w:snapToGrid w:val="0"/>
              <w:spacing w:line="360" w:lineRule="auto"/>
              <w:ind w:firstLine="480" w:firstLineChars="200"/>
              <w:rPr>
                <w:sz w:val="24"/>
                <w:szCs w:val="24"/>
              </w:rPr>
            </w:pPr>
            <w:r>
              <w:rPr>
                <w:sz w:val="24"/>
                <w:szCs w:val="24"/>
              </w:rPr>
              <w:t>综上所述，</w:t>
            </w:r>
            <w:r>
              <w:rPr>
                <w:rFonts w:hint="eastAsia"/>
                <w:sz w:val="24"/>
                <w:szCs w:val="24"/>
              </w:rPr>
              <w:t>本</w:t>
            </w:r>
            <w:r>
              <w:rPr>
                <w:sz w:val="24"/>
                <w:szCs w:val="24"/>
              </w:rPr>
              <w:t>项目符合国家和地方相关产业政策，拟采取的污染防治措施可靠，各类污染物均能满足达标排放和总量控制要求，对环境影响较小，在加强生产管理及监督、保证各项环保措施正常运行的前提下，从环保的角度上分析，本项目是可行的。</w:t>
            </w:r>
          </w:p>
          <w:p>
            <w:pPr>
              <w:pStyle w:val="3"/>
              <w:rPr>
                <w:sz w:val="24"/>
                <w:szCs w:val="24"/>
              </w:rPr>
            </w:pPr>
          </w:p>
          <w:p>
            <w:pPr>
              <w:pStyle w:val="3"/>
            </w:pPr>
          </w:p>
          <w:p>
            <w:pPr>
              <w:adjustRightInd w:val="0"/>
              <w:snapToGrid w:val="0"/>
              <w:spacing w:line="360" w:lineRule="auto"/>
              <w:rPr>
                <w:sz w:val="24"/>
                <w:szCs w:val="24"/>
              </w:rPr>
            </w:pPr>
          </w:p>
        </w:tc>
      </w:tr>
    </w:tbl>
    <w:p>
      <w:pPr>
        <w:rPr>
          <w:rFonts w:ascii="宋体"/>
          <w:b/>
          <w:sz w:val="32"/>
        </w:rPr>
        <w:sectPr>
          <w:pgSz w:w="11906" w:h="16838"/>
          <w:pgMar w:top="1440" w:right="1134" w:bottom="1440" w:left="1418" w:header="851" w:footer="992" w:gutter="0"/>
          <w:cols w:space="425" w:num="1"/>
          <w:docGrid w:type="lines" w:linePitch="312" w:charSpace="0"/>
        </w:sectPr>
      </w:pPr>
    </w:p>
    <w:p>
      <w:pPr>
        <w:adjustRightInd w:val="0"/>
        <w:snapToGrid w:val="0"/>
        <w:spacing w:line="360" w:lineRule="auto"/>
        <w:jc w:val="center"/>
        <w:rPr>
          <w:b/>
          <w:sz w:val="32"/>
          <w:szCs w:val="32"/>
        </w:rPr>
      </w:pPr>
    </w:p>
    <w:p>
      <w:pPr>
        <w:adjustRightInd w:val="0"/>
        <w:snapToGrid w:val="0"/>
        <w:spacing w:line="360" w:lineRule="auto"/>
        <w:jc w:val="center"/>
        <w:rPr>
          <w:b/>
          <w:sz w:val="32"/>
          <w:szCs w:val="32"/>
          <w:u w:val="single"/>
        </w:rPr>
      </w:pPr>
      <w:r>
        <w:rPr>
          <w:rFonts w:hint="eastAsia"/>
          <w:b/>
          <w:sz w:val="32"/>
          <w:szCs w:val="32"/>
          <w:u w:val="single"/>
        </w:rPr>
        <w:t>项目“三同时”一览表</w:t>
      </w:r>
    </w:p>
    <w:p>
      <w:pPr>
        <w:pStyle w:val="2"/>
      </w:pPr>
    </w:p>
    <w:tbl>
      <w:tblPr>
        <w:tblStyle w:val="27"/>
        <w:tblW w:w="923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16"/>
        <w:gridCol w:w="2084"/>
        <w:gridCol w:w="1193"/>
        <w:gridCol w:w="40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92" w:hRule="atLeast"/>
          <w:jc w:val="center"/>
        </w:trPr>
        <w:tc>
          <w:tcPr>
            <w:tcW w:w="1896" w:type="dxa"/>
            <w:gridSpan w:val="2"/>
            <w:vAlign w:val="center"/>
          </w:tcPr>
          <w:p>
            <w:pPr>
              <w:snapToGrid w:val="0"/>
              <w:spacing w:before="93" w:beforeLines="30" w:after="93" w:afterLines="30"/>
              <w:jc w:val="center"/>
              <w:rPr>
                <w:kern w:val="0"/>
                <w:szCs w:val="21"/>
              </w:rPr>
            </w:pPr>
            <w:r>
              <w:rPr>
                <w:kern w:val="0"/>
                <w:szCs w:val="21"/>
              </w:rPr>
              <w:t>类别</w:t>
            </w:r>
          </w:p>
        </w:tc>
        <w:tc>
          <w:tcPr>
            <w:tcW w:w="2084" w:type="dxa"/>
            <w:vAlign w:val="center"/>
          </w:tcPr>
          <w:p>
            <w:pPr>
              <w:snapToGrid w:val="0"/>
              <w:spacing w:before="93" w:beforeLines="30" w:after="93" w:afterLines="30"/>
              <w:jc w:val="center"/>
              <w:rPr>
                <w:kern w:val="0"/>
                <w:szCs w:val="21"/>
              </w:rPr>
            </w:pPr>
            <w:r>
              <w:rPr>
                <w:kern w:val="0"/>
                <w:szCs w:val="21"/>
              </w:rPr>
              <w:t>防治设施</w:t>
            </w:r>
          </w:p>
        </w:tc>
        <w:tc>
          <w:tcPr>
            <w:tcW w:w="1193" w:type="dxa"/>
            <w:vAlign w:val="center"/>
          </w:tcPr>
          <w:p>
            <w:pPr>
              <w:snapToGrid w:val="0"/>
              <w:spacing w:before="93" w:beforeLines="30" w:after="93" w:afterLines="30"/>
              <w:jc w:val="center"/>
              <w:rPr>
                <w:kern w:val="0"/>
                <w:szCs w:val="21"/>
              </w:rPr>
            </w:pPr>
            <w:r>
              <w:rPr>
                <w:kern w:val="0"/>
                <w:szCs w:val="21"/>
              </w:rPr>
              <w:t>数量</w:t>
            </w:r>
          </w:p>
          <w:p>
            <w:pPr>
              <w:snapToGrid w:val="0"/>
              <w:spacing w:before="93" w:beforeLines="30" w:after="93" w:afterLines="30"/>
              <w:jc w:val="center"/>
              <w:rPr>
                <w:kern w:val="0"/>
                <w:szCs w:val="21"/>
              </w:rPr>
            </w:pPr>
            <w:r>
              <w:rPr>
                <w:kern w:val="0"/>
                <w:szCs w:val="21"/>
              </w:rPr>
              <w:t>规格</w:t>
            </w:r>
          </w:p>
        </w:tc>
        <w:tc>
          <w:tcPr>
            <w:tcW w:w="4063" w:type="dxa"/>
            <w:vAlign w:val="center"/>
          </w:tcPr>
          <w:p>
            <w:pPr>
              <w:snapToGrid w:val="0"/>
              <w:spacing w:before="93" w:beforeLines="30" w:after="93" w:afterLines="30"/>
              <w:jc w:val="center"/>
              <w:rPr>
                <w:kern w:val="0"/>
                <w:szCs w:val="21"/>
              </w:rPr>
            </w:pPr>
            <w:r>
              <w:rPr>
                <w:rFonts w:hint="eastAsia"/>
                <w:kern w:val="0"/>
                <w:szCs w:val="21"/>
              </w:rPr>
              <w:t>执行</w:t>
            </w:r>
            <w:r>
              <w:rPr>
                <w:kern w:val="0"/>
                <w:szCs w:val="21"/>
              </w:rPr>
              <w:t>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196" w:hRule="atLeast"/>
          <w:jc w:val="center"/>
        </w:trPr>
        <w:tc>
          <w:tcPr>
            <w:tcW w:w="680" w:type="dxa"/>
            <w:vMerge w:val="restart"/>
            <w:vAlign w:val="center"/>
          </w:tcPr>
          <w:p>
            <w:pPr>
              <w:snapToGrid w:val="0"/>
              <w:spacing w:before="93" w:beforeLines="30" w:after="93" w:afterLines="30"/>
              <w:jc w:val="center"/>
              <w:rPr>
                <w:kern w:val="0"/>
                <w:szCs w:val="21"/>
              </w:rPr>
            </w:pPr>
            <w:r>
              <w:rPr>
                <w:rFonts w:hint="eastAsia"/>
                <w:kern w:val="0"/>
                <w:szCs w:val="21"/>
              </w:rPr>
              <w:t>废气</w:t>
            </w:r>
          </w:p>
        </w:tc>
        <w:tc>
          <w:tcPr>
            <w:tcW w:w="1216" w:type="dxa"/>
            <w:vAlign w:val="center"/>
          </w:tcPr>
          <w:p>
            <w:pPr>
              <w:snapToGrid w:val="0"/>
              <w:spacing w:before="93" w:beforeLines="30" w:after="93" w:afterLines="30"/>
              <w:jc w:val="center"/>
              <w:rPr>
                <w:rFonts w:hint="eastAsia"/>
                <w:kern w:val="0"/>
                <w:szCs w:val="21"/>
                <w:lang w:eastAsia="zh-CN"/>
              </w:rPr>
            </w:pPr>
            <w:r>
              <w:rPr>
                <w:rFonts w:hint="eastAsia"/>
                <w:kern w:val="0"/>
                <w:szCs w:val="21"/>
                <w:lang w:eastAsia="zh-CN"/>
              </w:rPr>
              <w:t>二保焊、</w:t>
            </w:r>
          </w:p>
          <w:p>
            <w:pPr>
              <w:snapToGrid w:val="0"/>
              <w:spacing w:before="93" w:beforeLines="30" w:after="93" w:afterLines="30"/>
              <w:jc w:val="center"/>
              <w:rPr>
                <w:kern w:val="0"/>
                <w:szCs w:val="21"/>
              </w:rPr>
            </w:pPr>
            <w:r>
              <w:rPr>
                <w:rFonts w:hint="eastAsia"/>
                <w:kern w:val="0"/>
                <w:szCs w:val="21"/>
              </w:rPr>
              <w:t>激光切割</w:t>
            </w:r>
          </w:p>
        </w:tc>
        <w:tc>
          <w:tcPr>
            <w:tcW w:w="2084" w:type="dxa"/>
            <w:vAlign w:val="center"/>
          </w:tcPr>
          <w:p>
            <w:pPr>
              <w:snapToGrid w:val="0"/>
              <w:spacing w:before="93" w:beforeLines="30" w:after="93" w:afterLines="30"/>
              <w:jc w:val="center"/>
              <w:rPr>
                <w:color w:val="000000" w:themeColor="text1"/>
                <w:szCs w:val="21"/>
              </w:rPr>
            </w:pPr>
            <w:r>
              <w:rPr>
                <w:rFonts w:hint="eastAsia"/>
                <w:color w:val="000000" w:themeColor="text1"/>
                <w:szCs w:val="21"/>
              </w:rPr>
              <w:t>袋式除尘器+15米排气筒</w:t>
            </w:r>
          </w:p>
        </w:tc>
        <w:tc>
          <w:tcPr>
            <w:tcW w:w="1193" w:type="dxa"/>
            <w:vAlign w:val="center"/>
          </w:tcPr>
          <w:p>
            <w:pPr>
              <w:snapToGrid w:val="0"/>
              <w:spacing w:before="93" w:beforeLines="30" w:after="93" w:afterLines="30"/>
              <w:jc w:val="center"/>
              <w:rPr>
                <w:color w:val="000000" w:themeColor="text1"/>
                <w:kern w:val="0"/>
                <w:szCs w:val="21"/>
              </w:rPr>
            </w:pPr>
            <w:r>
              <w:rPr>
                <w:rFonts w:hint="eastAsia"/>
                <w:color w:val="000000" w:themeColor="text1"/>
                <w:kern w:val="0"/>
                <w:szCs w:val="21"/>
              </w:rPr>
              <w:t>1套</w:t>
            </w:r>
          </w:p>
        </w:tc>
        <w:tc>
          <w:tcPr>
            <w:tcW w:w="4063" w:type="dxa"/>
            <w:vAlign w:val="center"/>
          </w:tcPr>
          <w:p>
            <w:pPr>
              <w:snapToGrid w:val="0"/>
              <w:spacing w:before="93" w:beforeLines="30" w:after="93" w:afterLines="30"/>
              <w:jc w:val="center"/>
              <w:rPr>
                <w:szCs w:val="21"/>
              </w:rPr>
            </w:pPr>
            <w:r>
              <w:rPr>
                <w:rFonts w:hint="eastAsia"/>
                <w:szCs w:val="21"/>
              </w:rPr>
              <w:t>《大气污染物综合排放标准》（GB16297-1996）表2二级要求</w:t>
            </w:r>
            <w:r>
              <w:rPr>
                <w:rFonts w:hint="eastAsia"/>
                <w:sz w:val="18"/>
                <w:szCs w:val="18"/>
                <w:lang w:eastAsia="zh-CN"/>
              </w:rPr>
              <w:t>，</w:t>
            </w:r>
            <w:r>
              <w:rPr>
                <w:rFonts w:hint="eastAsia"/>
                <w:bCs/>
                <w:sz w:val="21"/>
                <w:szCs w:val="21"/>
                <w:lang w:eastAsia="zh-CN"/>
              </w:rPr>
              <w:t>满足</w:t>
            </w:r>
            <w:r>
              <w:rPr>
                <w:sz w:val="21"/>
                <w:szCs w:val="21"/>
              </w:rPr>
              <w:t>洛环攻坚</w:t>
            </w:r>
            <w:r>
              <w:rPr>
                <w:rFonts w:hint="eastAsia"/>
                <w:sz w:val="21"/>
                <w:szCs w:val="21"/>
              </w:rPr>
              <w:t>办</w:t>
            </w:r>
            <w:r>
              <w:rPr>
                <w:sz w:val="21"/>
                <w:szCs w:val="21"/>
              </w:rPr>
              <w:t>〔20</w:t>
            </w:r>
            <w:r>
              <w:rPr>
                <w:rFonts w:hint="eastAsia"/>
                <w:sz w:val="21"/>
                <w:szCs w:val="21"/>
              </w:rPr>
              <w:t>20</w:t>
            </w:r>
            <w:r>
              <w:rPr>
                <w:sz w:val="21"/>
                <w:szCs w:val="21"/>
              </w:rPr>
              <w:t>〕1</w:t>
            </w:r>
            <w:r>
              <w:rPr>
                <w:rFonts w:hint="eastAsia"/>
                <w:sz w:val="21"/>
                <w:szCs w:val="21"/>
              </w:rPr>
              <w:t>4</w:t>
            </w:r>
            <w:r>
              <w:rPr>
                <w:sz w:val="21"/>
                <w:szCs w:val="21"/>
              </w:rPr>
              <w:t>号</w:t>
            </w:r>
            <w:r>
              <w:rPr>
                <w:rFonts w:hint="eastAsia"/>
                <w:sz w:val="21"/>
                <w:szCs w:val="21"/>
                <w:lang w:eastAsia="zh-CN"/>
              </w:rPr>
              <w:t>颗粒物</w:t>
            </w:r>
            <w:r>
              <w:rPr>
                <w:rFonts w:hint="eastAsia"/>
                <w:sz w:val="21"/>
                <w:szCs w:val="21"/>
                <w:lang w:val="en-US" w:eastAsia="zh-CN"/>
              </w:rPr>
              <w:t>10</w:t>
            </w:r>
            <w:r>
              <w:rPr>
                <w:rFonts w:eastAsiaTheme="majorEastAsia"/>
                <w:sz w:val="21"/>
                <w:szCs w:val="21"/>
              </w:rPr>
              <w:t>mg/m</w:t>
            </w:r>
            <w:r>
              <w:rPr>
                <w:rFonts w:eastAsiaTheme="majorEastAsia"/>
                <w:sz w:val="21"/>
                <w:szCs w:val="21"/>
                <w:vertAlign w:val="superscript"/>
              </w:rPr>
              <w:t>3</w:t>
            </w:r>
            <w:r>
              <w:rPr>
                <w:rFonts w:hint="eastAsia"/>
                <w:bCs/>
                <w:sz w:val="21"/>
                <w:szCs w:val="21"/>
              </w:rPr>
              <w:t>标准</w:t>
            </w:r>
            <w:r>
              <w:rPr>
                <w:rFonts w:hint="eastAsia"/>
                <w:bCs/>
                <w:sz w:val="21"/>
                <w:szCs w:val="21"/>
                <w:lang w:eastAsia="zh-CN"/>
              </w:rPr>
              <w:t>要求</w:t>
            </w:r>
            <w:r>
              <w:rPr>
                <w:rFonts w:hint="eastAsia"/>
                <w:bCs/>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94"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二保焊</w:t>
            </w:r>
          </w:p>
        </w:tc>
        <w:tc>
          <w:tcPr>
            <w:tcW w:w="2084" w:type="dxa"/>
            <w:vAlign w:val="center"/>
          </w:tcPr>
          <w:p>
            <w:pPr>
              <w:snapToGrid w:val="0"/>
              <w:spacing w:before="93" w:beforeLines="30" w:after="93" w:afterLines="30"/>
              <w:jc w:val="center"/>
              <w:rPr>
                <w:color w:val="000000" w:themeColor="text1"/>
                <w:szCs w:val="21"/>
              </w:rPr>
            </w:pPr>
            <w:r>
              <w:rPr>
                <w:rFonts w:hint="eastAsia"/>
                <w:color w:val="000000" w:themeColor="text1"/>
                <w:szCs w:val="21"/>
              </w:rPr>
              <w:t>单独焊接区、车间内二次密闭</w:t>
            </w:r>
            <w:r>
              <w:rPr>
                <w:rFonts w:hint="eastAsia"/>
                <w:color w:val="000000" w:themeColor="text1"/>
                <w:szCs w:val="21"/>
                <w:lang w:eastAsia="zh-CN"/>
              </w:rPr>
              <w:t>，</w:t>
            </w:r>
            <w:r>
              <w:rPr>
                <w:rFonts w:hint="eastAsia"/>
                <w:color w:val="000000" w:themeColor="text1"/>
                <w:szCs w:val="21"/>
                <w:lang w:val="en-US" w:eastAsia="zh-CN"/>
              </w:rPr>
              <w:t>2个</w:t>
            </w:r>
            <w:r>
              <w:rPr>
                <w:rFonts w:hint="eastAsia"/>
                <w:color w:val="000000" w:themeColor="text1"/>
                <w:szCs w:val="21"/>
                <w:lang w:eastAsia="zh-CN"/>
              </w:rPr>
              <w:t>焊接台面，设置集气罩（</w:t>
            </w:r>
            <w:r>
              <w:rPr>
                <w:rFonts w:hint="eastAsia"/>
                <w:color w:val="000000" w:themeColor="text1"/>
                <w:szCs w:val="21"/>
                <w:lang w:val="en-US" w:eastAsia="zh-CN"/>
              </w:rPr>
              <w:t>2个</w:t>
            </w:r>
            <w:r>
              <w:rPr>
                <w:rFonts w:hint="eastAsia"/>
                <w:color w:val="000000" w:themeColor="text1"/>
                <w:szCs w:val="21"/>
                <w:lang w:eastAsia="zh-CN"/>
              </w:rPr>
              <w:t>）</w:t>
            </w:r>
          </w:p>
        </w:tc>
        <w:tc>
          <w:tcPr>
            <w:tcW w:w="1193" w:type="dxa"/>
            <w:vAlign w:val="center"/>
          </w:tcPr>
          <w:p>
            <w:pPr>
              <w:snapToGrid w:val="0"/>
              <w:spacing w:before="93" w:beforeLines="30" w:after="93" w:afterLines="30"/>
              <w:jc w:val="center"/>
              <w:rPr>
                <w:color w:val="000000" w:themeColor="text1"/>
                <w:kern w:val="0"/>
                <w:szCs w:val="21"/>
              </w:rPr>
            </w:pPr>
            <w:r>
              <w:rPr>
                <w:rFonts w:hint="eastAsia"/>
                <w:color w:val="000000" w:themeColor="text1"/>
                <w:kern w:val="0"/>
                <w:szCs w:val="21"/>
              </w:rPr>
              <w:t>/</w:t>
            </w:r>
          </w:p>
        </w:tc>
        <w:tc>
          <w:tcPr>
            <w:tcW w:w="4063" w:type="dxa"/>
            <w:vAlign w:val="center"/>
          </w:tcPr>
          <w:p>
            <w:pPr>
              <w:snapToGrid w:val="0"/>
              <w:spacing w:before="93" w:beforeLines="30" w:after="93" w:afterLines="30"/>
              <w:jc w:val="center"/>
              <w:rPr>
                <w:szCs w:val="21"/>
              </w:rPr>
            </w:pPr>
            <w:r>
              <w:rPr>
                <w:rFonts w:hint="eastAsia"/>
                <w:szCs w:val="21"/>
              </w:rPr>
              <w:t>《大气污染物综合排放标准》（GB16297-1996）表2无组织排放浓度</w:t>
            </w:r>
          </w:p>
          <w:p>
            <w:pPr>
              <w:snapToGrid w:val="0"/>
              <w:spacing w:before="93" w:beforeLines="30" w:after="93" w:afterLines="30"/>
              <w:jc w:val="center"/>
              <w:rPr>
                <w:szCs w:val="21"/>
              </w:rPr>
            </w:pPr>
            <w:r>
              <w:rPr>
                <w:rFonts w:hint="eastAsia"/>
                <w:szCs w:val="21"/>
              </w:rPr>
              <w:t>监控限制要求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82" w:hRule="atLeast"/>
          <w:jc w:val="center"/>
        </w:trPr>
        <w:tc>
          <w:tcPr>
            <w:tcW w:w="680" w:type="dxa"/>
            <w:vAlign w:val="center"/>
          </w:tcPr>
          <w:p>
            <w:pPr>
              <w:snapToGrid w:val="0"/>
              <w:spacing w:before="93" w:beforeLines="30" w:after="93" w:afterLines="30"/>
              <w:jc w:val="center"/>
              <w:rPr>
                <w:kern w:val="0"/>
                <w:szCs w:val="21"/>
              </w:rPr>
            </w:pPr>
            <w:r>
              <w:rPr>
                <w:rFonts w:hint="eastAsia"/>
                <w:kern w:val="0"/>
                <w:szCs w:val="21"/>
              </w:rPr>
              <w:t>废水</w:t>
            </w:r>
          </w:p>
        </w:tc>
        <w:tc>
          <w:tcPr>
            <w:tcW w:w="1216" w:type="dxa"/>
            <w:vAlign w:val="center"/>
          </w:tcPr>
          <w:p>
            <w:pPr>
              <w:snapToGrid w:val="0"/>
              <w:spacing w:before="93" w:beforeLines="30" w:after="93" w:afterLines="30"/>
              <w:jc w:val="center"/>
              <w:rPr>
                <w:kern w:val="0"/>
                <w:szCs w:val="21"/>
              </w:rPr>
            </w:pPr>
            <w:r>
              <w:rPr>
                <w:rFonts w:hint="eastAsia"/>
                <w:kern w:val="0"/>
                <w:szCs w:val="21"/>
              </w:rPr>
              <w:t>生活污水</w:t>
            </w:r>
          </w:p>
        </w:tc>
        <w:tc>
          <w:tcPr>
            <w:tcW w:w="2084" w:type="dxa"/>
            <w:vAlign w:val="center"/>
          </w:tcPr>
          <w:p>
            <w:pPr>
              <w:snapToGrid w:val="0"/>
              <w:spacing w:before="93" w:beforeLines="30" w:after="93" w:afterLines="30"/>
              <w:jc w:val="center"/>
              <w:rPr>
                <w:kern w:val="0"/>
                <w:szCs w:val="21"/>
              </w:rPr>
            </w:pPr>
            <w:r>
              <w:rPr>
                <w:rFonts w:hint="eastAsia"/>
                <w:kern w:val="0"/>
                <w:szCs w:val="21"/>
              </w:rPr>
              <w:t>化粪池（依托现有）</w:t>
            </w:r>
          </w:p>
        </w:tc>
        <w:tc>
          <w:tcPr>
            <w:tcW w:w="1193" w:type="dxa"/>
            <w:vAlign w:val="center"/>
          </w:tcPr>
          <w:p>
            <w:pPr>
              <w:snapToGrid w:val="0"/>
              <w:spacing w:before="93" w:beforeLines="30" w:after="93" w:afterLines="30"/>
              <w:jc w:val="center"/>
              <w:rPr>
                <w:kern w:val="0"/>
                <w:szCs w:val="21"/>
              </w:rPr>
            </w:pPr>
            <w:r>
              <w:rPr>
                <w:rFonts w:hint="eastAsia"/>
                <w:kern w:val="0"/>
                <w:szCs w:val="21"/>
                <w:lang w:val="en-US" w:eastAsia="zh-CN"/>
              </w:rPr>
              <w:t>1</w:t>
            </w:r>
            <w:bookmarkStart w:id="4" w:name="_GoBack"/>
            <w:bookmarkEnd w:id="4"/>
            <w:r>
              <w:rPr>
                <w:rFonts w:hint="eastAsia"/>
                <w:kern w:val="0"/>
                <w:szCs w:val="21"/>
              </w:rPr>
              <w:t>个10m</w:t>
            </w:r>
            <w:r>
              <w:rPr>
                <w:rFonts w:hint="eastAsia"/>
                <w:kern w:val="0"/>
                <w:szCs w:val="21"/>
                <w:vertAlign w:val="superscript"/>
              </w:rPr>
              <w:t>3</w:t>
            </w:r>
          </w:p>
        </w:tc>
        <w:tc>
          <w:tcPr>
            <w:tcW w:w="4063" w:type="dxa"/>
            <w:vAlign w:val="center"/>
          </w:tcPr>
          <w:p>
            <w:pPr>
              <w:widowControl/>
              <w:ind w:firstLine="210" w:firstLineChars="100"/>
              <w:rPr>
                <w:szCs w:val="21"/>
              </w:rPr>
            </w:pPr>
            <w:r>
              <w:rPr>
                <w:rFonts w:hint="eastAsia"/>
                <w:szCs w:val="21"/>
              </w:rPr>
              <w:t>化粪池定期收集用于周围农户肥田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76" w:hRule="atLeast"/>
          <w:jc w:val="center"/>
        </w:trPr>
        <w:tc>
          <w:tcPr>
            <w:tcW w:w="680" w:type="dxa"/>
            <w:vAlign w:val="center"/>
          </w:tcPr>
          <w:p>
            <w:pPr>
              <w:snapToGrid w:val="0"/>
              <w:spacing w:before="93" w:beforeLines="30" w:after="93" w:afterLines="30"/>
              <w:jc w:val="center"/>
              <w:rPr>
                <w:kern w:val="0"/>
                <w:szCs w:val="21"/>
              </w:rPr>
            </w:pPr>
            <w:r>
              <w:rPr>
                <w:kern w:val="0"/>
                <w:szCs w:val="21"/>
              </w:rPr>
              <w:t>噪声</w:t>
            </w:r>
          </w:p>
        </w:tc>
        <w:tc>
          <w:tcPr>
            <w:tcW w:w="1216" w:type="dxa"/>
            <w:vAlign w:val="center"/>
          </w:tcPr>
          <w:p>
            <w:pPr>
              <w:snapToGrid w:val="0"/>
              <w:spacing w:before="93" w:beforeLines="30" w:after="93" w:afterLines="30"/>
              <w:jc w:val="center"/>
              <w:rPr>
                <w:kern w:val="0"/>
                <w:szCs w:val="21"/>
              </w:rPr>
            </w:pPr>
            <w:r>
              <w:rPr>
                <w:kern w:val="0"/>
                <w:szCs w:val="21"/>
              </w:rPr>
              <w:t>机械设备</w:t>
            </w:r>
          </w:p>
        </w:tc>
        <w:tc>
          <w:tcPr>
            <w:tcW w:w="2084" w:type="dxa"/>
            <w:vAlign w:val="center"/>
          </w:tcPr>
          <w:p>
            <w:pPr>
              <w:snapToGrid w:val="0"/>
              <w:spacing w:before="93" w:beforeLines="30" w:after="93" w:afterLines="30"/>
              <w:jc w:val="center"/>
              <w:rPr>
                <w:kern w:val="0"/>
                <w:szCs w:val="21"/>
              </w:rPr>
            </w:pPr>
            <w:r>
              <w:rPr>
                <w:rFonts w:hint="eastAsia"/>
                <w:kern w:val="0"/>
                <w:szCs w:val="21"/>
              </w:rPr>
              <w:t>设备减振、</w:t>
            </w:r>
            <w:r>
              <w:rPr>
                <w:kern w:val="0"/>
                <w:szCs w:val="21"/>
              </w:rPr>
              <w:t>厂房、车间隔声降噪</w:t>
            </w:r>
          </w:p>
        </w:tc>
        <w:tc>
          <w:tcPr>
            <w:tcW w:w="1193" w:type="dxa"/>
            <w:vAlign w:val="center"/>
          </w:tcPr>
          <w:p>
            <w:pPr>
              <w:snapToGrid w:val="0"/>
              <w:spacing w:before="93" w:beforeLines="30" w:after="93" w:afterLines="30"/>
              <w:jc w:val="center"/>
              <w:rPr>
                <w:kern w:val="0"/>
                <w:szCs w:val="21"/>
              </w:rPr>
            </w:pPr>
            <w:r>
              <w:rPr>
                <w:kern w:val="0"/>
                <w:szCs w:val="21"/>
              </w:rPr>
              <w:t>/</w:t>
            </w:r>
          </w:p>
        </w:tc>
        <w:tc>
          <w:tcPr>
            <w:tcW w:w="4063" w:type="dxa"/>
            <w:vAlign w:val="center"/>
          </w:tcPr>
          <w:p>
            <w:pPr>
              <w:snapToGrid w:val="0"/>
              <w:spacing w:before="93" w:beforeLines="30" w:after="93" w:afterLines="30"/>
              <w:jc w:val="center"/>
              <w:rPr>
                <w:kern w:val="0"/>
                <w:szCs w:val="21"/>
              </w:rPr>
            </w:pPr>
            <w:r>
              <w:rPr>
                <w:kern w:val="0"/>
                <w:szCs w:val="21"/>
              </w:rPr>
              <w:t>《工业企业厂界环境噪声排放标准》（GB12348-2008）</w:t>
            </w:r>
            <w:r>
              <w:rPr>
                <w:rFonts w:hint="eastAsia"/>
                <w:kern w:val="0"/>
                <w:szCs w:val="21"/>
              </w:rPr>
              <w:t>2</w:t>
            </w:r>
            <w:r>
              <w:rPr>
                <w:kern w:val="0"/>
                <w:szCs w:val="21"/>
              </w:rPr>
              <w:t>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68" w:hRule="atLeast"/>
          <w:jc w:val="center"/>
        </w:trPr>
        <w:tc>
          <w:tcPr>
            <w:tcW w:w="680" w:type="dxa"/>
            <w:vMerge w:val="restart"/>
            <w:vAlign w:val="center"/>
          </w:tcPr>
          <w:p>
            <w:pPr>
              <w:snapToGrid w:val="0"/>
              <w:spacing w:before="93" w:beforeLines="30" w:after="93" w:afterLines="30"/>
              <w:jc w:val="center"/>
              <w:rPr>
                <w:kern w:val="0"/>
                <w:szCs w:val="21"/>
              </w:rPr>
            </w:pPr>
            <w:r>
              <w:rPr>
                <w:kern w:val="0"/>
                <w:szCs w:val="21"/>
              </w:rPr>
              <w:t>固废</w:t>
            </w:r>
          </w:p>
        </w:tc>
        <w:tc>
          <w:tcPr>
            <w:tcW w:w="1216" w:type="dxa"/>
            <w:vAlign w:val="center"/>
          </w:tcPr>
          <w:p>
            <w:pPr>
              <w:snapToGrid w:val="0"/>
              <w:spacing w:before="93" w:beforeLines="30" w:after="93" w:afterLines="30"/>
              <w:jc w:val="center"/>
              <w:rPr>
                <w:kern w:val="0"/>
                <w:szCs w:val="21"/>
              </w:rPr>
            </w:pPr>
            <w:r>
              <w:rPr>
                <w:kern w:val="0"/>
                <w:szCs w:val="21"/>
              </w:rPr>
              <w:t>生活垃圾</w:t>
            </w:r>
          </w:p>
        </w:tc>
        <w:tc>
          <w:tcPr>
            <w:tcW w:w="2084" w:type="dxa"/>
            <w:vAlign w:val="center"/>
          </w:tcPr>
          <w:p>
            <w:pPr>
              <w:snapToGrid w:val="0"/>
              <w:spacing w:before="93" w:beforeLines="30" w:after="93" w:afterLines="30"/>
              <w:jc w:val="center"/>
              <w:rPr>
                <w:kern w:val="0"/>
                <w:szCs w:val="21"/>
              </w:rPr>
            </w:pPr>
            <w:r>
              <w:rPr>
                <w:kern w:val="0"/>
                <w:szCs w:val="21"/>
              </w:rPr>
              <w:t>垃圾桶</w:t>
            </w:r>
          </w:p>
        </w:tc>
        <w:tc>
          <w:tcPr>
            <w:tcW w:w="1193" w:type="dxa"/>
            <w:vAlign w:val="center"/>
          </w:tcPr>
          <w:p>
            <w:pPr>
              <w:snapToGrid w:val="0"/>
              <w:spacing w:before="93" w:beforeLines="30" w:after="93" w:afterLines="30"/>
              <w:jc w:val="center"/>
              <w:rPr>
                <w:kern w:val="0"/>
                <w:szCs w:val="21"/>
              </w:rPr>
            </w:pPr>
            <w:r>
              <w:rPr>
                <w:kern w:val="0"/>
                <w:szCs w:val="21"/>
              </w:rPr>
              <w:t>若干</w:t>
            </w:r>
          </w:p>
        </w:tc>
        <w:tc>
          <w:tcPr>
            <w:tcW w:w="4063" w:type="dxa"/>
            <w:vAlign w:val="center"/>
          </w:tcPr>
          <w:p>
            <w:pPr>
              <w:snapToGrid w:val="0"/>
              <w:spacing w:before="93" w:beforeLines="30" w:after="93" w:afterLines="30"/>
              <w:jc w:val="center"/>
              <w:rPr>
                <w:rFonts w:hint="eastAsia" w:eastAsia="宋体"/>
                <w:kern w:val="0"/>
                <w:szCs w:val="21"/>
                <w:lang w:eastAsia="zh-CN"/>
              </w:rPr>
            </w:pPr>
            <w:r>
              <w:rPr>
                <w:rFonts w:hint="eastAsia"/>
                <w:kern w:val="0"/>
                <w:szCs w:val="21"/>
                <w:lang w:eastAsia="zh-CN"/>
              </w:rPr>
              <w:t>定期运至垃圾填埋场集中处理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1"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一般固废</w:t>
            </w:r>
          </w:p>
        </w:tc>
        <w:tc>
          <w:tcPr>
            <w:tcW w:w="2084" w:type="dxa"/>
            <w:vAlign w:val="center"/>
          </w:tcPr>
          <w:p>
            <w:pPr>
              <w:snapToGrid w:val="0"/>
              <w:spacing w:before="93" w:beforeLines="30" w:after="93" w:afterLines="30"/>
              <w:jc w:val="center"/>
              <w:rPr>
                <w:kern w:val="0"/>
                <w:szCs w:val="21"/>
              </w:rPr>
            </w:pPr>
            <w:r>
              <w:rPr>
                <w:rFonts w:hint="eastAsia"/>
                <w:kern w:val="0"/>
                <w:szCs w:val="21"/>
              </w:rPr>
              <w:t>固废堆场</w:t>
            </w:r>
          </w:p>
        </w:tc>
        <w:tc>
          <w:tcPr>
            <w:tcW w:w="1193" w:type="dxa"/>
            <w:vAlign w:val="center"/>
          </w:tcPr>
          <w:p>
            <w:pPr>
              <w:snapToGrid w:val="0"/>
              <w:spacing w:before="93" w:beforeLines="30" w:after="93" w:afterLines="30"/>
              <w:jc w:val="center"/>
              <w:rPr>
                <w:kern w:val="0"/>
                <w:szCs w:val="21"/>
                <w:vertAlign w:val="superscript"/>
              </w:rPr>
            </w:pPr>
            <w:r>
              <w:rPr>
                <w:rFonts w:hint="eastAsia"/>
                <w:kern w:val="0"/>
                <w:szCs w:val="21"/>
              </w:rPr>
              <w:t>1</w:t>
            </w:r>
            <w:r>
              <w:rPr>
                <w:kern w:val="0"/>
                <w:szCs w:val="21"/>
              </w:rPr>
              <w:t>个</w:t>
            </w:r>
            <w:r>
              <w:rPr>
                <w:rFonts w:hint="eastAsia"/>
                <w:kern w:val="0"/>
                <w:szCs w:val="21"/>
              </w:rPr>
              <w:t>10</w:t>
            </w:r>
            <w:r>
              <w:rPr>
                <w:kern w:val="0"/>
                <w:szCs w:val="21"/>
              </w:rPr>
              <w:t>m</w:t>
            </w:r>
            <w:r>
              <w:rPr>
                <w:kern w:val="0"/>
                <w:szCs w:val="21"/>
                <w:vertAlign w:val="superscript"/>
              </w:rPr>
              <w:t>2</w:t>
            </w:r>
          </w:p>
        </w:tc>
        <w:tc>
          <w:tcPr>
            <w:tcW w:w="4063" w:type="dxa"/>
            <w:vAlign w:val="center"/>
          </w:tcPr>
          <w:p>
            <w:pPr>
              <w:snapToGrid w:val="0"/>
              <w:spacing w:before="93" w:beforeLines="30" w:after="93" w:afterLines="30"/>
              <w:jc w:val="center"/>
              <w:rPr>
                <w:kern w:val="0"/>
                <w:szCs w:val="21"/>
              </w:rPr>
            </w:pPr>
            <w:r>
              <w:rPr>
                <w:szCs w:val="21"/>
              </w:rPr>
              <w:t>《一般工业固体废物贮存、处置场污染控制标准》</w:t>
            </w:r>
            <w:r>
              <w:rPr>
                <w:rFonts w:hint="eastAsia"/>
                <w:szCs w:val="21"/>
              </w:rPr>
              <w:t>（GB18599-2001）及2013年修改单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371"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危险固废</w:t>
            </w:r>
          </w:p>
        </w:tc>
        <w:tc>
          <w:tcPr>
            <w:tcW w:w="2084" w:type="dxa"/>
            <w:vAlign w:val="center"/>
          </w:tcPr>
          <w:p>
            <w:pPr>
              <w:snapToGrid w:val="0"/>
              <w:spacing w:before="93" w:beforeLines="30" w:after="93" w:afterLines="30"/>
              <w:jc w:val="center"/>
              <w:rPr>
                <w:kern w:val="0"/>
                <w:szCs w:val="21"/>
              </w:rPr>
            </w:pPr>
            <w:r>
              <w:rPr>
                <w:rFonts w:hint="eastAsia"/>
                <w:kern w:val="0"/>
                <w:szCs w:val="21"/>
              </w:rPr>
              <w:t>危废间</w:t>
            </w:r>
          </w:p>
        </w:tc>
        <w:tc>
          <w:tcPr>
            <w:tcW w:w="1193" w:type="dxa"/>
            <w:vAlign w:val="center"/>
          </w:tcPr>
          <w:p>
            <w:pPr>
              <w:snapToGrid w:val="0"/>
              <w:spacing w:before="93" w:beforeLines="30" w:after="93" w:afterLines="30"/>
              <w:jc w:val="center"/>
              <w:rPr>
                <w:kern w:val="0"/>
                <w:szCs w:val="21"/>
              </w:rPr>
            </w:pPr>
            <w:r>
              <w:rPr>
                <w:rFonts w:hint="eastAsia"/>
                <w:kern w:val="0"/>
                <w:szCs w:val="21"/>
              </w:rPr>
              <w:t>1</w:t>
            </w:r>
            <w:r>
              <w:rPr>
                <w:kern w:val="0"/>
                <w:szCs w:val="21"/>
              </w:rPr>
              <w:t>个</w:t>
            </w:r>
            <w:r>
              <w:rPr>
                <w:rFonts w:hint="eastAsia"/>
                <w:kern w:val="0"/>
                <w:szCs w:val="21"/>
              </w:rPr>
              <w:t>5</w:t>
            </w:r>
            <w:r>
              <w:rPr>
                <w:kern w:val="0"/>
                <w:szCs w:val="21"/>
              </w:rPr>
              <w:t>m</w:t>
            </w:r>
            <w:r>
              <w:rPr>
                <w:kern w:val="0"/>
                <w:szCs w:val="21"/>
                <w:vertAlign w:val="superscript"/>
              </w:rPr>
              <w:t>2</w:t>
            </w:r>
          </w:p>
        </w:tc>
        <w:tc>
          <w:tcPr>
            <w:tcW w:w="4063" w:type="dxa"/>
            <w:vAlign w:val="center"/>
          </w:tcPr>
          <w:p>
            <w:pPr>
              <w:snapToGrid w:val="0"/>
              <w:spacing w:before="93" w:beforeLines="30" w:after="93" w:afterLines="30"/>
              <w:jc w:val="center"/>
              <w:rPr>
                <w:kern w:val="0"/>
                <w:szCs w:val="21"/>
              </w:rPr>
            </w:pPr>
            <w:r>
              <w:rPr>
                <w:bCs/>
                <w:szCs w:val="21"/>
              </w:rPr>
              <w:t>《</w:t>
            </w:r>
            <w:r>
              <w:rPr>
                <w:rFonts w:hint="eastAsia"/>
                <w:bCs/>
                <w:szCs w:val="21"/>
              </w:rPr>
              <w:t>危险废物贮存污染控制标准</w:t>
            </w:r>
            <w:r>
              <w:rPr>
                <w:bCs/>
                <w:szCs w:val="21"/>
              </w:rPr>
              <w:t>》</w:t>
            </w:r>
            <w:r>
              <w:rPr>
                <w:rFonts w:hint="eastAsia"/>
                <w:bCs/>
                <w:szCs w:val="21"/>
              </w:rPr>
              <w:t>（GB18597-2001）及</w:t>
            </w:r>
            <w:r>
              <w:rPr>
                <w:bCs/>
                <w:szCs w:val="21"/>
              </w:rPr>
              <w:t xml:space="preserve">2013 </w:t>
            </w:r>
            <w:r>
              <w:rPr>
                <w:rFonts w:hint="eastAsia"/>
                <w:bCs/>
                <w:szCs w:val="21"/>
              </w:rPr>
              <w:t>年修改单</w:t>
            </w:r>
          </w:p>
        </w:tc>
      </w:tr>
    </w:tbl>
    <w:p/>
    <w:sectPr>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ambria Math">
    <w:panose1 w:val="02040503050406030204"/>
    <w:charset w:val="01"/>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Sylfaen">
    <w:panose1 w:val="010A0502050306030303"/>
    <w:charset w:val="00"/>
    <w:family w:val="roman"/>
    <w:pitch w:val="default"/>
    <w:sig w:usb0="04000687" w:usb1="00000000" w:usb2="00000000" w:usb3="00000000" w:csb0="2000009F" w:csb1="00000000"/>
  </w:font>
  <w:font w:name="TimesNewRomanPSMT">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FangSong_GB2312">
    <w:altName w:val="仿宋"/>
    <w:panose1 w:val="02010609060101010101"/>
    <w:charset w:val="86"/>
    <w:family w:val="modern"/>
    <w:pitch w:val="default"/>
    <w:sig w:usb0="00000000" w:usb1="00000000"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文鼎CS中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长城楷体">
    <w:altName w:val="宋体"/>
    <w:panose1 w:val="0201060900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简仿宋">
    <w:altName w:val="仿宋"/>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宋体.　...">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3000509000000000000"/>
    <w:charset w:val="86"/>
    <w:family w:val="script"/>
    <w:pitch w:val="default"/>
    <w:sig w:usb0="00000000" w:usb1="0000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MS PMincho">
    <w:panose1 w:val="02020600040205080304"/>
    <w:charset w:val="80"/>
    <w:family w:val="roman"/>
    <w:pitch w:val="default"/>
    <w:sig w:usb0="E00002FF" w:usb1="6AC7FDFB" w:usb2="00000012" w:usb3="00000000" w:csb0="4002009F" w:csb1="DFD70000"/>
  </w:font>
  <w:font w:name="Aharoni">
    <w:panose1 w:val="02010803020104030203"/>
    <w:charset w:val="B1"/>
    <w:family w:val="auto"/>
    <w:pitch w:val="default"/>
    <w:sig w:usb0="00000801"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quc-icon">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HW">
    <w:altName w:val="RomanS"/>
    <w:panose1 w:val="00000000000000000000"/>
    <w:charset w:val="00"/>
    <w:family w:val="auto"/>
    <w:pitch w:val="default"/>
    <w:sig w:usb0="00000000" w:usb1="00000000" w:usb2="00000000" w:usb3="00000000" w:csb0="00000000" w:csb1="00000000"/>
  </w:font>
  <w:font w:name="Glyphicons Halflings">
    <w:altName w:val="RomanS"/>
    <w:panose1 w:val="00000000000000000000"/>
    <w:charset w:val="00"/>
    <w:family w:val="auto"/>
    <w:pitch w:val="default"/>
    <w:sig w:usb0="00000000" w:usb1="00000000" w:usb2="00000000" w:usb3="00000000" w:csb0="00000000" w:csb1="00000000"/>
  </w:font>
  <w:font w:name="baikeFont_css">
    <w:altName w:val="RomanS"/>
    <w:panose1 w:val="00000000000000000000"/>
    <w:charset w:val="00"/>
    <w:family w:val="auto"/>
    <w:pitch w:val="default"/>
    <w:sig w:usb0="00000000" w:usb1="00000000" w:usb2="00000000" w:usb3="00000000" w:csb0="00000000" w:csb1="00000000"/>
  </w:font>
  <w:font w:name="baikeFont_layout">
    <w:altName w:val="RomanS"/>
    <w:panose1 w:val="00000000000000000000"/>
    <w:charset w:val="00"/>
    <w:family w:val="auto"/>
    <w:pitch w:val="default"/>
    <w:sig w:usb0="00000000" w:usb1="00000000" w:usb2="00000000" w:usb3="00000000" w:csb0="00000000" w:csb1="00000000"/>
  </w:font>
  <w:font w:name="larkplayericon">
    <w:altName w:val="RomanS"/>
    <w:panose1 w:val="00000000000000000000"/>
    <w:charset w:val="00"/>
    <w:family w:val="auto"/>
    <w:pitch w:val="default"/>
    <w:sig w:usb0="00000000" w:usb1="00000000" w:usb2="00000000" w:usb3="00000000" w:csb0="00000000" w:csb1="00000000"/>
  </w:font>
  <w:font w:name="serif">
    <w:altName w:val="RomanS"/>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1"/>
    <w:family w:val="moder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IINFIO+TimesNewRoman">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汉仪大宋简">
    <w:altName w:val="宋体"/>
    <w:panose1 w:val="00000000000000000000"/>
    <w:charset w:val="86"/>
    <w:family w:val="modern"/>
    <w:pitch w:val="default"/>
    <w:sig w:usb0="00000000" w:usb1="00000000" w:usb2="00000012" w:usb3="00000000" w:csb0="00040000" w:csb1="00000000"/>
  </w:font>
  <w:font w:name="汉仪仿宋简">
    <w:altName w:val="宋体"/>
    <w:panose1 w:val="00000000000000000000"/>
    <w:charset w:val="01"/>
    <w:family w:val="auto"/>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10" w:usb3="00000000" w:csb0="00040001" w:csb1="00000000"/>
  </w:font>
  <w:font w:name="·s²Ó©úÅé">
    <w:altName w:val="Times New Roman"/>
    <w:panose1 w:val="00000000000000000000"/>
    <w:charset w:val="00"/>
    <w:family w:val="auto"/>
    <w:pitch w:val="default"/>
    <w:sig w:usb0="00000000" w:usb1="00000000" w:usb2="00000000" w:usb3="00000000" w:csb0="00000001" w:csb1="00000000"/>
  </w:font>
  <w:font w:name="KaiTi_GB2312">
    <w:altName w:val="宋体"/>
    <w:panose1 w:val="00000000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2929783"/>
    </w:sdtPr>
    <w:sdtContent>
      <w:p>
        <w:pPr>
          <w:pStyle w:val="17"/>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D58"/>
    <w:multiLevelType w:val="singleLevel"/>
    <w:tmpl w:val="49A74D58"/>
    <w:lvl w:ilvl="0" w:tentative="0">
      <w:start w:val="1"/>
      <w:numFmt w:val="decimal"/>
      <w:lvlText w:val="%1."/>
      <w:lvlJc w:val="left"/>
      <w:pPr>
        <w:tabs>
          <w:tab w:val="left" w:pos="964"/>
        </w:tabs>
        <w:ind w:left="964" w:hanging="397"/>
      </w:pPr>
      <w:rPr>
        <w:rFonts w:hint="eastAsia"/>
        <w:sz w:val="28"/>
        <w:szCs w:val="28"/>
      </w:rPr>
    </w:lvl>
  </w:abstractNum>
  <w:abstractNum w:abstractNumId="1">
    <w:nsid w:val="5DF849EA"/>
    <w:multiLevelType w:val="singleLevel"/>
    <w:tmpl w:val="5DF849EA"/>
    <w:lvl w:ilvl="0" w:tentative="0">
      <w:start w:val="1"/>
      <w:numFmt w:val="decimal"/>
      <w:suff w:val="nothing"/>
      <w:lvlText w:val="%1）"/>
      <w:lvlJc w:val="left"/>
    </w:lvl>
  </w:abstractNum>
  <w:abstractNum w:abstractNumId="2">
    <w:nsid w:val="5E1D9D73"/>
    <w:multiLevelType w:val="singleLevel"/>
    <w:tmpl w:val="5E1D9D73"/>
    <w:lvl w:ilvl="0" w:tentative="0">
      <w:start w:val="1"/>
      <w:numFmt w:val="chineseCounting"/>
      <w:suff w:val="nothing"/>
      <w:lvlText w:val="（%1）"/>
      <w:lvlJc w:val="left"/>
    </w:lvl>
  </w:abstractNum>
  <w:abstractNum w:abstractNumId="3">
    <w:nsid w:val="5F0ED0D0"/>
    <w:multiLevelType w:val="singleLevel"/>
    <w:tmpl w:val="5F0ED0D0"/>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4">
    <w:nsid w:val="5F5B5BAD"/>
    <w:multiLevelType w:val="singleLevel"/>
    <w:tmpl w:val="5F5B5BAD"/>
    <w:lvl w:ilvl="0" w:tentative="0">
      <w:start w:val="5"/>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2DBA"/>
    <w:rsid w:val="00003241"/>
    <w:rsid w:val="00005ED1"/>
    <w:rsid w:val="00006F5D"/>
    <w:rsid w:val="000104FF"/>
    <w:rsid w:val="00012CC3"/>
    <w:rsid w:val="00012DF4"/>
    <w:rsid w:val="00013BB8"/>
    <w:rsid w:val="00016D81"/>
    <w:rsid w:val="00021157"/>
    <w:rsid w:val="000261F5"/>
    <w:rsid w:val="00030597"/>
    <w:rsid w:val="00031534"/>
    <w:rsid w:val="000379E6"/>
    <w:rsid w:val="00041338"/>
    <w:rsid w:val="00047935"/>
    <w:rsid w:val="00047F4A"/>
    <w:rsid w:val="00050B28"/>
    <w:rsid w:val="000518E7"/>
    <w:rsid w:val="0005288A"/>
    <w:rsid w:val="000538BE"/>
    <w:rsid w:val="00053C72"/>
    <w:rsid w:val="00054461"/>
    <w:rsid w:val="00056D3F"/>
    <w:rsid w:val="00056FB4"/>
    <w:rsid w:val="000613ED"/>
    <w:rsid w:val="00061A7F"/>
    <w:rsid w:val="000628DB"/>
    <w:rsid w:val="000657B2"/>
    <w:rsid w:val="00065DEE"/>
    <w:rsid w:val="00067162"/>
    <w:rsid w:val="00067C0C"/>
    <w:rsid w:val="00071B18"/>
    <w:rsid w:val="00075C5D"/>
    <w:rsid w:val="0008036C"/>
    <w:rsid w:val="00080E98"/>
    <w:rsid w:val="00082033"/>
    <w:rsid w:val="000822BC"/>
    <w:rsid w:val="00091C38"/>
    <w:rsid w:val="000A5474"/>
    <w:rsid w:val="000A561B"/>
    <w:rsid w:val="000A64F4"/>
    <w:rsid w:val="000A6696"/>
    <w:rsid w:val="000B283A"/>
    <w:rsid w:val="000B32E7"/>
    <w:rsid w:val="000B479B"/>
    <w:rsid w:val="000C4DA4"/>
    <w:rsid w:val="000D229C"/>
    <w:rsid w:val="000D351E"/>
    <w:rsid w:val="000D42AA"/>
    <w:rsid w:val="000D466A"/>
    <w:rsid w:val="000D5076"/>
    <w:rsid w:val="000E3E94"/>
    <w:rsid w:val="000E48FB"/>
    <w:rsid w:val="000F03A2"/>
    <w:rsid w:val="000F13F6"/>
    <w:rsid w:val="000F4197"/>
    <w:rsid w:val="000F7BF2"/>
    <w:rsid w:val="000F7CE0"/>
    <w:rsid w:val="00102E00"/>
    <w:rsid w:val="0010403D"/>
    <w:rsid w:val="00115A78"/>
    <w:rsid w:val="00123FAF"/>
    <w:rsid w:val="0013022F"/>
    <w:rsid w:val="00134655"/>
    <w:rsid w:val="00134A77"/>
    <w:rsid w:val="001359D3"/>
    <w:rsid w:val="001367AC"/>
    <w:rsid w:val="00141F04"/>
    <w:rsid w:val="00146749"/>
    <w:rsid w:val="0014788D"/>
    <w:rsid w:val="00147A9C"/>
    <w:rsid w:val="0015008C"/>
    <w:rsid w:val="001578F7"/>
    <w:rsid w:val="00163267"/>
    <w:rsid w:val="00172FB1"/>
    <w:rsid w:val="00175CD7"/>
    <w:rsid w:val="00175E1E"/>
    <w:rsid w:val="0018623E"/>
    <w:rsid w:val="001873E9"/>
    <w:rsid w:val="00190F13"/>
    <w:rsid w:val="00193036"/>
    <w:rsid w:val="001933B1"/>
    <w:rsid w:val="001935CC"/>
    <w:rsid w:val="001945C0"/>
    <w:rsid w:val="00194901"/>
    <w:rsid w:val="00195745"/>
    <w:rsid w:val="001974AB"/>
    <w:rsid w:val="001A4DAD"/>
    <w:rsid w:val="001B0519"/>
    <w:rsid w:val="001B2D0B"/>
    <w:rsid w:val="001C27F0"/>
    <w:rsid w:val="001C3822"/>
    <w:rsid w:val="001C3AFE"/>
    <w:rsid w:val="001C7643"/>
    <w:rsid w:val="001C7C4D"/>
    <w:rsid w:val="001E0BCE"/>
    <w:rsid w:val="001E0DEF"/>
    <w:rsid w:val="001E4A7C"/>
    <w:rsid w:val="001E63F4"/>
    <w:rsid w:val="001E7F68"/>
    <w:rsid w:val="001F3025"/>
    <w:rsid w:val="001F3249"/>
    <w:rsid w:val="001F553A"/>
    <w:rsid w:val="00201CAE"/>
    <w:rsid w:val="0020438B"/>
    <w:rsid w:val="0020727D"/>
    <w:rsid w:val="002106CA"/>
    <w:rsid w:val="0021320C"/>
    <w:rsid w:val="002137E8"/>
    <w:rsid w:val="002145B7"/>
    <w:rsid w:val="002202EF"/>
    <w:rsid w:val="002237CD"/>
    <w:rsid w:val="00226558"/>
    <w:rsid w:val="0022784C"/>
    <w:rsid w:val="00227DED"/>
    <w:rsid w:val="0023016B"/>
    <w:rsid w:val="002304C9"/>
    <w:rsid w:val="002349DE"/>
    <w:rsid w:val="002354CC"/>
    <w:rsid w:val="002358C4"/>
    <w:rsid w:val="00242825"/>
    <w:rsid w:val="00246518"/>
    <w:rsid w:val="00246737"/>
    <w:rsid w:val="00247535"/>
    <w:rsid w:val="002475A1"/>
    <w:rsid w:val="00251B2B"/>
    <w:rsid w:val="00253416"/>
    <w:rsid w:val="00254AB7"/>
    <w:rsid w:val="00257D75"/>
    <w:rsid w:val="00262497"/>
    <w:rsid w:val="0027015F"/>
    <w:rsid w:val="0027016E"/>
    <w:rsid w:val="00272C34"/>
    <w:rsid w:val="00273736"/>
    <w:rsid w:val="00273F5D"/>
    <w:rsid w:val="00274894"/>
    <w:rsid w:val="00275D18"/>
    <w:rsid w:val="00276542"/>
    <w:rsid w:val="00276FF2"/>
    <w:rsid w:val="00280891"/>
    <w:rsid w:val="00281BF7"/>
    <w:rsid w:val="00285959"/>
    <w:rsid w:val="00285DAA"/>
    <w:rsid w:val="0029143C"/>
    <w:rsid w:val="002949D6"/>
    <w:rsid w:val="002954F2"/>
    <w:rsid w:val="002A051B"/>
    <w:rsid w:val="002A3ECE"/>
    <w:rsid w:val="002B1418"/>
    <w:rsid w:val="002B16DD"/>
    <w:rsid w:val="002B1AD4"/>
    <w:rsid w:val="002B3681"/>
    <w:rsid w:val="002B4B9E"/>
    <w:rsid w:val="002B4C74"/>
    <w:rsid w:val="002B6C99"/>
    <w:rsid w:val="002C0938"/>
    <w:rsid w:val="002C10A7"/>
    <w:rsid w:val="002C4EFC"/>
    <w:rsid w:val="002D04AB"/>
    <w:rsid w:val="002D2051"/>
    <w:rsid w:val="002D39D5"/>
    <w:rsid w:val="002D4069"/>
    <w:rsid w:val="002D58BF"/>
    <w:rsid w:val="002D641B"/>
    <w:rsid w:val="002E1E42"/>
    <w:rsid w:val="002E2152"/>
    <w:rsid w:val="002E3B84"/>
    <w:rsid w:val="002E487C"/>
    <w:rsid w:val="002E6E77"/>
    <w:rsid w:val="002F2769"/>
    <w:rsid w:val="002F3204"/>
    <w:rsid w:val="00300BE4"/>
    <w:rsid w:val="00300E4F"/>
    <w:rsid w:val="003022FF"/>
    <w:rsid w:val="003045D2"/>
    <w:rsid w:val="00310115"/>
    <w:rsid w:val="0031012E"/>
    <w:rsid w:val="0031132C"/>
    <w:rsid w:val="00316657"/>
    <w:rsid w:val="003232F5"/>
    <w:rsid w:val="0032460C"/>
    <w:rsid w:val="00325249"/>
    <w:rsid w:val="00326C87"/>
    <w:rsid w:val="00327E5F"/>
    <w:rsid w:val="00331E69"/>
    <w:rsid w:val="00332192"/>
    <w:rsid w:val="00332DB2"/>
    <w:rsid w:val="00333887"/>
    <w:rsid w:val="00333F06"/>
    <w:rsid w:val="00336D95"/>
    <w:rsid w:val="003401D9"/>
    <w:rsid w:val="003410D7"/>
    <w:rsid w:val="0034127D"/>
    <w:rsid w:val="00342A5D"/>
    <w:rsid w:val="0034439F"/>
    <w:rsid w:val="003462A4"/>
    <w:rsid w:val="003471EC"/>
    <w:rsid w:val="00347606"/>
    <w:rsid w:val="00350F1D"/>
    <w:rsid w:val="0035232A"/>
    <w:rsid w:val="0035376F"/>
    <w:rsid w:val="00353FFD"/>
    <w:rsid w:val="0035418F"/>
    <w:rsid w:val="00355A4F"/>
    <w:rsid w:val="003563D0"/>
    <w:rsid w:val="00361181"/>
    <w:rsid w:val="003634CA"/>
    <w:rsid w:val="003647D0"/>
    <w:rsid w:val="00364A64"/>
    <w:rsid w:val="00367542"/>
    <w:rsid w:val="0037053F"/>
    <w:rsid w:val="00374179"/>
    <w:rsid w:val="00386966"/>
    <w:rsid w:val="0039154B"/>
    <w:rsid w:val="00392AD4"/>
    <w:rsid w:val="00394737"/>
    <w:rsid w:val="00394A8D"/>
    <w:rsid w:val="00394DA6"/>
    <w:rsid w:val="00396106"/>
    <w:rsid w:val="003975C9"/>
    <w:rsid w:val="003A021F"/>
    <w:rsid w:val="003A3777"/>
    <w:rsid w:val="003A3D0F"/>
    <w:rsid w:val="003A5853"/>
    <w:rsid w:val="003A61D0"/>
    <w:rsid w:val="003A731A"/>
    <w:rsid w:val="003B0021"/>
    <w:rsid w:val="003B0EFE"/>
    <w:rsid w:val="003B33A5"/>
    <w:rsid w:val="003B69C6"/>
    <w:rsid w:val="003C0B01"/>
    <w:rsid w:val="003C2A1C"/>
    <w:rsid w:val="003C3D80"/>
    <w:rsid w:val="003C3DDF"/>
    <w:rsid w:val="003C74D3"/>
    <w:rsid w:val="003D601D"/>
    <w:rsid w:val="003D7B63"/>
    <w:rsid w:val="003E116F"/>
    <w:rsid w:val="003E422A"/>
    <w:rsid w:val="003E565A"/>
    <w:rsid w:val="003F2CA6"/>
    <w:rsid w:val="003F3688"/>
    <w:rsid w:val="003F7E8E"/>
    <w:rsid w:val="0041171E"/>
    <w:rsid w:val="004135DE"/>
    <w:rsid w:val="00414300"/>
    <w:rsid w:val="00420E1D"/>
    <w:rsid w:val="004214CE"/>
    <w:rsid w:val="00422278"/>
    <w:rsid w:val="00425179"/>
    <w:rsid w:val="00441E23"/>
    <w:rsid w:val="00450ADB"/>
    <w:rsid w:val="00453D6B"/>
    <w:rsid w:val="0045407B"/>
    <w:rsid w:val="00455785"/>
    <w:rsid w:val="00464050"/>
    <w:rsid w:val="004677A5"/>
    <w:rsid w:val="00470039"/>
    <w:rsid w:val="004704AE"/>
    <w:rsid w:val="004728F7"/>
    <w:rsid w:val="0047581A"/>
    <w:rsid w:val="00475C7C"/>
    <w:rsid w:val="00475F7B"/>
    <w:rsid w:val="00477F71"/>
    <w:rsid w:val="00480AED"/>
    <w:rsid w:val="00481C39"/>
    <w:rsid w:val="00486226"/>
    <w:rsid w:val="004914CE"/>
    <w:rsid w:val="004923C2"/>
    <w:rsid w:val="00496E86"/>
    <w:rsid w:val="00497DF5"/>
    <w:rsid w:val="004A1092"/>
    <w:rsid w:val="004A1518"/>
    <w:rsid w:val="004A1C24"/>
    <w:rsid w:val="004A2E84"/>
    <w:rsid w:val="004A4463"/>
    <w:rsid w:val="004A503E"/>
    <w:rsid w:val="004A6B31"/>
    <w:rsid w:val="004A758E"/>
    <w:rsid w:val="004B54C0"/>
    <w:rsid w:val="004B675F"/>
    <w:rsid w:val="004B7F1A"/>
    <w:rsid w:val="004C22D4"/>
    <w:rsid w:val="004C388F"/>
    <w:rsid w:val="004C3D9B"/>
    <w:rsid w:val="004D1175"/>
    <w:rsid w:val="004D1789"/>
    <w:rsid w:val="004D498D"/>
    <w:rsid w:val="004D738E"/>
    <w:rsid w:val="004E0D99"/>
    <w:rsid w:val="004E0EB0"/>
    <w:rsid w:val="004E2B32"/>
    <w:rsid w:val="004E3DDA"/>
    <w:rsid w:val="004E4A03"/>
    <w:rsid w:val="004E5762"/>
    <w:rsid w:val="004E6F8D"/>
    <w:rsid w:val="004F2D50"/>
    <w:rsid w:val="004F66A0"/>
    <w:rsid w:val="004F7503"/>
    <w:rsid w:val="004F7800"/>
    <w:rsid w:val="0050025A"/>
    <w:rsid w:val="005021DB"/>
    <w:rsid w:val="005029D5"/>
    <w:rsid w:val="005056F8"/>
    <w:rsid w:val="00510008"/>
    <w:rsid w:val="0051030B"/>
    <w:rsid w:val="00512950"/>
    <w:rsid w:val="00514548"/>
    <w:rsid w:val="0051710D"/>
    <w:rsid w:val="00517BE4"/>
    <w:rsid w:val="005228CD"/>
    <w:rsid w:val="00522D13"/>
    <w:rsid w:val="00530204"/>
    <w:rsid w:val="0053119F"/>
    <w:rsid w:val="005325D4"/>
    <w:rsid w:val="00534439"/>
    <w:rsid w:val="00534999"/>
    <w:rsid w:val="00536634"/>
    <w:rsid w:val="00537996"/>
    <w:rsid w:val="00537E5F"/>
    <w:rsid w:val="00545BFF"/>
    <w:rsid w:val="00546143"/>
    <w:rsid w:val="005465AC"/>
    <w:rsid w:val="005479FC"/>
    <w:rsid w:val="005504B5"/>
    <w:rsid w:val="005548EB"/>
    <w:rsid w:val="005636E4"/>
    <w:rsid w:val="0056540A"/>
    <w:rsid w:val="005662F6"/>
    <w:rsid w:val="0057032F"/>
    <w:rsid w:val="0057541F"/>
    <w:rsid w:val="0058171C"/>
    <w:rsid w:val="00581915"/>
    <w:rsid w:val="005822F9"/>
    <w:rsid w:val="005956A1"/>
    <w:rsid w:val="005A1669"/>
    <w:rsid w:val="005A4A06"/>
    <w:rsid w:val="005A5A4D"/>
    <w:rsid w:val="005A7CF9"/>
    <w:rsid w:val="005B5F2A"/>
    <w:rsid w:val="005B5F45"/>
    <w:rsid w:val="005B63DB"/>
    <w:rsid w:val="005C177C"/>
    <w:rsid w:val="005C2749"/>
    <w:rsid w:val="005C2A75"/>
    <w:rsid w:val="005C788A"/>
    <w:rsid w:val="005D1A4B"/>
    <w:rsid w:val="005D57D7"/>
    <w:rsid w:val="005D73E9"/>
    <w:rsid w:val="005D7594"/>
    <w:rsid w:val="005E24E4"/>
    <w:rsid w:val="005E32D4"/>
    <w:rsid w:val="005E5203"/>
    <w:rsid w:val="005E56C6"/>
    <w:rsid w:val="005F011A"/>
    <w:rsid w:val="005F3680"/>
    <w:rsid w:val="00601DBA"/>
    <w:rsid w:val="00605737"/>
    <w:rsid w:val="006100D8"/>
    <w:rsid w:val="006116DD"/>
    <w:rsid w:val="00611B31"/>
    <w:rsid w:val="00613B5F"/>
    <w:rsid w:val="00617C1B"/>
    <w:rsid w:val="00621D4A"/>
    <w:rsid w:val="00623F7C"/>
    <w:rsid w:val="006247B6"/>
    <w:rsid w:val="00624C88"/>
    <w:rsid w:val="00631389"/>
    <w:rsid w:val="006332DE"/>
    <w:rsid w:val="00633AAA"/>
    <w:rsid w:val="00634637"/>
    <w:rsid w:val="00634A43"/>
    <w:rsid w:val="00642D5A"/>
    <w:rsid w:val="006439C6"/>
    <w:rsid w:val="00643DAB"/>
    <w:rsid w:val="006457ED"/>
    <w:rsid w:val="0064756A"/>
    <w:rsid w:val="00647EE6"/>
    <w:rsid w:val="00653BED"/>
    <w:rsid w:val="00655B2C"/>
    <w:rsid w:val="00656BF1"/>
    <w:rsid w:val="00656D83"/>
    <w:rsid w:val="006605A6"/>
    <w:rsid w:val="00665AF1"/>
    <w:rsid w:val="00666FB9"/>
    <w:rsid w:val="00673EC2"/>
    <w:rsid w:val="0067555B"/>
    <w:rsid w:val="0067661E"/>
    <w:rsid w:val="006774FD"/>
    <w:rsid w:val="00680F8E"/>
    <w:rsid w:val="006826DE"/>
    <w:rsid w:val="00682E11"/>
    <w:rsid w:val="00687974"/>
    <w:rsid w:val="00691DCB"/>
    <w:rsid w:val="0069784A"/>
    <w:rsid w:val="006A49ED"/>
    <w:rsid w:val="006A5F3A"/>
    <w:rsid w:val="006B04AB"/>
    <w:rsid w:val="006B24BF"/>
    <w:rsid w:val="006B3BDD"/>
    <w:rsid w:val="006C161F"/>
    <w:rsid w:val="006C270D"/>
    <w:rsid w:val="006C3ECC"/>
    <w:rsid w:val="006C4A74"/>
    <w:rsid w:val="006C4CB9"/>
    <w:rsid w:val="006C4D42"/>
    <w:rsid w:val="006C56C9"/>
    <w:rsid w:val="006C59A7"/>
    <w:rsid w:val="006C5BCF"/>
    <w:rsid w:val="006D296F"/>
    <w:rsid w:val="006D37E1"/>
    <w:rsid w:val="006D7E13"/>
    <w:rsid w:val="006E009A"/>
    <w:rsid w:val="006E39B6"/>
    <w:rsid w:val="006F0043"/>
    <w:rsid w:val="006F023A"/>
    <w:rsid w:val="006F4E39"/>
    <w:rsid w:val="006F553F"/>
    <w:rsid w:val="007024D0"/>
    <w:rsid w:val="00710CA1"/>
    <w:rsid w:val="00710E1B"/>
    <w:rsid w:val="007119F4"/>
    <w:rsid w:val="007131CB"/>
    <w:rsid w:val="007150FD"/>
    <w:rsid w:val="00716271"/>
    <w:rsid w:val="00724861"/>
    <w:rsid w:val="0072555E"/>
    <w:rsid w:val="00725A7C"/>
    <w:rsid w:val="007273CF"/>
    <w:rsid w:val="00731C18"/>
    <w:rsid w:val="00732697"/>
    <w:rsid w:val="007340A0"/>
    <w:rsid w:val="007402B9"/>
    <w:rsid w:val="00740B4B"/>
    <w:rsid w:val="007425AA"/>
    <w:rsid w:val="00745A43"/>
    <w:rsid w:val="0074704A"/>
    <w:rsid w:val="00750D84"/>
    <w:rsid w:val="00753917"/>
    <w:rsid w:val="007550FF"/>
    <w:rsid w:val="00757C06"/>
    <w:rsid w:val="00757C44"/>
    <w:rsid w:val="0076293B"/>
    <w:rsid w:val="0076562C"/>
    <w:rsid w:val="007660DB"/>
    <w:rsid w:val="0076688F"/>
    <w:rsid w:val="00776C4A"/>
    <w:rsid w:val="007806C3"/>
    <w:rsid w:val="00782AC7"/>
    <w:rsid w:val="00783CEA"/>
    <w:rsid w:val="00786348"/>
    <w:rsid w:val="0078738B"/>
    <w:rsid w:val="00787A35"/>
    <w:rsid w:val="0079070E"/>
    <w:rsid w:val="007915CF"/>
    <w:rsid w:val="00796884"/>
    <w:rsid w:val="0079772C"/>
    <w:rsid w:val="007A1D6A"/>
    <w:rsid w:val="007A4162"/>
    <w:rsid w:val="007B4DEA"/>
    <w:rsid w:val="007B5523"/>
    <w:rsid w:val="007B6DE4"/>
    <w:rsid w:val="007C0B9F"/>
    <w:rsid w:val="007C2347"/>
    <w:rsid w:val="007C2382"/>
    <w:rsid w:val="007C4E06"/>
    <w:rsid w:val="007C66E9"/>
    <w:rsid w:val="007C78E1"/>
    <w:rsid w:val="007D00BB"/>
    <w:rsid w:val="007D2504"/>
    <w:rsid w:val="007D2F55"/>
    <w:rsid w:val="007D6C0E"/>
    <w:rsid w:val="007E0AC2"/>
    <w:rsid w:val="007E16E0"/>
    <w:rsid w:val="007E4469"/>
    <w:rsid w:val="007E4516"/>
    <w:rsid w:val="007E4A7F"/>
    <w:rsid w:val="007E65A9"/>
    <w:rsid w:val="007E786E"/>
    <w:rsid w:val="007E7F51"/>
    <w:rsid w:val="007F039B"/>
    <w:rsid w:val="007F172C"/>
    <w:rsid w:val="007F1C3F"/>
    <w:rsid w:val="007F27C5"/>
    <w:rsid w:val="007F2F3F"/>
    <w:rsid w:val="007F3721"/>
    <w:rsid w:val="007F5850"/>
    <w:rsid w:val="007F6925"/>
    <w:rsid w:val="00810FAC"/>
    <w:rsid w:val="00812123"/>
    <w:rsid w:val="00812A0F"/>
    <w:rsid w:val="00813348"/>
    <w:rsid w:val="00821976"/>
    <w:rsid w:val="00825B24"/>
    <w:rsid w:val="00826ABF"/>
    <w:rsid w:val="00832878"/>
    <w:rsid w:val="008375C6"/>
    <w:rsid w:val="0084040F"/>
    <w:rsid w:val="008404D1"/>
    <w:rsid w:val="008442F8"/>
    <w:rsid w:val="00844C1D"/>
    <w:rsid w:val="00845799"/>
    <w:rsid w:val="00851E4B"/>
    <w:rsid w:val="008564F2"/>
    <w:rsid w:val="00860343"/>
    <w:rsid w:val="00865D61"/>
    <w:rsid w:val="00870726"/>
    <w:rsid w:val="00870946"/>
    <w:rsid w:val="008730F5"/>
    <w:rsid w:val="0087376C"/>
    <w:rsid w:val="008738E5"/>
    <w:rsid w:val="00873B25"/>
    <w:rsid w:val="00875835"/>
    <w:rsid w:val="00875E7E"/>
    <w:rsid w:val="00883D0C"/>
    <w:rsid w:val="0089279A"/>
    <w:rsid w:val="00895B0C"/>
    <w:rsid w:val="008A0985"/>
    <w:rsid w:val="008A4C1D"/>
    <w:rsid w:val="008A739E"/>
    <w:rsid w:val="008B0F38"/>
    <w:rsid w:val="008B25D6"/>
    <w:rsid w:val="008B2B7E"/>
    <w:rsid w:val="008B3363"/>
    <w:rsid w:val="008B457A"/>
    <w:rsid w:val="008C3C20"/>
    <w:rsid w:val="008C6535"/>
    <w:rsid w:val="008D015F"/>
    <w:rsid w:val="008D0554"/>
    <w:rsid w:val="008D06CE"/>
    <w:rsid w:val="008D2C9B"/>
    <w:rsid w:val="008D30A5"/>
    <w:rsid w:val="008D4D6C"/>
    <w:rsid w:val="008D5423"/>
    <w:rsid w:val="008D5AA2"/>
    <w:rsid w:val="008E5511"/>
    <w:rsid w:val="008E57B3"/>
    <w:rsid w:val="008E5827"/>
    <w:rsid w:val="008E6583"/>
    <w:rsid w:val="008E7B90"/>
    <w:rsid w:val="008F0064"/>
    <w:rsid w:val="008F0407"/>
    <w:rsid w:val="008F5214"/>
    <w:rsid w:val="008F6E2F"/>
    <w:rsid w:val="00900381"/>
    <w:rsid w:val="00900B9F"/>
    <w:rsid w:val="009110A8"/>
    <w:rsid w:val="00912E87"/>
    <w:rsid w:val="0091340C"/>
    <w:rsid w:val="00913498"/>
    <w:rsid w:val="00916B5A"/>
    <w:rsid w:val="009174EE"/>
    <w:rsid w:val="00920581"/>
    <w:rsid w:val="00922C38"/>
    <w:rsid w:val="00930DE3"/>
    <w:rsid w:val="00930F7A"/>
    <w:rsid w:val="0093458E"/>
    <w:rsid w:val="00934A7A"/>
    <w:rsid w:val="00935F24"/>
    <w:rsid w:val="00937025"/>
    <w:rsid w:val="0093715B"/>
    <w:rsid w:val="00941ECA"/>
    <w:rsid w:val="00945344"/>
    <w:rsid w:val="009459D5"/>
    <w:rsid w:val="00945A2E"/>
    <w:rsid w:val="00946304"/>
    <w:rsid w:val="00951825"/>
    <w:rsid w:val="009535A2"/>
    <w:rsid w:val="009538F3"/>
    <w:rsid w:val="00957DD7"/>
    <w:rsid w:val="00960728"/>
    <w:rsid w:val="009630A0"/>
    <w:rsid w:val="00963897"/>
    <w:rsid w:val="00966913"/>
    <w:rsid w:val="00970564"/>
    <w:rsid w:val="009708A1"/>
    <w:rsid w:val="00974E6D"/>
    <w:rsid w:val="0098236F"/>
    <w:rsid w:val="00983AF7"/>
    <w:rsid w:val="00984BF0"/>
    <w:rsid w:val="009864B5"/>
    <w:rsid w:val="00987B00"/>
    <w:rsid w:val="009919E3"/>
    <w:rsid w:val="009922CA"/>
    <w:rsid w:val="0099240D"/>
    <w:rsid w:val="00997B70"/>
    <w:rsid w:val="009A0D6C"/>
    <w:rsid w:val="009A2D7C"/>
    <w:rsid w:val="009A4E9F"/>
    <w:rsid w:val="009A4FB1"/>
    <w:rsid w:val="009B2EEF"/>
    <w:rsid w:val="009B670C"/>
    <w:rsid w:val="009C2C3B"/>
    <w:rsid w:val="009D3065"/>
    <w:rsid w:val="009D75A8"/>
    <w:rsid w:val="009E4F94"/>
    <w:rsid w:val="009E702E"/>
    <w:rsid w:val="009F3C78"/>
    <w:rsid w:val="009F49FC"/>
    <w:rsid w:val="009F5CF4"/>
    <w:rsid w:val="009F7259"/>
    <w:rsid w:val="00A01608"/>
    <w:rsid w:val="00A0328B"/>
    <w:rsid w:val="00A042A0"/>
    <w:rsid w:val="00A045FB"/>
    <w:rsid w:val="00A04BA0"/>
    <w:rsid w:val="00A050D3"/>
    <w:rsid w:val="00A0753D"/>
    <w:rsid w:val="00A250EF"/>
    <w:rsid w:val="00A31BE1"/>
    <w:rsid w:val="00A41668"/>
    <w:rsid w:val="00A43CEC"/>
    <w:rsid w:val="00A447A6"/>
    <w:rsid w:val="00A501BE"/>
    <w:rsid w:val="00A51366"/>
    <w:rsid w:val="00A5141A"/>
    <w:rsid w:val="00A528BC"/>
    <w:rsid w:val="00A52B8B"/>
    <w:rsid w:val="00A53EE0"/>
    <w:rsid w:val="00A547C9"/>
    <w:rsid w:val="00A557A8"/>
    <w:rsid w:val="00A60D40"/>
    <w:rsid w:val="00A626F8"/>
    <w:rsid w:val="00A62ABC"/>
    <w:rsid w:val="00A63DBD"/>
    <w:rsid w:val="00A70546"/>
    <w:rsid w:val="00A750B3"/>
    <w:rsid w:val="00A75796"/>
    <w:rsid w:val="00A769FA"/>
    <w:rsid w:val="00A81060"/>
    <w:rsid w:val="00A82095"/>
    <w:rsid w:val="00A845E8"/>
    <w:rsid w:val="00A85624"/>
    <w:rsid w:val="00AA077F"/>
    <w:rsid w:val="00AA36B7"/>
    <w:rsid w:val="00AA7F82"/>
    <w:rsid w:val="00AB0C67"/>
    <w:rsid w:val="00AB4F52"/>
    <w:rsid w:val="00AB6373"/>
    <w:rsid w:val="00AB762C"/>
    <w:rsid w:val="00AC09A0"/>
    <w:rsid w:val="00AC3581"/>
    <w:rsid w:val="00AC515B"/>
    <w:rsid w:val="00AC5988"/>
    <w:rsid w:val="00AC761F"/>
    <w:rsid w:val="00AD0649"/>
    <w:rsid w:val="00AD33FC"/>
    <w:rsid w:val="00AD3ACC"/>
    <w:rsid w:val="00AD452A"/>
    <w:rsid w:val="00AE196D"/>
    <w:rsid w:val="00AE3C9C"/>
    <w:rsid w:val="00AE43ED"/>
    <w:rsid w:val="00AE79F3"/>
    <w:rsid w:val="00AF56C2"/>
    <w:rsid w:val="00AF6153"/>
    <w:rsid w:val="00AF6784"/>
    <w:rsid w:val="00AF6C69"/>
    <w:rsid w:val="00B006DF"/>
    <w:rsid w:val="00B015D0"/>
    <w:rsid w:val="00B0240C"/>
    <w:rsid w:val="00B03800"/>
    <w:rsid w:val="00B0724C"/>
    <w:rsid w:val="00B113EA"/>
    <w:rsid w:val="00B11E10"/>
    <w:rsid w:val="00B176DB"/>
    <w:rsid w:val="00B2177A"/>
    <w:rsid w:val="00B23F92"/>
    <w:rsid w:val="00B24E2F"/>
    <w:rsid w:val="00B2583E"/>
    <w:rsid w:val="00B26D28"/>
    <w:rsid w:val="00B3175F"/>
    <w:rsid w:val="00B33AA9"/>
    <w:rsid w:val="00B33DA6"/>
    <w:rsid w:val="00B35079"/>
    <w:rsid w:val="00B35A57"/>
    <w:rsid w:val="00B37F02"/>
    <w:rsid w:val="00B40DC8"/>
    <w:rsid w:val="00B462C8"/>
    <w:rsid w:val="00B51ED5"/>
    <w:rsid w:val="00B53B95"/>
    <w:rsid w:val="00B546A9"/>
    <w:rsid w:val="00B55A43"/>
    <w:rsid w:val="00B57261"/>
    <w:rsid w:val="00B57A07"/>
    <w:rsid w:val="00B61621"/>
    <w:rsid w:val="00B621A0"/>
    <w:rsid w:val="00B625FA"/>
    <w:rsid w:val="00B6395B"/>
    <w:rsid w:val="00B65F0F"/>
    <w:rsid w:val="00B678B7"/>
    <w:rsid w:val="00B735A8"/>
    <w:rsid w:val="00B74C95"/>
    <w:rsid w:val="00B80175"/>
    <w:rsid w:val="00B8101C"/>
    <w:rsid w:val="00B8260D"/>
    <w:rsid w:val="00B87F64"/>
    <w:rsid w:val="00B91C12"/>
    <w:rsid w:val="00BA07EC"/>
    <w:rsid w:val="00BA27BB"/>
    <w:rsid w:val="00BA410D"/>
    <w:rsid w:val="00BB0CEA"/>
    <w:rsid w:val="00BB196F"/>
    <w:rsid w:val="00BB202B"/>
    <w:rsid w:val="00BB3FBC"/>
    <w:rsid w:val="00BC3294"/>
    <w:rsid w:val="00BC4964"/>
    <w:rsid w:val="00BC6713"/>
    <w:rsid w:val="00BD2DBA"/>
    <w:rsid w:val="00BD7F48"/>
    <w:rsid w:val="00BE0701"/>
    <w:rsid w:val="00BE1B8F"/>
    <w:rsid w:val="00BE492A"/>
    <w:rsid w:val="00BF1FDB"/>
    <w:rsid w:val="00BF23A2"/>
    <w:rsid w:val="00BF23C5"/>
    <w:rsid w:val="00BF294D"/>
    <w:rsid w:val="00BF610E"/>
    <w:rsid w:val="00C01880"/>
    <w:rsid w:val="00C01C71"/>
    <w:rsid w:val="00C030E2"/>
    <w:rsid w:val="00C11792"/>
    <w:rsid w:val="00C135C3"/>
    <w:rsid w:val="00C1473D"/>
    <w:rsid w:val="00C14AE4"/>
    <w:rsid w:val="00C16FE9"/>
    <w:rsid w:val="00C17339"/>
    <w:rsid w:val="00C240EF"/>
    <w:rsid w:val="00C271A2"/>
    <w:rsid w:val="00C274D3"/>
    <w:rsid w:val="00C34A78"/>
    <w:rsid w:val="00C3785F"/>
    <w:rsid w:val="00C41639"/>
    <w:rsid w:val="00C421A2"/>
    <w:rsid w:val="00C44691"/>
    <w:rsid w:val="00C44CF6"/>
    <w:rsid w:val="00C532E1"/>
    <w:rsid w:val="00C5360F"/>
    <w:rsid w:val="00C54114"/>
    <w:rsid w:val="00C55B84"/>
    <w:rsid w:val="00C56BBB"/>
    <w:rsid w:val="00C5773E"/>
    <w:rsid w:val="00C613E0"/>
    <w:rsid w:val="00C61D1A"/>
    <w:rsid w:val="00C623FC"/>
    <w:rsid w:val="00C70F89"/>
    <w:rsid w:val="00C73A72"/>
    <w:rsid w:val="00C76280"/>
    <w:rsid w:val="00C80051"/>
    <w:rsid w:val="00C84974"/>
    <w:rsid w:val="00C85F17"/>
    <w:rsid w:val="00C90EDE"/>
    <w:rsid w:val="00C93400"/>
    <w:rsid w:val="00C97E70"/>
    <w:rsid w:val="00CA141A"/>
    <w:rsid w:val="00CA2E69"/>
    <w:rsid w:val="00CA2F1F"/>
    <w:rsid w:val="00CA451B"/>
    <w:rsid w:val="00CA45AF"/>
    <w:rsid w:val="00CA45E1"/>
    <w:rsid w:val="00CA5C20"/>
    <w:rsid w:val="00CA6E13"/>
    <w:rsid w:val="00CB0A0E"/>
    <w:rsid w:val="00CC1502"/>
    <w:rsid w:val="00CC2D76"/>
    <w:rsid w:val="00CC345D"/>
    <w:rsid w:val="00CC60B3"/>
    <w:rsid w:val="00CC643F"/>
    <w:rsid w:val="00CC678F"/>
    <w:rsid w:val="00CC6ABA"/>
    <w:rsid w:val="00CD251D"/>
    <w:rsid w:val="00CD3DFD"/>
    <w:rsid w:val="00CD4D24"/>
    <w:rsid w:val="00CD6564"/>
    <w:rsid w:val="00CE1335"/>
    <w:rsid w:val="00CE3E04"/>
    <w:rsid w:val="00CF186E"/>
    <w:rsid w:val="00CF6F36"/>
    <w:rsid w:val="00D03066"/>
    <w:rsid w:val="00D0525E"/>
    <w:rsid w:val="00D05624"/>
    <w:rsid w:val="00D10990"/>
    <w:rsid w:val="00D10CA0"/>
    <w:rsid w:val="00D114D9"/>
    <w:rsid w:val="00D11C4A"/>
    <w:rsid w:val="00D14752"/>
    <w:rsid w:val="00D16393"/>
    <w:rsid w:val="00D17526"/>
    <w:rsid w:val="00D24CC2"/>
    <w:rsid w:val="00D25277"/>
    <w:rsid w:val="00D255CE"/>
    <w:rsid w:val="00D274F3"/>
    <w:rsid w:val="00D31F82"/>
    <w:rsid w:val="00D34139"/>
    <w:rsid w:val="00D34E77"/>
    <w:rsid w:val="00D35942"/>
    <w:rsid w:val="00D37621"/>
    <w:rsid w:val="00D37F35"/>
    <w:rsid w:val="00D42B74"/>
    <w:rsid w:val="00D4467E"/>
    <w:rsid w:val="00D50531"/>
    <w:rsid w:val="00D51F1F"/>
    <w:rsid w:val="00D53ED3"/>
    <w:rsid w:val="00D60C66"/>
    <w:rsid w:val="00D619A9"/>
    <w:rsid w:val="00D62281"/>
    <w:rsid w:val="00D66AFB"/>
    <w:rsid w:val="00D70A08"/>
    <w:rsid w:val="00D71185"/>
    <w:rsid w:val="00D75800"/>
    <w:rsid w:val="00D7624F"/>
    <w:rsid w:val="00D81DE1"/>
    <w:rsid w:val="00D83672"/>
    <w:rsid w:val="00D855E7"/>
    <w:rsid w:val="00D866CF"/>
    <w:rsid w:val="00D86FF1"/>
    <w:rsid w:val="00D91018"/>
    <w:rsid w:val="00D94A73"/>
    <w:rsid w:val="00D97EDB"/>
    <w:rsid w:val="00DA0541"/>
    <w:rsid w:val="00DA290A"/>
    <w:rsid w:val="00DA3123"/>
    <w:rsid w:val="00DA5308"/>
    <w:rsid w:val="00DA6710"/>
    <w:rsid w:val="00DA6FE2"/>
    <w:rsid w:val="00DA77E4"/>
    <w:rsid w:val="00DB002E"/>
    <w:rsid w:val="00DB06A0"/>
    <w:rsid w:val="00DB238C"/>
    <w:rsid w:val="00DB2541"/>
    <w:rsid w:val="00DB61F1"/>
    <w:rsid w:val="00DC2255"/>
    <w:rsid w:val="00DC29F0"/>
    <w:rsid w:val="00DC2FCD"/>
    <w:rsid w:val="00DC3F6A"/>
    <w:rsid w:val="00DC5C7A"/>
    <w:rsid w:val="00DD0A10"/>
    <w:rsid w:val="00DD2480"/>
    <w:rsid w:val="00DD7E43"/>
    <w:rsid w:val="00DE1665"/>
    <w:rsid w:val="00DE1C75"/>
    <w:rsid w:val="00DF02EF"/>
    <w:rsid w:val="00DF1FAF"/>
    <w:rsid w:val="00DF22A7"/>
    <w:rsid w:val="00DF667F"/>
    <w:rsid w:val="00E0125B"/>
    <w:rsid w:val="00E02A71"/>
    <w:rsid w:val="00E0655C"/>
    <w:rsid w:val="00E06837"/>
    <w:rsid w:val="00E072BD"/>
    <w:rsid w:val="00E13A06"/>
    <w:rsid w:val="00E13A0E"/>
    <w:rsid w:val="00E167D9"/>
    <w:rsid w:val="00E16EDC"/>
    <w:rsid w:val="00E20E10"/>
    <w:rsid w:val="00E25287"/>
    <w:rsid w:val="00E263AB"/>
    <w:rsid w:val="00E323CA"/>
    <w:rsid w:val="00E37236"/>
    <w:rsid w:val="00E3742E"/>
    <w:rsid w:val="00E374B8"/>
    <w:rsid w:val="00E37654"/>
    <w:rsid w:val="00E37EA2"/>
    <w:rsid w:val="00E405D9"/>
    <w:rsid w:val="00E42147"/>
    <w:rsid w:val="00E423EB"/>
    <w:rsid w:val="00E43E98"/>
    <w:rsid w:val="00E47EDF"/>
    <w:rsid w:val="00E50E03"/>
    <w:rsid w:val="00E5106F"/>
    <w:rsid w:val="00E5114C"/>
    <w:rsid w:val="00E528E0"/>
    <w:rsid w:val="00E529D2"/>
    <w:rsid w:val="00E54861"/>
    <w:rsid w:val="00E62BA1"/>
    <w:rsid w:val="00E64811"/>
    <w:rsid w:val="00E64BBA"/>
    <w:rsid w:val="00E6712D"/>
    <w:rsid w:val="00E705FE"/>
    <w:rsid w:val="00E707F6"/>
    <w:rsid w:val="00E71C67"/>
    <w:rsid w:val="00E71D60"/>
    <w:rsid w:val="00E735CA"/>
    <w:rsid w:val="00E80891"/>
    <w:rsid w:val="00E83A6C"/>
    <w:rsid w:val="00E84B69"/>
    <w:rsid w:val="00E85C0E"/>
    <w:rsid w:val="00E85F3B"/>
    <w:rsid w:val="00E86437"/>
    <w:rsid w:val="00E86E4D"/>
    <w:rsid w:val="00E87413"/>
    <w:rsid w:val="00E93019"/>
    <w:rsid w:val="00E94858"/>
    <w:rsid w:val="00E96F01"/>
    <w:rsid w:val="00E97E25"/>
    <w:rsid w:val="00EA0C3E"/>
    <w:rsid w:val="00EA1966"/>
    <w:rsid w:val="00EA7299"/>
    <w:rsid w:val="00EB2353"/>
    <w:rsid w:val="00EB2557"/>
    <w:rsid w:val="00EB45F0"/>
    <w:rsid w:val="00EB4786"/>
    <w:rsid w:val="00EB4BB1"/>
    <w:rsid w:val="00EB5451"/>
    <w:rsid w:val="00EB6F30"/>
    <w:rsid w:val="00EC33B7"/>
    <w:rsid w:val="00EC3ED3"/>
    <w:rsid w:val="00EC6DCB"/>
    <w:rsid w:val="00EC7053"/>
    <w:rsid w:val="00ED4CD9"/>
    <w:rsid w:val="00ED50AB"/>
    <w:rsid w:val="00ED5BF4"/>
    <w:rsid w:val="00ED6A5B"/>
    <w:rsid w:val="00EE5381"/>
    <w:rsid w:val="00EE7EE8"/>
    <w:rsid w:val="00EF0861"/>
    <w:rsid w:val="00EF121A"/>
    <w:rsid w:val="00EF1258"/>
    <w:rsid w:val="00EF1CEC"/>
    <w:rsid w:val="00EF583B"/>
    <w:rsid w:val="00F00110"/>
    <w:rsid w:val="00F02B49"/>
    <w:rsid w:val="00F13055"/>
    <w:rsid w:val="00F13DF7"/>
    <w:rsid w:val="00F14A3D"/>
    <w:rsid w:val="00F15CFC"/>
    <w:rsid w:val="00F15E59"/>
    <w:rsid w:val="00F17016"/>
    <w:rsid w:val="00F179C9"/>
    <w:rsid w:val="00F21BDB"/>
    <w:rsid w:val="00F227BA"/>
    <w:rsid w:val="00F2560F"/>
    <w:rsid w:val="00F311A7"/>
    <w:rsid w:val="00F3194E"/>
    <w:rsid w:val="00F3539E"/>
    <w:rsid w:val="00F51A46"/>
    <w:rsid w:val="00F52D2E"/>
    <w:rsid w:val="00F5330F"/>
    <w:rsid w:val="00F5489A"/>
    <w:rsid w:val="00F548CA"/>
    <w:rsid w:val="00F55730"/>
    <w:rsid w:val="00F56B57"/>
    <w:rsid w:val="00F57CFA"/>
    <w:rsid w:val="00F614F2"/>
    <w:rsid w:val="00F624CB"/>
    <w:rsid w:val="00F62E02"/>
    <w:rsid w:val="00F647AC"/>
    <w:rsid w:val="00F6581F"/>
    <w:rsid w:val="00F661DE"/>
    <w:rsid w:val="00F67250"/>
    <w:rsid w:val="00F6790F"/>
    <w:rsid w:val="00F7046B"/>
    <w:rsid w:val="00F761F5"/>
    <w:rsid w:val="00F853A4"/>
    <w:rsid w:val="00F85EFF"/>
    <w:rsid w:val="00F86786"/>
    <w:rsid w:val="00F919AD"/>
    <w:rsid w:val="00F91A8E"/>
    <w:rsid w:val="00F92CBA"/>
    <w:rsid w:val="00FA17B1"/>
    <w:rsid w:val="00FA4922"/>
    <w:rsid w:val="00FC560B"/>
    <w:rsid w:val="00FC7686"/>
    <w:rsid w:val="00FC79B8"/>
    <w:rsid w:val="00FD18F3"/>
    <w:rsid w:val="00FD3906"/>
    <w:rsid w:val="00FD545D"/>
    <w:rsid w:val="00FD7B64"/>
    <w:rsid w:val="00FE205E"/>
    <w:rsid w:val="00FE26BB"/>
    <w:rsid w:val="00FF567E"/>
    <w:rsid w:val="043E0841"/>
    <w:rsid w:val="0C71387C"/>
    <w:rsid w:val="0F7973B9"/>
    <w:rsid w:val="0FFF3983"/>
    <w:rsid w:val="12D321A7"/>
    <w:rsid w:val="13AE3263"/>
    <w:rsid w:val="18C436F4"/>
    <w:rsid w:val="1BFB16CB"/>
    <w:rsid w:val="1CAA44E5"/>
    <w:rsid w:val="215E60EB"/>
    <w:rsid w:val="22733DCC"/>
    <w:rsid w:val="22975647"/>
    <w:rsid w:val="22C17E49"/>
    <w:rsid w:val="24035C03"/>
    <w:rsid w:val="24DA1F2B"/>
    <w:rsid w:val="26966A45"/>
    <w:rsid w:val="28AD3692"/>
    <w:rsid w:val="2BC54C39"/>
    <w:rsid w:val="35196FAB"/>
    <w:rsid w:val="35465E0A"/>
    <w:rsid w:val="378F1E9B"/>
    <w:rsid w:val="41E322AE"/>
    <w:rsid w:val="45FC0EE5"/>
    <w:rsid w:val="47770656"/>
    <w:rsid w:val="48C35096"/>
    <w:rsid w:val="49ED4BCB"/>
    <w:rsid w:val="4F4459F4"/>
    <w:rsid w:val="54FF1E1C"/>
    <w:rsid w:val="5AA9513B"/>
    <w:rsid w:val="666C3C05"/>
    <w:rsid w:val="68682254"/>
    <w:rsid w:val="6A84067E"/>
    <w:rsid w:val="6E083960"/>
    <w:rsid w:val="73C37216"/>
    <w:rsid w:val="747A3DB3"/>
    <w:rsid w:val="76DE0D3D"/>
    <w:rsid w:val="7F893F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rules v:ext="edit">
        <o:r id="V:Rule1" type="connector" idref="#_x0000_s31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6"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jc w:val="center"/>
      <w:outlineLvl w:val="0"/>
    </w:pPr>
    <w:rPr>
      <w:rFonts w:ascii="仿宋_GB2312" w:eastAsia="仿宋_GB2312"/>
    </w:rPr>
  </w:style>
  <w:style w:type="paragraph" w:styleId="4">
    <w:name w:val="heading 2"/>
    <w:basedOn w:val="1"/>
    <w:next w:val="1"/>
    <w:link w:val="38"/>
    <w:qFormat/>
    <w:uiPriority w:val="6"/>
    <w:pPr>
      <w:keepNext/>
      <w:widowControl/>
      <w:spacing w:line="360" w:lineRule="auto"/>
      <w:jc w:val="left"/>
      <w:outlineLvl w:val="1"/>
    </w:pPr>
    <w:rPr>
      <w:b/>
      <w:kern w:val="0"/>
      <w:sz w:val="30"/>
    </w:rPr>
  </w:style>
  <w:style w:type="paragraph" w:styleId="5">
    <w:name w:val="heading 4"/>
    <w:basedOn w:val="1"/>
    <w:next w:val="6"/>
    <w:unhideWhenUsed/>
    <w:qFormat/>
    <w:uiPriority w:val="9"/>
    <w:pPr>
      <w:keepNext/>
      <w:keepLines/>
      <w:ind w:firstLine="0" w:firstLineChars="0"/>
      <w:outlineLvl w:val="3"/>
    </w:pPr>
    <w:rPr>
      <w:b/>
      <w:bCs/>
      <w:szCs w:val="28"/>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41"/>
    <w:unhideWhenUsed/>
    <w:qFormat/>
    <w:uiPriority w:val="99"/>
    <w:pPr>
      <w:spacing w:after="120"/>
      <w:ind w:left="420" w:leftChars="200"/>
    </w:pPr>
  </w:style>
  <w:style w:type="paragraph" w:styleId="6">
    <w:name w:val="Normal Indent"/>
    <w:basedOn w:val="1"/>
    <w:link w:val="37"/>
    <w:unhideWhenUsed/>
    <w:qFormat/>
    <w:uiPriority w:val="0"/>
    <w:pPr>
      <w:adjustRightInd w:val="0"/>
      <w:spacing w:line="360" w:lineRule="auto"/>
      <w:ind w:firstLine="200" w:firstLineChars="200"/>
    </w:pPr>
    <w:rPr>
      <w:kern w:val="0"/>
      <w:sz w:val="28"/>
    </w:rPr>
  </w:style>
  <w:style w:type="paragraph" w:styleId="7">
    <w:name w:val="annotation subject"/>
    <w:basedOn w:val="8"/>
    <w:next w:val="8"/>
    <w:link w:val="60"/>
    <w:unhideWhenUsed/>
    <w:qFormat/>
    <w:uiPriority w:val="99"/>
    <w:rPr>
      <w:b/>
      <w:bCs/>
    </w:rPr>
  </w:style>
  <w:style w:type="paragraph" w:styleId="8">
    <w:name w:val="annotation text"/>
    <w:basedOn w:val="1"/>
    <w:link w:val="59"/>
    <w:unhideWhenUsed/>
    <w:qFormat/>
    <w:uiPriority w:val="99"/>
    <w:pPr>
      <w:jc w:val="left"/>
    </w:pPr>
  </w:style>
  <w:style w:type="paragraph" w:styleId="9">
    <w:name w:val="Body Text First Indent"/>
    <w:basedOn w:val="10"/>
    <w:unhideWhenUsed/>
    <w:qFormat/>
    <w:uiPriority w:val="99"/>
    <w:pPr>
      <w:spacing w:line="240" w:lineRule="atLeast"/>
      <w:ind w:firstLine="567" w:firstLineChars="200"/>
    </w:pPr>
    <w:rPr>
      <w:bCs/>
      <w:color w:val="FF0000"/>
      <w:kern w:val="0"/>
      <w:sz w:val="32"/>
    </w:rPr>
  </w:style>
  <w:style w:type="paragraph" w:styleId="10">
    <w:name w:val="Body Text"/>
    <w:basedOn w:val="1"/>
    <w:link w:val="31"/>
    <w:unhideWhenUsed/>
    <w:qFormat/>
    <w:uiPriority w:val="99"/>
    <w:pPr>
      <w:spacing w:after="120"/>
    </w:pPr>
  </w:style>
  <w:style w:type="paragraph" w:styleId="11">
    <w:name w:val="Body Text 3"/>
    <w:basedOn w:val="1"/>
    <w:link w:val="30"/>
    <w:unhideWhenUsed/>
    <w:qFormat/>
    <w:uiPriority w:val="99"/>
    <w:pPr>
      <w:spacing w:after="120"/>
    </w:pPr>
    <w:rPr>
      <w:sz w:val="16"/>
      <w:szCs w:val="16"/>
    </w:rPr>
  </w:style>
  <w:style w:type="paragraph" w:styleId="12">
    <w:name w:val="Block Text"/>
    <w:basedOn w:val="1"/>
    <w:next w:val="1"/>
    <w:unhideWhenUsed/>
    <w:qFormat/>
    <w:uiPriority w:val="99"/>
    <w:pPr>
      <w:spacing w:after="120"/>
      <w:ind w:left="1440" w:leftChars="700" w:right="1440" w:rightChars="700"/>
    </w:pPr>
  </w:style>
  <w:style w:type="paragraph" w:styleId="13">
    <w:name w:val="Plain Text"/>
    <w:basedOn w:val="1"/>
    <w:link w:val="47"/>
    <w:qFormat/>
    <w:uiPriority w:val="0"/>
    <w:rPr>
      <w:rFonts w:ascii="宋体" w:hAnsi="Courier New" w:cs="Courier New"/>
      <w:szCs w:val="21"/>
    </w:rPr>
  </w:style>
  <w:style w:type="paragraph" w:styleId="14">
    <w:name w:val="List Bullet 5"/>
    <w:basedOn w:val="1"/>
    <w:unhideWhenUsed/>
    <w:qFormat/>
    <w:uiPriority w:val="99"/>
    <w:pPr>
      <w:numPr>
        <w:ilvl w:val="0"/>
        <w:numId w:val="1"/>
      </w:numPr>
    </w:pPr>
  </w:style>
  <w:style w:type="paragraph" w:styleId="15">
    <w:name w:val="Body Text Indent 2"/>
    <w:basedOn w:val="1"/>
    <w:link w:val="29"/>
    <w:qFormat/>
    <w:uiPriority w:val="0"/>
    <w:pPr>
      <w:spacing w:line="288" w:lineRule="auto"/>
      <w:ind w:firstLine="495"/>
    </w:pPr>
    <w:rPr>
      <w:rFonts w:ascii="宋体"/>
      <w:color w:val="FF0000"/>
      <w:sz w:val="24"/>
    </w:rPr>
  </w:style>
  <w:style w:type="paragraph" w:styleId="16">
    <w:name w:val="Balloon Text"/>
    <w:basedOn w:val="1"/>
    <w:link w:val="52"/>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0"/>
    <w:pPr>
      <w:spacing w:line="360" w:lineRule="auto"/>
      <w:jc w:val="left"/>
    </w:pPr>
    <w:rPr>
      <w:rFonts w:cs="Calibri"/>
      <w:b/>
      <w:bCs/>
      <w:caps/>
      <w:sz w:val="30"/>
    </w:rPr>
  </w:style>
  <w:style w:type="paragraph" w:styleId="20">
    <w:name w:val="toc 2"/>
    <w:basedOn w:val="1"/>
    <w:next w:val="1"/>
    <w:unhideWhenUsed/>
    <w:qFormat/>
    <w:uiPriority w:val="39"/>
    <w:pPr>
      <w:spacing w:line="360" w:lineRule="auto"/>
      <w:ind w:firstLine="200" w:firstLineChars="200"/>
      <w:jc w:val="left"/>
    </w:pPr>
    <w:rPr>
      <w:rFonts w:cs="Calibri"/>
      <w:smallCaps/>
      <w:sz w:val="28"/>
    </w:rPr>
  </w:style>
  <w:style w:type="paragraph" w:styleId="21">
    <w:name w:val="Body Text 2"/>
    <w:basedOn w:val="1"/>
    <w:link w:val="32"/>
    <w:qFormat/>
    <w:uiPriority w:val="0"/>
    <w:pPr>
      <w:spacing w:after="120" w:line="480" w:lineRule="auto"/>
    </w:pPr>
    <w:rPr>
      <w:szCs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22"/>
    <w:rPr>
      <w:b/>
      <w:bCs/>
    </w:rPr>
  </w:style>
  <w:style w:type="character" w:styleId="25">
    <w:name w:val="Hyperlink"/>
    <w:qFormat/>
    <w:uiPriority w:val="0"/>
    <w:rPr>
      <w:color w:val="0000CC"/>
      <w:u w:val="single"/>
    </w:rPr>
  </w:style>
  <w:style w:type="character" w:styleId="26">
    <w:name w:val="annotation reference"/>
    <w:semiHidden/>
    <w:qFormat/>
    <w:uiPriority w:val="0"/>
    <w:rPr>
      <w:sz w:val="21"/>
      <w:szCs w:val="21"/>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正文文本缩进 2 Char"/>
    <w:basedOn w:val="23"/>
    <w:link w:val="15"/>
    <w:qFormat/>
    <w:uiPriority w:val="0"/>
    <w:rPr>
      <w:rFonts w:ascii="宋体" w:hAnsi="Times New Roman" w:eastAsia="宋体" w:cs="Times New Roman"/>
      <w:color w:val="FF0000"/>
      <w:sz w:val="24"/>
      <w:szCs w:val="20"/>
    </w:rPr>
  </w:style>
  <w:style w:type="character" w:customStyle="1" w:styleId="30">
    <w:name w:val="正文文本 3 Char"/>
    <w:basedOn w:val="23"/>
    <w:link w:val="11"/>
    <w:semiHidden/>
    <w:qFormat/>
    <w:uiPriority w:val="99"/>
    <w:rPr>
      <w:rFonts w:ascii="Times New Roman" w:hAnsi="Times New Roman" w:eastAsia="宋体" w:cs="Times New Roman"/>
      <w:sz w:val="16"/>
      <w:szCs w:val="16"/>
    </w:rPr>
  </w:style>
  <w:style w:type="character" w:customStyle="1" w:styleId="31">
    <w:name w:val="正文文本 Char"/>
    <w:basedOn w:val="23"/>
    <w:link w:val="10"/>
    <w:qFormat/>
    <w:uiPriority w:val="99"/>
    <w:rPr>
      <w:rFonts w:ascii="Times New Roman" w:hAnsi="Times New Roman" w:eastAsia="宋体" w:cs="Times New Roman"/>
      <w:szCs w:val="20"/>
    </w:rPr>
  </w:style>
  <w:style w:type="character" w:customStyle="1" w:styleId="32">
    <w:name w:val="正文文本 2 Char"/>
    <w:basedOn w:val="23"/>
    <w:link w:val="21"/>
    <w:qFormat/>
    <w:uiPriority w:val="0"/>
    <w:rPr>
      <w:rFonts w:ascii="Times New Roman" w:hAnsi="Times New Roman" w:eastAsia="宋体" w:cs="Times New Roman"/>
      <w:szCs w:val="24"/>
    </w:rPr>
  </w:style>
  <w:style w:type="character" w:customStyle="1" w:styleId="33">
    <w:name w:val="页眉 Char"/>
    <w:basedOn w:val="23"/>
    <w:link w:val="18"/>
    <w:qFormat/>
    <w:uiPriority w:val="99"/>
    <w:rPr>
      <w:rFonts w:ascii="Times New Roman" w:hAnsi="Times New Roman" w:eastAsia="宋体" w:cs="Times New Roman"/>
      <w:sz w:val="18"/>
      <w:szCs w:val="18"/>
    </w:rPr>
  </w:style>
  <w:style w:type="character" w:customStyle="1" w:styleId="34">
    <w:name w:val="页脚 Char"/>
    <w:basedOn w:val="23"/>
    <w:link w:val="17"/>
    <w:qFormat/>
    <w:uiPriority w:val="99"/>
    <w:rPr>
      <w:rFonts w:ascii="Times New Roman" w:hAnsi="Times New Roman" w:eastAsia="宋体" w:cs="Times New Roman"/>
      <w:sz w:val="18"/>
      <w:szCs w:val="18"/>
    </w:rPr>
  </w:style>
  <w:style w:type="paragraph" w:customStyle="1" w:styleId="35">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6">
    <w:name w:val="apple-converted-space"/>
    <w:basedOn w:val="23"/>
    <w:qFormat/>
    <w:uiPriority w:val="0"/>
  </w:style>
  <w:style w:type="character" w:customStyle="1" w:styleId="37">
    <w:name w:val="正文缩进 Char"/>
    <w:basedOn w:val="23"/>
    <w:link w:val="6"/>
    <w:qFormat/>
    <w:uiPriority w:val="0"/>
    <w:rPr>
      <w:rFonts w:ascii="Times New Roman" w:hAnsi="Times New Roman" w:eastAsia="宋体" w:cs="Times New Roman"/>
      <w:kern w:val="0"/>
      <w:sz w:val="28"/>
      <w:szCs w:val="20"/>
    </w:rPr>
  </w:style>
  <w:style w:type="character" w:customStyle="1" w:styleId="38">
    <w:name w:val="标题 2 Char"/>
    <w:basedOn w:val="23"/>
    <w:link w:val="4"/>
    <w:qFormat/>
    <w:uiPriority w:val="6"/>
    <w:rPr>
      <w:rFonts w:ascii="Times New Roman" w:hAnsi="Times New Roman" w:eastAsia="宋体" w:cs="Times New Roman"/>
      <w:b/>
      <w:kern w:val="0"/>
      <w:sz w:val="30"/>
      <w:szCs w:val="20"/>
    </w:rPr>
  </w:style>
  <w:style w:type="character" w:customStyle="1" w:styleId="39">
    <w:name w:val="Char Char"/>
    <w:qFormat/>
    <w:uiPriority w:val="0"/>
    <w:rPr>
      <w:rFonts w:eastAsia="宋体"/>
      <w:kern w:val="2"/>
      <w:sz w:val="24"/>
      <w:lang w:val="en-US" w:eastAsia="zh-CN" w:bidi="ar-SA"/>
    </w:rPr>
  </w:style>
  <w:style w:type="paragraph" w:customStyle="1" w:styleId="40">
    <w:name w:val="列出段落1"/>
    <w:basedOn w:val="1"/>
    <w:next w:val="1"/>
    <w:qFormat/>
    <w:uiPriority w:val="0"/>
    <w:pPr>
      <w:spacing w:line="200" w:lineRule="atLeast"/>
      <w:jc w:val="center"/>
    </w:pPr>
    <w:rPr>
      <w:szCs w:val="22"/>
    </w:rPr>
  </w:style>
  <w:style w:type="character" w:customStyle="1" w:styleId="41">
    <w:name w:val="正文文本缩进 Char"/>
    <w:basedOn w:val="23"/>
    <w:link w:val="2"/>
    <w:semiHidden/>
    <w:qFormat/>
    <w:uiPriority w:val="99"/>
    <w:rPr>
      <w:rFonts w:ascii="Times New Roman" w:hAnsi="Times New Roman" w:eastAsia="宋体" w:cs="Times New Roman"/>
      <w:szCs w:val="20"/>
    </w:rPr>
  </w:style>
  <w:style w:type="character" w:customStyle="1" w:styleId="42">
    <w:name w:val="常用正文样式 Char1"/>
    <w:link w:val="43"/>
    <w:qFormat/>
    <w:uiPriority w:val="0"/>
    <w:rPr>
      <w:rFonts w:ascii="宋体" w:hAnsi="宋体" w:cs="宋体"/>
      <w:bCs/>
      <w:kern w:val="28"/>
      <w:sz w:val="24"/>
    </w:rPr>
  </w:style>
  <w:style w:type="paragraph" w:customStyle="1" w:styleId="43">
    <w:name w:val="常用正文样式"/>
    <w:basedOn w:val="1"/>
    <w:link w:val="42"/>
    <w:qFormat/>
    <w:uiPriority w:val="0"/>
    <w:pPr>
      <w:spacing w:line="360" w:lineRule="auto"/>
      <w:ind w:firstLine="480" w:firstLineChars="200"/>
    </w:pPr>
    <w:rPr>
      <w:rFonts w:ascii="宋体" w:hAnsi="宋体" w:cs="宋体" w:eastAsiaTheme="minorEastAsia"/>
      <w:bCs/>
      <w:kern w:val="28"/>
      <w:sz w:val="24"/>
      <w:szCs w:val="22"/>
    </w:rPr>
  </w:style>
  <w:style w:type="paragraph" w:customStyle="1" w:styleId="44">
    <w:name w:val="Char"/>
    <w:basedOn w:val="1"/>
    <w:qFormat/>
    <w:uiPriority w:val="0"/>
    <w:pPr>
      <w:snapToGrid w:val="0"/>
      <w:spacing w:line="360" w:lineRule="auto"/>
      <w:ind w:firstLine="529" w:firstLineChars="200"/>
    </w:pPr>
    <w:rPr>
      <w:rFonts w:ascii="宋体" w:hAnsi="宋体"/>
      <w:b/>
      <w:sz w:val="28"/>
      <w:szCs w:val="24"/>
    </w:rPr>
  </w:style>
  <w:style w:type="paragraph" w:customStyle="1" w:styleId="45">
    <w:name w:val="style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style5"/>
    <w:basedOn w:val="1"/>
    <w:qFormat/>
    <w:uiPriority w:val="0"/>
    <w:pPr>
      <w:widowControl/>
      <w:spacing w:before="100" w:beforeAutospacing="1" w:after="100" w:afterAutospacing="1"/>
      <w:jc w:val="left"/>
    </w:pPr>
    <w:rPr>
      <w:rFonts w:ascii="宋体" w:hAnsi="宋体" w:cs="宋体"/>
      <w:color w:val="666666"/>
      <w:kern w:val="0"/>
      <w:sz w:val="18"/>
      <w:szCs w:val="18"/>
    </w:rPr>
  </w:style>
  <w:style w:type="character" w:customStyle="1" w:styleId="47">
    <w:name w:val="纯文本 Char"/>
    <w:basedOn w:val="23"/>
    <w:link w:val="13"/>
    <w:qFormat/>
    <w:uiPriority w:val="0"/>
    <w:rPr>
      <w:rFonts w:ascii="宋体" w:hAnsi="Courier New" w:eastAsia="宋体" w:cs="Courier New"/>
      <w:szCs w:val="21"/>
    </w:rPr>
  </w:style>
  <w:style w:type="character" w:customStyle="1" w:styleId="48">
    <w:name w:val="正文缩进 Char1"/>
    <w:basedOn w:val="23"/>
    <w:qFormat/>
    <w:uiPriority w:val="0"/>
    <w:rPr>
      <w:rFonts w:eastAsia="Arial Unicode MS"/>
      <w:kern w:val="2"/>
      <w:sz w:val="21"/>
      <w:lang w:val="en-US" w:eastAsia="zh-CN" w:bidi="ar-SA"/>
    </w:rPr>
  </w:style>
  <w:style w:type="paragraph" w:customStyle="1" w:styleId="49">
    <w:name w:val="表中文字"/>
    <w:qFormat/>
    <w:uiPriority w:val="0"/>
    <w:pPr>
      <w:widowControl w:val="0"/>
      <w:spacing w:line="320" w:lineRule="exact"/>
      <w:ind w:right="105" w:rightChars="50"/>
      <w:jc w:val="center"/>
    </w:pPr>
    <w:rPr>
      <w:rFonts w:ascii="Times New Roman" w:hAnsi="Times New Roman" w:eastAsia="宋体" w:cs="Times New Roman"/>
      <w:bCs/>
      <w:sz w:val="21"/>
      <w:szCs w:val="24"/>
      <w:lang w:val="en-US" w:eastAsia="zh-CN" w:bidi="ar-SA"/>
    </w:rPr>
  </w:style>
  <w:style w:type="paragraph" w:customStyle="1" w:styleId="50">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paragraph" w:customStyle="1" w:styleId="51">
    <w:name w:val="Char Char1"/>
    <w:basedOn w:val="1"/>
    <w:qFormat/>
    <w:uiPriority w:val="0"/>
    <w:pPr>
      <w:snapToGrid w:val="0"/>
      <w:spacing w:line="360" w:lineRule="auto"/>
      <w:ind w:firstLine="529" w:firstLineChars="200"/>
    </w:pPr>
    <w:rPr>
      <w:rFonts w:ascii="宋体" w:hAnsi="宋体"/>
      <w:b/>
      <w:szCs w:val="24"/>
    </w:rPr>
  </w:style>
  <w:style w:type="character" w:customStyle="1" w:styleId="52">
    <w:name w:val="批注框文本 Char"/>
    <w:basedOn w:val="23"/>
    <w:link w:val="16"/>
    <w:semiHidden/>
    <w:qFormat/>
    <w:uiPriority w:val="99"/>
    <w:rPr>
      <w:rFonts w:ascii="Times New Roman" w:hAnsi="Times New Roman" w:eastAsia="宋体" w:cs="Times New Roman"/>
      <w:sz w:val="18"/>
      <w:szCs w:val="18"/>
    </w:rPr>
  </w:style>
  <w:style w:type="paragraph" w:customStyle="1" w:styleId="53">
    <w:name w:val="正文缩进1"/>
    <w:basedOn w:val="1"/>
    <w:qFormat/>
    <w:uiPriority w:val="0"/>
    <w:rPr>
      <w:rFonts w:hint="eastAsia"/>
      <w:sz w:val="28"/>
    </w:rPr>
  </w:style>
  <w:style w:type="paragraph" w:customStyle="1" w:styleId="54">
    <w:name w:val="表格标题1"/>
    <w:basedOn w:val="1"/>
    <w:qFormat/>
    <w:uiPriority w:val="0"/>
    <w:pPr>
      <w:adjustRightInd w:val="0"/>
      <w:snapToGrid w:val="0"/>
      <w:jc w:val="center"/>
    </w:pPr>
    <w:rPr>
      <w:rFonts w:eastAsia="黑体"/>
      <w:b/>
      <w:kern w:val="0"/>
      <w:sz w:val="24"/>
      <w:szCs w:val="21"/>
    </w:rPr>
  </w:style>
  <w:style w:type="paragraph" w:customStyle="1" w:styleId="55">
    <w:name w:val="表格文字"/>
    <w:basedOn w:val="1"/>
    <w:next w:val="1"/>
    <w:qFormat/>
    <w:uiPriority w:val="0"/>
    <w:pPr>
      <w:adjustRightInd w:val="0"/>
      <w:snapToGrid w:val="0"/>
      <w:jc w:val="center"/>
    </w:pPr>
  </w:style>
  <w:style w:type="paragraph" w:customStyle="1" w:styleId="56">
    <w:name w:val="一级标题"/>
    <w:qFormat/>
    <w:uiPriority w:val="0"/>
    <w:pPr>
      <w:snapToGrid w:val="0"/>
      <w:spacing w:line="360" w:lineRule="auto"/>
      <w:outlineLvl w:val="0"/>
    </w:pPr>
    <w:rPr>
      <w:rFonts w:hint="eastAsia" w:ascii="Times New Roman" w:hAnsi="Times New Roman" w:eastAsia="黑体" w:cs="Times New Roman"/>
      <w:sz w:val="30"/>
      <w:szCs w:val="22"/>
      <w:lang w:val="en-US" w:eastAsia="zh-CN" w:bidi="ar-SA"/>
    </w:rPr>
  </w:style>
  <w:style w:type="character" w:customStyle="1" w:styleId="57">
    <w:name w:val="15"/>
    <w:basedOn w:val="23"/>
    <w:qFormat/>
    <w:uiPriority w:val="0"/>
    <w:rPr>
      <w:rFonts w:hint="default" w:ascii="Times New Roman" w:hAnsi="Times New Roman" w:cs="Times New Roman"/>
    </w:rPr>
  </w:style>
  <w:style w:type="paragraph" w:customStyle="1" w:styleId="58">
    <w:name w:val="铭洁正文首行段前"/>
    <w:basedOn w:val="1"/>
    <w:qFormat/>
    <w:uiPriority w:val="0"/>
    <w:pPr>
      <w:widowControl/>
      <w:spacing w:before="240" w:after="20" w:line="420" w:lineRule="auto"/>
      <w:ind w:firstLine="200" w:firstLineChars="200"/>
    </w:pPr>
    <w:rPr>
      <w:rFonts w:cs="宋体"/>
      <w:color w:val="6600FF"/>
      <w:sz w:val="24"/>
    </w:rPr>
  </w:style>
  <w:style w:type="character" w:customStyle="1" w:styleId="59">
    <w:name w:val="批注文字 Char"/>
    <w:basedOn w:val="23"/>
    <w:link w:val="8"/>
    <w:semiHidden/>
    <w:qFormat/>
    <w:uiPriority w:val="99"/>
    <w:rPr>
      <w:rFonts w:ascii="Times New Roman" w:hAnsi="Times New Roman" w:eastAsia="宋体" w:cs="Times New Roman"/>
      <w:kern w:val="2"/>
      <w:sz w:val="21"/>
    </w:rPr>
  </w:style>
  <w:style w:type="character" w:customStyle="1" w:styleId="60">
    <w:name w:val="批注主题 Char"/>
    <w:basedOn w:val="59"/>
    <w:link w:val="7"/>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1"/>
    <customShpInfo spid="_x0000_s2052"/>
    <customShpInfo spid="_x0000_s2053"/>
    <customShpInfo spid="_x0000_s3149"/>
    <customShpInfo spid="_x0000_s3150"/>
    <customShpInfo spid="_x0000_s3151"/>
    <customShpInfo spid="_x0000_s3152"/>
    <customShpInfo spid="_x0000_s3153"/>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80"/>
    <customShpInfo spid="_x0000_s3181"/>
    <customShpInfo spid="_x0000_s3182"/>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0287C-118C-4E7E-A34B-58B865BAA516}">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32</Pages>
  <Words>3586</Words>
  <Characters>20443</Characters>
  <Lines>170</Lines>
  <Paragraphs>47</Paragraphs>
  <ScaleCrop>false</ScaleCrop>
  <LinksUpToDate>false</LinksUpToDate>
  <CharactersWithSpaces>23982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2017-07-07T10:27:00Z</dcterms:created>
  <dc:creator>Windows 用户</dc:creator>
  <cp:lastModifiedBy>Administrator</cp:lastModifiedBy>
  <cp:lastPrinted>2018-04-28T04:26:00Z</cp:lastPrinted>
  <dcterms:modified xsi:type="dcterms:W3CDTF">2020-09-16T04:14:29Z</dcterms:modified>
  <cp:revision>648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