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b/>
          <w:sz w:val="72"/>
        </w:rPr>
      </w:pPr>
      <w:bookmarkStart w:id="2" w:name="_GoBack"/>
      <w:bookmarkEnd w:id="2"/>
      <w:r>
        <w:rPr>
          <w:sz w:val="72"/>
        </w:rPr>
        <mc:AlternateContent>
          <mc:Choice Requires="wps">
            <w:drawing>
              <wp:anchor distT="0" distB="0" distL="114300" distR="114300" simplePos="0" relativeHeight="251698176" behindDoc="0" locked="0" layoutInCell="1" allowOverlap="1">
                <wp:simplePos x="0" y="0"/>
                <wp:positionH relativeFrom="column">
                  <wp:posOffset>5027930</wp:posOffset>
                </wp:positionH>
                <wp:positionV relativeFrom="paragraph">
                  <wp:posOffset>-23495</wp:posOffset>
                </wp:positionV>
                <wp:extent cx="771525" cy="2952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6080125" y="620395"/>
                          <a:ext cx="77152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bCs/>
                                <w:sz w:val="24"/>
                                <w:szCs w:val="32"/>
                                <w:lang w:val="en-US" w:eastAsia="zh-CN"/>
                              </w:rPr>
                            </w:pPr>
                            <w:r>
                              <w:rPr>
                                <w:rFonts w:hint="eastAsia"/>
                                <w:b/>
                                <w:bCs/>
                                <w:sz w:val="24"/>
                                <w:szCs w:val="32"/>
                                <w:lang w:val="en-US" w:eastAsia="zh-CN"/>
                              </w:rPr>
                              <w:t>报批版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9pt;margin-top:-1.85pt;height:23.25pt;width:60.75pt;z-index:251698176;mso-width-relative:page;mso-height-relative:page;" fillcolor="#FFFFFF [3201]" filled="t" stroked="t" coordsize="21600,21600" o:gfxdata="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jfCnX1wAAAAkBAAAPAAAAAAAAAAEAIAAA&#10;ACIAAABkcnMvZG93bnJldi54bWxQSwECFAAUAAAACACHTuJAKMhWzUYCAABzBAAADgAAAAAAAAAB&#10;ACAAAAAmAQAAZHJzL2Uyb0RvYy54bWxQSwUGAAAAAAYABgBZAQAA3gUAAAAA&#10;">
                <v:fill on="t" focussize="0,0"/>
                <v:stroke weight="0.5pt" color="#000000 [3204]" joinstyle="round"/>
                <v:imagedata o:title=""/>
                <o:lock v:ext="edit" aspectratio="f"/>
                <v:textbox>
                  <w:txbxContent>
                    <w:p>
                      <w:pPr>
                        <w:jc w:val="center"/>
                        <w:rPr>
                          <w:rFonts w:hint="eastAsia" w:eastAsia="宋体"/>
                          <w:b/>
                          <w:bCs/>
                          <w:sz w:val="24"/>
                          <w:szCs w:val="32"/>
                          <w:lang w:val="en-US" w:eastAsia="zh-CN"/>
                        </w:rPr>
                      </w:pPr>
                      <w:r>
                        <w:rPr>
                          <w:rFonts w:hint="eastAsia"/>
                          <w:b/>
                          <w:bCs/>
                          <w:sz w:val="24"/>
                          <w:szCs w:val="32"/>
                          <w:lang w:val="en-US" w:eastAsia="zh-CN"/>
                        </w:rPr>
                        <w:t>报批版</w:t>
                      </w:r>
                    </w:p>
                  </w:txbxContent>
                </v:textbox>
              </v:shape>
            </w:pict>
          </mc:Fallback>
        </mc:AlternateContent>
      </w:r>
    </w:p>
    <w:p/>
    <w:p>
      <w:pPr>
        <w:pStyle w:val="2"/>
      </w:pPr>
    </w:p>
    <w:p>
      <w:pPr>
        <w:pStyle w:val="2"/>
      </w:pPr>
    </w:p>
    <w:p>
      <w:pPr>
        <w:spacing w:line="360" w:lineRule="auto"/>
        <w:jc w:val="center"/>
        <w:rPr>
          <w:b/>
          <w:sz w:val="72"/>
        </w:rPr>
      </w:pPr>
      <w:r>
        <w:rPr>
          <w:b/>
          <w:sz w:val="72"/>
        </w:rPr>
        <w:t>建设项目环境影响报告表</w:t>
      </w:r>
    </w:p>
    <w:p>
      <w:pPr>
        <w:ind w:firstLine="643"/>
        <w:jc w:val="center"/>
        <w:rPr>
          <w:b/>
          <w:sz w:val="32"/>
        </w:rPr>
      </w:pPr>
      <w:r>
        <w:rPr>
          <w:b/>
          <w:sz w:val="32"/>
        </w:rPr>
        <w:t>（污染影响类）</w:t>
      </w:r>
    </w:p>
    <w:p>
      <w:pPr>
        <w:ind w:firstLine="640"/>
        <w:rPr>
          <w:sz w:val="32"/>
        </w:rPr>
      </w:pPr>
    </w:p>
    <w:p>
      <w:pPr>
        <w:rPr>
          <w:sz w:val="32"/>
        </w:rPr>
      </w:pPr>
    </w:p>
    <w:p>
      <w:pPr>
        <w:pStyle w:val="6"/>
        <w:numPr>
          <w:ilvl w:val="0"/>
          <w:numId w:val="0"/>
        </w:numPr>
        <w:ind w:left="420" w:leftChars="200"/>
      </w:pPr>
    </w:p>
    <w:p>
      <w:pPr>
        <w:rPr>
          <w:sz w:val="32"/>
        </w:rPr>
      </w:pPr>
    </w:p>
    <w:p>
      <w:pPr>
        <w:pStyle w:val="6"/>
        <w:numPr>
          <w:ilvl w:val="0"/>
          <w:numId w:val="0"/>
        </w:numPr>
        <w:ind w:left="420" w:leftChars="200"/>
      </w:pPr>
    </w:p>
    <w:p/>
    <w:p>
      <w:pPr>
        <w:ind w:firstLine="480"/>
      </w:pPr>
    </w:p>
    <w:p>
      <w:pPr>
        <w:pStyle w:val="6"/>
        <w:numPr>
          <w:ilvl w:val="0"/>
          <w:numId w:val="0"/>
        </w:numPr>
        <w:ind w:left="420" w:leftChars="200"/>
      </w:pPr>
    </w:p>
    <w:p>
      <w:pPr>
        <w:ind w:firstLine="480"/>
      </w:pPr>
    </w:p>
    <w:p>
      <w:pPr>
        <w:ind w:firstLine="640"/>
        <w:rPr>
          <w:sz w:val="32"/>
        </w:rPr>
      </w:pPr>
    </w:p>
    <w:p>
      <w:pPr>
        <w:spacing w:line="480" w:lineRule="auto"/>
        <w:ind w:firstLine="1405" w:firstLineChars="500"/>
        <w:rPr>
          <w:b/>
          <w:sz w:val="28"/>
          <w:szCs w:val="28"/>
          <w:u w:val="single"/>
        </w:rPr>
      </w:pPr>
    </w:p>
    <w:p>
      <w:pPr>
        <w:spacing w:line="480" w:lineRule="auto"/>
        <w:ind w:firstLine="1405" w:firstLineChars="500"/>
        <w:rPr>
          <w:b/>
          <w:sz w:val="28"/>
          <w:szCs w:val="28"/>
          <w:u w:val="single"/>
        </w:rPr>
      </w:pPr>
    </w:p>
    <w:p>
      <w:pPr>
        <w:pStyle w:val="6"/>
        <w:numPr>
          <w:ilvl w:val="0"/>
          <w:numId w:val="0"/>
        </w:numPr>
        <w:ind w:left="420" w:leftChars="200"/>
        <w:rPr>
          <w:sz w:val="28"/>
          <w:szCs w:val="28"/>
          <w:u w:val="single"/>
        </w:rPr>
      </w:pPr>
    </w:p>
    <w:p>
      <w:pPr>
        <w:rPr>
          <w:b/>
          <w:sz w:val="28"/>
          <w:szCs w:val="28"/>
          <w:u w:val="single"/>
        </w:rPr>
      </w:pPr>
    </w:p>
    <w:p>
      <w:pPr>
        <w:pStyle w:val="6"/>
        <w:numPr>
          <w:ilvl w:val="0"/>
          <w:numId w:val="0"/>
        </w:numPr>
        <w:ind w:left="420" w:leftChars="200"/>
      </w:pPr>
    </w:p>
    <w:p>
      <w:pPr>
        <w:spacing w:line="480" w:lineRule="auto"/>
        <w:ind w:firstLine="1405" w:firstLineChars="500"/>
        <w:jc w:val="center"/>
        <w:rPr>
          <w:b/>
          <w:sz w:val="28"/>
          <w:szCs w:val="28"/>
          <w:u w:val="single"/>
        </w:rPr>
      </w:pPr>
    </w:p>
    <w:p>
      <w:pPr>
        <w:spacing w:line="480" w:lineRule="auto"/>
        <w:ind w:firstLine="1124" w:firstLineChars="400"/>
        <w:jc w:val="left"/>
        <w:rPr>
          <w:b/>
          <w:sz w:val="28"/>
          <w:szCs w:val="28"/>
          <w:u w:val="single"/>
        </w:rPr>
      </w:pPr>
      <w:r>
        <w:rPr>
          <w:b/>
          <w:sz w:val="28"/>
          <w:szCs w:val="28"/>
          <w:u w:val="single"/>
        </w:rPr>
        <w:t>项目名称：</w:t>
      </w:r>
      <w:r>
        <w:rPr>
          <w:rFonts w:hint="eastAsia"/>
          <w:b/>
          <w:sz w:val="28"/>
          <w:szCs w:val="28"/>
          <w:u w:val="single"/>
        </w:rPr>
        <w:t>河南达恒科技有限公司年产1万套办公家具项目</w:t>
      </w:r>
    </w:p>
    <w:p>
      <w:pPr>
        <w:spacing w:line="480" w:lineRule="auto"/>
        <w:ind w:firstLine="1124" w:firstLineChars="400"/>
        <w:rPr>
          <w:b/>
          <w:sz w:val="28"/>
          <w:szCs w:val="28"/>
          <w:u w:val="single"/>
        </w:rPr>
      </w:pPr>
      <w:r>
        <w:rPr>
          <w:b/>
          <w:sz w:val="28"/>
          <w:szCs w:val="28"/>
          <w:u w:val="single"/>
        </w:rPr>
        <w:t>建设单位（盖章)：</w:t>
      </w:r>
      <w:r>
        <w:rPr>
          <w:rFonts w:hint="eastAsia"/>
          <w:b/>
          <w:sz w:val="28"/>
          <w:szCs w:val="28"/>
          <w:u w:val="single"/>
        </w:rPr>
        <w:t>河南达恒科技有限公司</w:t>
      </w:r>
    </w:p>
    <w:p>
      <w:pPr>
        <w:spacing w:line="480" w:lineRule="auto"/>
        <w:ind w:firstLine="1124" w:firstLineChars="400"/>
        <w:rPr>
          <w:sz w:val="30"/>
          <w:szCs w:val="30"/>
          <w:u w:val="single"/>
        </w:rPr>
      </w:pPr>
      <w:r>
        <w:rPr>
          <w:b/>
          <w:bCs/>
          <w:sz w:val="28"/>
          <w:szCs w:val="28"/>
        </w:rPr>
        <w:t>编制日期</w:t>
      </w:r>
      <w:r>
        <w:rPr>
          <w:sz w:val="28"/>
          <w:szCs w:val="28"/>
          <w:u w:val="single"/>
        </w:rPr>
        <w:t>：</w:t>
      </w:r>
      <w:r>
        <w:rPr>
          <w:rFonts w:hint="eastAsia"/>
          <w:sz w:val="28"/>
          <w:szCs w:val="28"/>
          <w:u w:val="single"/>
        </w:rPr>
        <w:t xml:space="preserve">         </w:t>
      </w:r>
      <w:r>
        <w:rPr>
          <w:b/>
          <w:sz w:val="28"/>
          <w:szCs w:val="28"/>
          <w:u w:val="single"/>
        </w:rPr>
        <w:t>202</w:t>
      </w:r>
      <w:r>
        <w:rPr>
          <w:rFonts w:hint="eastAsia"/>
          <w:b/>
          <w:sz w:val="28"/>
          <w:szCs w:val="28"/>
          <w:u w:val="single"/>
        </w:rPr>
        <w:t>2</w:t>
      </w:r>
      <w:r>
        <w:rPr>
          <w:b/>
          <w:sz w:val="28"/>
          <w:szCs w:val="28"/>
          <w:u w:val="single"/>
        </w:rPr>
        <w:t>年</w:t>
      </w:r>
      <w:r>
        <w:rPr>
          <w:rFonts w:hint="eastAsia"/>
          <w:b/>
          <w:sz w:val="28"/>
          <w:szCs w:val="28"/>
          <w:u w:val="single"/>
          <w:lang w:val="en-US" w:eastAsia="zh-CN"/>
        </w:rPr>
        <w:t>2</w:t>
      </w:r>
      <w:r>
        <w:rPr>
          <w:b/>
          <w:sz w:val="28"/>
          <w:szCs w:val="28"/>
          <w:u w:val="single"/>
        </w:rPr>
        <w:t>月</w:t>
      </w:r>
      <w:r>
        <w:rPr>
          <w:rFonts w:hint="eastAsia"/>
          <w:b/>
          <w:sz w:val="28"/>
          <w:szCs w:val="28"/>
          <w:u w:val="single"/>
        </w:rPr>
        <w:t xml:space="preserve">           </w:t>
      </w:r>
    </w:p>
    <w:p>
      <w:pPr>
        <w:ind w:firstLine="640"/>
        <w:rPr>
          <w:sz w:val="32"/>
        </w:rPr>
      </w:pPr>
    </w:p>
    <w:p>
      <w:pPr>
        <w:spacing w:before="120" w:beforeLines="50" w:after="120" w:afterLines="50"/>
        <w:ind w:firstLine="643"/>
        <w:rPr>
          <w:b/>
          <w:sz w:val="32"/>
        </w:rPr>
      </w:pPr>
      <w:r>
        <w:rPr>
          <w:b/>
          <w:sz w:val="32"/>
        </w:rPr>
        <w:t xml:space="preserve">  </w:t>
      </w:r>
    </w:p>
    <w:p>
      <w:pPr>
        <w:spacing w:before="120" w:beforeLines="50" w:after="120" w:afterLines="50"/>
        <w:jc w:val="center"/>
      </w:pPr>
      <w:r>
        <w:rPr>
          <w:b/>
          <w:sz w:val="32"/>
        </w:rPr>
        <w:t>中华人民共和国生态环境部</w:t>
      </w:r>
    </w:p>
    <w:p>
      <w:pPr>
        <w:rPr>
          <w:rFonts w:hint="eastAsia" w:eastAsia="宋体"/>
          <w:lang w:eastAsia="zh-CN"/>
        </w:rPr>
      </w:pPr>
      <w:r>
        <w:br w:type="page"/>
      </w:r>
    </w:p>
    <w:p>
      <w:pPr>
        <w:sectPr>
          <w:pgSz w:w="11906" w:h="16838"/>
          <w:pgMar w:top="1134" w:right="1417" w:bottom="1134" w:left="1417" w:header="851" w:footer="1077" w:gutter="0"/>
          <w:pgNumType w:fmt="numberInDash"/>
          <w:cols w:space="720" w:num="1"/>
          <w:docGrid w:linePitch="312" w:charSpace="0"/>
        </w:sectPr>
      </w:pPr>
    </w:p>
    <w:p>
      <w:pPr>
        <w:rPr>
          <w:rFonts w:eastAsia="黑体"/>
          <w:b/>
          <w:bCs/>
          <w:sz w:val="30"/>
          <w:szCs w:val="30"/>
        </w:rPr>
      </w:pPr>
      <w:r>
        <w:rPr>
          <w:rFonts w:eastAsia="黑体"/>
          <w:b/>
          <w:bCs/>
          <w:sz w:val="30"/>
          <w:szCs w:val="30"/>
        </w:rPr>
        <w:t>一、建设项目基本情况</w:t>
      </w:r>
    </w:p>
    <w:tbl>
      <w:tblPr>
        <w:tblStyle w:val="19"/>
        <w:tblW w:w="49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6"/>
        <w:gridCol w:w="1073"/>
        <w:gridCol w:w="2307"/>
        <w:gridCol w:w="1861"/>
        <w:gridCol w:w="3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建设项目名称</w:t>
            </w:r>
          </w:p>
        </w:tc>
        <w:tc>
          <w:tcPr>
            <w:tcW w:w="4050" w:type="pct"/>
            <w:gridSpan w:val="3"/>
            <w:vAlign w:val="center"/>
          </w:tcPr>
          <w:p>
            <w:pPr>
              <w:adjustRightInd w:val="0"/>
              <w:snapToGrid w:val="0"/>
              <w:spacing w:line="420" w:lineRule="exact"/>
              <w:jc w:val="center"/>
              <w:rPr>
                <w:sz w:val="24"/>
              </w:rPr>
            </w:pPr>
            <w:r>
              <w:rPr>
                <w:rFonts w:hint="eastAsia"/>
                <w:sz w:val="24"/>
              </w:rPr>
              <w:t>河南达恒科技有限公司年产1万套办公家具项目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项目代码</w:t>
            </w:r>
          </w:p>
        </w:tc>
        <w:tc>
          <w:tcPr>
            <w:tcW w:w="4050" w:type="pct"/>
            <w:gridSpan w:val="3"/>
            <w:vAlign w:val="center"/>
          </w:tcPr>
          <w:p>
            <w:pPr>
              <w:adjustRightInd w:val="0"/>
              <w:snapToGrid w:val="0"/>
              <w:spacing w:line="420" w:lineRule="exact"/>
              <w:jc w:val="center"/>
              <w:rPr>
                <w:sz w:val="24"/>
              </w:rPr>
            </w:pPr>
            <w:r>
              <w:rPr>
                <w:rFonts w:hint="eastAsia"/>
                <w:color w:val="000000"/>
                <w:sz w:val="24"/>
              </w:rPr>
              <w:t>2201-410381-04-01-609892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建设单位联系人</w:t>
            </w:r>
          </w:p>
        </w:tc>
        <w:tc>
          <w:tcPr>
            <w:tcW w:w="1283" w:type="pct"/>
            <w:vAlign w:val="center"/>
          </w:tcPr>
          <w:p>
            <w:pPr>
              <w:adjustRightInd w:val="0"/>
              <w:snapToGrid w:val="0"/>
              <w:spacing w:line="420" w:lineRule="exact"/>
              <w:jc w:val="center"/>
              <w:rPr>
                <w:sz w:val="24"/>
              </w:rPr>
            </w:pPr>
            <w:r>
              <w:rPr>
                <w:rFonts w:hint="eastAsia"/>
                <w:sz w:val="24"/>
              </w:rPr>
              <w:t>李宝宝</w:t>
            </w:r>
          </w:p>
        </w:tc>
        <w:tc>
          <w:tcPr>
            <w:tcW w:w="1035" w:type="pct"/>
            <w:vAlign w:val="center"/>
          </w:tcPr>
          <w:p>
            <w:pPr>
              <w:adjustRightInd w:val="0"/>
              <w:snapToGrid w:val="0"/>
              <w:spacing w:line="420" w:lineRule="exact"/>
              <w:jc w:val="center"/>
              <w:rPr>
                <w:sz w:val="24"/>
              </w:rPr>
            </w:pPr>
            <w:r>
              <w:rPr>
                <w:b/>
                <w:bCs/>
                <w:sz w:val="24"/>
              </w:rPr>
              <w:t>联系方式</w:t>
            </w:r>
          </w:p>
        </w:tc>
        <w:tc>
          <w:tcPr>
            <w:tcW w:w="1731" w:type="pct"/>
            <w:vAlign w:val="center"/>
          </w:tcPr>
          <w:p>
            <w:pPr>
              <w:adjustRightInd w:val="0"/>
              <w:snapToGrid w:val="0"/>
              <w:spacing w:line="420" w:lineRule="exact"/>
              <w:jc w:val="center"/>
              <w:rPr>
                <w:sz w:val="24"/>
              </w:rPr>
            </w:pPr>
            <w:r>
              <w:rPr>
                <w:rFonts w:hint="eastAsia"/>
                <w:sz w:val="24"/>
              </w:rPr>
              <w:t>13598189076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建设地点</w:t>
            </w:r>
          </w:p>
        </w:tc>
        <w:tc>
          <w:tcPr>
            <w:tcW w:w="4050" w:type="pct"/>
            <w:gridSpan w:val="3"/>
            <w:vAlign w:val="center"/>
          </w:tcPr>
          <w:p>
            <w:pPr>
              <w:adjustRightInd w:val="0"/>
              <w:snapToGrid w:val="0"/>
              <w:spacing w:line="420" w:lineRule="exact"/>
              <w:jc w:val="center"/>
              <w:rPr>
                <w:sz w:val="24"/>
              </w:rPr>
            </w:pPr>
            <w:r>
              <w:rPr>
                <w:rFonts w:hint="eastAsia"/>
                <w:sz w:val="24"/>
              </w:rPr>
              <w:t>河南省洛阳市偃师区高龙镇大屯村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地理坐标</w:t>
            </w:r>
          </w:p>
        </w:tc>
        <w:tc>
          <w:tcPr>
            <w:tcW w:w="4050" w:type="pct"/>
            <w:gridSpan w:val="3"/>
            <w:vAlign w:val="center"/>
          </w:tcPr>
          <w:p>
            <w:pPr>
              <w:spacing w:line="420" w:lineRule="exact"/>
              <w:jc w:val="center"/>
              <w:rPr>
                <w:sz w:val="24"/>
              </w:rPr>
            </w:pPr>
            <w:r>
              <w:rPr>
                <w:rFonts w:hint="eastAsia"/>
                <w:sz w:val="24"/>
              </w:rPr>
              <w:t>东经116</w:t>
            </w:r>
            <w:r>
              <w:rPr>
                <w:sz w:val="24"/>
              </w:rPr>
              <w:t>度</w:t>
            </w:r>
            <w:r>
              <w:rPr>
                <w:rFonts w:hint="eastAsia"/>
                <w:sz w:val="24"/>
              </w:rPr>
              <w:t>23</w:t>
            </w:r>
            <w:r>
              <w:rPr>
                <w:sz w:val="24"/>
              </w:rPr>
              <w:t>分</w:t>
            </w:r>
            <w:r>
              <w:rPr>
                <w:rFonts w:hint="eastAsia"/>
                <w:sz w:val="24"/>
              </w:rPr>
              <w:t>26.636</w:t>
            </w:r>
            <w:r>
              <w:rPr>
                <w:sz w:val="24"/>
              </w:rPr>
              <w:t>秒，</w:t>
            </w:r>
            <w:r>
              <w:rPr>
                <w:rFonts w:hint="eastAsia"/>
                <w:sz w:val="24"/>
              </w:rPr>
              <w:t>北纬39</w:t>
            </w:r>
            <w:r>
              <w:rPr>
                <w:sz w:val="24"/>
              </w:rPr>
              <w:t>度</w:t>
            </w:r>
            <w:r>
              <w:rPr>
                <w:rFonts w:hint="eastAsia"/>
                <w:sz w:val="24"/>
              </w:rPr>
              <w:t>54</w:t>
            </w:r>
            <w:r>
              <w:rPr>
                <w:sz w:val="24"/>
              </w:rPr>
              <w:t>分</w:t>
            </w:r>
            <w:r>
              <w:rPr>
                <w:rFonts w:hint="eastAsia"/>
                <w:sz w:val="24"/>
              </w:rPr>
              <w:t>53.608</w:t>
            </w:r>
            <w:r>
              <w:rPr>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国民经济</w:t>
            </w:r>
          </w:p>
          <w:p>
            <w:pPr>
              <w:adjustRightInd w:val="0"/>
              <w:snapToGrid w:val="0"/>
              <w:spacing w:line="420" w:lineRule="exact"/>
              <w:jc w:val="center"/>
              <w:rPr>
                <w:b/>
                <w:bCs/>
                <w:sz w:val="24"/>
              </w:rPr>
            </w:pPr>
            <w:r>
              <w:rPr>
                <w:b/>
                <w:bCs/>
                <w:sz w:val="24"/>
              </w:rPr>
              <w:t>行业类别</w:t>
            </w:r>
          </w:p>
        </w:tc>
        <w:tc>
          <w:tcPr>
            <w:tcW w:w="1283" w:type="pct"/>
            <w:vAlign w:val="center"/>
          </w:tcPr>
          <w:p>
            <w:pPr>
              <w:adjustRightInd w:val="0"/>
              <w:snapToGrid w:val="0"/>
              <w:spacing w:line="420" w:lineRule="exact"/>
              <w:rPr>
                <w:sz w:val="24"/>
              </w:rPr>
            </w:pPr>
            <w:r>
              <w:rPr>
                <w:sz w:val="24"/>
              </w:rPr>
              <w:t>C</w:t>
            </w:r>
            <w:r>
              <w:rPr>
                <w:rFonts w:hint="eastAsia"/>
                <w:sz w:val="24"/>
              </w:rPr>
              <w:t>2130 金属家具制造</w:t>
            </w:r>
          </w:p>
        </w:tc>
        <w:tc>
          <w:tcPr>
            <w:tcW w:w="1035" w:type="pct"/>
            <w:vAlign w:val="center"/>
          </w:tcPr>
          <w:p>
            <w:pPr>
              <w:adjustRightInd w:val="0"/>
              <w:snapToGrid w:val="0"/>
              <w:spacing w:line="420" w:lineRule="exact"/>
              <w:jc w:val="center"/>
              <w:rPr>
                <w:b/>
                <w:bCs/>
                <w:sz w:val="24"/>
              </w:rPr>
            </w:pPr>
            <w:bookmarkStart w:id="0" w:name="_Hlk49843745"/>
            <w:r>
              <w:rPr>
                <w:b/>
                <w:bCs/>
                <w:sz w:val="24"/>
              </w:rPr>
              <w:t>建设项目</w:t>
            </w:r>
          </w:p>
          <w:p>
            <w:pPr>
              <w:adjustRightInd w:val="0"/>
              <w:snapToGrid w:val="0"/>
              <w:spacing w:line="420" w:lineRule="exact"/>
              <w:jc w:val="center"/>
              <w:rPr>
                <w:b/>
                <w:bCs/>
                <w:sz w:val="24"/>
              </w:rPr>
            </w:pPr>
            <w:r>
              <w:rPr>
                <w:b/>
                <w:bCs/>
                <w:sz w:val="24"/>
              </w:rPr>
              <w:t>行业类别</w:t>
            </w:r>
            <w:bookmarkEnd w:id="0"/>
          </w:p>
        </w:tc>
        <w:tc>
          <w:tcPr>
            <w:tcW w:w="1731" w:type="pct"/>
            <w:vAlign w:val="center"/>
          </w:tcPr>
          <w:p>
            <w:pPr>
              <w:adjustRightInd w:val="0"/>
              <w:snapToGrid w:val="0"/>
              <w:spacing w:line="420" w:lineRule="exact"/>
              <w:rPr>
                <w:sz w:val="24"/>
              </w:rPr>
            </w:pPr>
            <w:r>
              <w:rPr>
                <w:rFonts w:hint="eastAsia"/>
                <w:sz w:val="24"/>
              </w:rPr>
              <w:t>36 金属家具制造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建设性质</w:t>
            </w:r>
          </w:p>
        </w:tc>
        <w:tc>
          <w:tcPr>
            <w:tcW w:w="1283" w:type="pct"/>
            <w:vAlign w:val="center"/>
          </w:tcPr>
          <w:p>
            <w:pPr>
              <w:spacing w:line="420" w:lineRule="exact"/>
              <w:jc w:val="left"/>
              <w:rPr>
                <w:sz w:val="24"/>
              </w:rPr>
            </w:pPr>
            <w:r>
              <w:rPr>
                <w:sz w:val="24"/>
              </w:rPr>
              <w:sym w:font="Wingdings 2" w:char="0052"/>
            </w:r>
            <w:r>
              <w:rPr>
                <w:sz w:val="24"/>
              </w:rPr>
              <w:t>新建（迁建）</w:t>
            </w:r>
          </w:p>
          <w:p>
            <w:pPr>
              <w:spacing w:line="420" w:lineRule="exact"/>
              <w:jc w:val="left"/>
              <w:rPr>
                <w:sz w:val="24"/>
              </w:rPr>
            </w:pPr>
            <w:r>
              <w:rPr>
                <w:sz w:val="24"/>
              </w:rPr>
              <w:t>□改建</w:t>
            </w:r>
          </w:p>
          <w:p>
            <w:pPr>
              <w:spacing w:line="420" w:lineRule="exact"/>
              <w:jc w:val="left"/>
              <w:rPr>
                <w:sz w:val="24"/>
              </w:rPr>
            </w:pPr>
            <w:r>
              <w:rPr>
                <w:sz w:val="24"/>
              </w:rPr>
              <w:t>□扩建</w:t>
            </w:r>
          </w:p>
          <w:p>
            <w:pPr>
              <w:spacing w:line="420" w:lineRule="exact"/>
              <w:jc w:val="left"/>
              <w:rPr>
                <w:sz w:val="24"/>
              </w:rPr>
            </w:pPr>
            <w:r>
              <w:rPr>
                <w:sz w:val="24"/>
              </w:rPr>
              <w:sym w:font="Wingdings 2" w:char="00A3"/>
            </w:r>
            <w:r>
              <w:rPr>
                <w:sz w:val="24"/>
              </w:rPr>
              <w:t>技术改造</w:t>
            </w:r>
          </w:p>
        </w:tc>
        <w:tc>
          <w:tcPr>
            <w:tcW w:w="1035" w:type="pct"/>
            <w:vAlign w:val="center"/>
          </w:tcPr>
          <w:p>
            <w:pPr>
              <w:adjustRightInd w:val="0"/>
              <w:snapToGrid w:val="0"/>
              <w:spacing w:line="420" w:lineRule="exact"/>
              <w:jc w:val="center"/>
              <w:rPr>
                <w:b/>
                <w:bCs/>
                <w:sz w:val="24"/>
              </w:rPr>
            </w:pPr>
            <w:r>
              <w:rPr>
                <w:b/>
                <w:bCs/>
                <w:sz w:val="24"/>
              </w:rPr>
              <w:t>建设项目</w:t>
            </w:r>
          </w:p>
          <w:p>
            <w:pPr>
              <w:adjustRightInd w:val="0"/>
              <w:snapToGrid w:val="0"/>
              <w:spacing w:line="420" w:lineRule="exact"/>
              <w:jc w:val="center"/>
              <w:rPr>
                <w:b/>
                <w:bCs/>
                <w:sz w:val="24"/>
              </w:rPr>
            </w:pPr>
            <w:r>
              <w:rPr>
                <w:b/>
                <w:bCs/>
                <w:sz w:val="24"/>
              </w:rPr>
              <w:t>申报情形</w:t>
            </w:r>
          </w:p>
        </w:tc>
        <w:tc>
          <w:tcPr>
            <w:tcW w:w="1731" w:type="pct"/>
            <w:vAlign w:val="center"/>
          </w:tcPr>
          <w:p>
            <w:pPr>
              <w:spacing w:line="420" w:lineRule="exact"/>
              <w:jc w:val="left"/>
              <w:rPr>
                <w:sz w:val="24"/>
              </w:rPr>
            </w:pPr>
            <w:r>
              <w:rPr>
                <w:sz w:val="24"/>
              </w:rPr>
              <w:sym w:font="Wingdings 2" w:char="0052"/>
            </w:r>
            <w:r>
              <w:rPr>
                <w:sz w:val="24"/>
              </w:rPr>
              <w:t xml:space="preserve">首次申报项目             </w:t>
            </w:r>
          </w:p>
          <w:p>
            <w:pPr>
              <w:spacing w:line="420" w:lineRule="exact"/>
              <w:jc w:val="left"/>
              <w:rPr>
                <w:sz w:val="24"/>
              </w:rPr>
            </w:pPr>
            <w:r>
              <w:rPr>
                <w:sz w:val="24"/>
              </w:rPr>
              <w:t>□不予批准后再次申报项目</w:t>
            </w:r>
          </w:p>
          <w:p>
            <w:pPr>
              <w:spacing w:line="420" w:lineRule="exact"/>
              <w:jc w:val="left"/>
              <w:rPr>
                <w:sz w:val="24"/>
              </w:rPr>
            </w:pPr>
            <w:r>
              <w:rPr>
                <w:sz w:val="24"/>
              </w:rPr>
              <w:sym w:font="Wingdings 2" w:char="00A3"/>
            </w:r>
            <w:r>
              <w:rPr>
                <w:sz w:val="24"/>
              </w:rPr>
              <w:t xml:space="preserve">超五年重新审核项目     </w:t>
            </w:r>
          </w:p>
          <w:p>
            <w:pPr>
              <w:spacing w:line="420" w:lineRule="exact"/>
              <w:jc w:val="left"/>
              <w:rPr>
                <w:sz w:val="24"/>
              </w:rPr>
            </w:pP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项目审批（核准/备案）部门（选填）</w:t>
            </w:r>
          </w:p>
        </w:tc>
        <w:tc>
          <w:tcPr>
            <w:tcW w:w="1283" w:type="pct"/>
            <w:vAlign w:val="center"/>
          </w:tcPr>
          <w:p>
            <w:pPr>
              <w:adjustRightInd w:val="0"/>
              <w:snapToGrid w:val="0"/>
              <w:spacing w:line="420" w:lineRule="exact"/>
              <w:jc w:val="center"/>
              <w:rPr>
                <w:sz w:val="24"/>
              </w:rPr>
            </w:pPr>
            <w:r>
              <w:rPr>
                <w:color w:val="000000"/>
                <w:sz w:val="24"/>
              </w:rPr>
              <w:t>偃师市发展和改革委员会</w:t>
            </w:r>
          </w:p>
        </w:tc>
        <w:tc>
          <w:tcPr>
            <w:tcW w:w="1035" w:type="pct"/>
            <w:vAlign w:val="center"/>
          </w:tcPr>
          <w:p>
            <w:pPr>
              <w:adjustRightInd w:val="0"/>
              <w:snapToGrid w:val="0"/>
              <w:spacing w:line="420" w:lineRule="exact"/>
              <w:jc w:val="center"/>
              <w:rPr>
                <w:b/>
                <w:bCs/>
                <w:sz w:val="24"/>
              </w:rPr>
            </w:pPr>
            <w:r>
              <w:rPr>
                <w:b/>
                <w:bCs/>
                <w:sz w:val="24"/>
              </w:rPr>
              <w:t>项目审批（核准/</w:t>
            </w:r>
          </w:p>
          <w:p>
            <w:pPr>
              <w:adjustRightInd w:val="0"/>
              <w:snapToGrid w:val="0"/>
              <w:spacing w:line="420" w:lineRule="exact"/>
              <w:jc w:val="center"/>
              <w:rPr>
                <w:b/>
                <w:bCs/>
                <w:sz w:val="24"/>
              </w:rPr>
            </w:pPr>
            <w:r>
              <w:rPr>
                <w:b/>
                <w:bCs/>
                <w:sz w:val="24"/>
              </w:rPr>
              <w:t>备案）文号（选填）</w:t>
            </w:r>
          </w:p>
        </w:tc>
        <w:tc>
          <w:tcPr>
            <w:tcW w:w="1731" w:type="pct"/>
            <w:vAlign w:val="center"/>
          </w:tcPr>
          <w:p>
            <w:pPr>
              <w:adjustRightInd w:val="0"/>
              <w:snapToGrid w:val="0"/>
              <w:spacing w:line="420" w:lineRule="exact"/>
              <w:jc w:val="center"/>
              <w:rPr>
                <w:sz w:val="24"/>
              </w:rPr>
            </w:pP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总投资（万元）</w:t>
            </w:r>
          </w:p>
        </w:tc>
        <w:tc>
          <w:tcPr>
            <w:tcW w:w="1283" w:type="pct"/>
            <w:vAlign w:val="center"/>
          </w:tcPr>
          <w:p>
            <w:pPr>
              <w:adjustRightInd w:val="0"/>
              <w:snapToGrid w:val="0"/>
              <w:spacing w:line="420" w:lineRule="exact"/>
              <w:jc w:val="center"/>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50</w:t>
            </w:r>
          </w:p>
        </w:tc>
        <w:tc>
          <w:tcPr>
            <w:tcW w:w="1035" w:type="pct"/>
            <w:tcMar>
              <w:top w:w="16" w:type="dxa"/>
              <w:left w:w="16" w:type="dxa"/>
              <w:right w:w="16" w:type="dxa"/>
            </w:tcMar>
            <w:vAlign w:val="center"/>
          </w:tcPr>
          <w:p>
            <w:pPr>
              <w:adjustRightInd w:val="0"/>
              <w:snapToGrid w:val="0"/>
              <w:spacing w:line="420" w:lineRule="exact"/>
              <w:jc w:val="center"/>
              <w:rPr>
                <w:b/>
                <w:bCs/>
                <w:sz w:val="24"/>
              </w:rPr>
            </w:pPr>
            <w:r>
              <w:rPr>
                <w:b/>
                <w:bCs/>
                <w:sz w:val="24"/>
              </w:rPr>
              <w:t>环保投资（万元）</w:t>
            </w:r>
          </w:p>
        </w:tc>
        <w:tc>
          <w:tcPr>
            <w:tcW w:w="1731" w:type="pct"/>
            <w:vAlign w:val="center"/>
          </w:tcPr>
          <w:p>
            <w:pPr>
              <w:adjustRightInd w:val="0"/>
              <w:snapToGrid w:val="0"/>
              <w:spacing w:line="420" w:lineRule="exact"/>
              <w:jc w:val="center"/>
              <w:rPr>
                <w:sz w:val="24"/>
              </w:rPr>
            </w:pPr>
            <w:r>
              <w:rPr>
                <w:rFonts w:hint="eastAsia"/>
                <w:sz w:val="24"/>
              </w:rPr>
              <w:t>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环保投资占比（%）</w:t>
            </w:r>
          </w:p>
        </w:tc>
        <w:tc>
          <w:tcPr>
            <w:tcW w:w="1283" w:type="pct"/>
            <w:vAlign w:val="center"/>
          </w:tcPr>
          <w:p>
            <w:pPr>
              <w:adjustRightInd w:val="0"/>
              <w:snapToGrid w:val="0"/>
              <w:spacing w:line="420" w:lineRule="exact"/>
              <w:jc w:val="center"/>
              <w:rPr>
                <w:rFonts w:hint="default" w:eastAsia="宋体"/>
                <w:color w:val="000000" w:themeColor="text1"/>
                <w:sz w:val="24"/>
                <w:lang w:val="en-US"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13.2</w:t>
            </w:r>
          </w:p>
        </w:tc>
        <w:tc>
          <w:tcPr>
            <w:tcW w:w="1035" w:type="pct"/>
            <w:tcMar>
              <w:top w:w="16" w:type="dxa"/>
              <w:left w:w="16" w:type="dxa"/>
              <w:right w:w="16" w:type="dxa"/>
            </w:tcMar>
            <w:vAlign w:val="center"/>
          </w:tcPr>
          <w:p>
            <w:pPr>
              <w:adjustRightInd w:val="0"/>
              <w:snapToGrid w:val="0"/>
              <w:spacing w:line="420" w:lineRule="exact"/>
              <w:jc w:val="center"/>
              <w:rPr>
                <w:b/>
                <w:bCs/>
                <w:sz w:val="24"/>
              </w:rPr>
            </w:pPr>
            <w:r>
              <w:rPr>
                <w:b/>
                <w:bCs/>
                <w:sz w:val="24"/>
              </w:rPr>
              <w:t>施工工期</w:t>
            </w:r>
          </w:p>
        </w:tc>
        <w:tc>
          <w:tcPr>
            <w:tcW w:w="1731" w:type="pct"/>
            <w:vAlign w:val="center"/>
          </w:tcPr>
          <w:p>
            <w:pPr>
              <w:adjustRightInd w:val="0"/>
              <w:snapToGrid w:val="0"/>
              <w:spacing w:line="420" w:lineRule="exact"/>
              <w:jc w:val="center"/>
              <w:rPr>
                <w:sz w:val="24"/>
              </w:rPr>
            </w:pPr>
            <w:r>
              <w:rPr>
                <w:rFonts w:hint="eastAsia"/>
                <w:sz w:val="24"/>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949" w:type="pct"/>
            <w:gridSpan w:val="2"/>
            <w:tcMar>
              <w:top w:w="16" w:type="dxa"/>
              <w:left w:w="16" w:type="dxa"/>
              <w:right w:w="16" w:type="dxa"/>
            </w:tcMar>
            <w:vAlign w:val="center"/>
          </w:tcPr>
          <w:p>
            <w:pPr>
              <w:adjustRightInd w:val="0"/>
              <w:snapToGrid w:val="0"/>
              <w:spacing w:line="420" w:lineRule="exact"/>
              <w:jc w:val="center"/>
              <w:rPr>
                <w:b/>
                <w:bCs/>
                <w:sz w:val="24"/>
              </w:rPr>
            </w:pPr>
            <w:r>
              <w:rPr>
                <w:b/>
                <w:bCs/>
                <w:sz w:val="24"/>
              </w:rPr>
              <w:t>是否开工建设</w:t>
            </w:r>
          </w:p>
        </w:tc>
        <w:tc>
          <w:tcPr>
            <w:tcW w:w="1283" w:type="pct"/>
            <w:vAlign w:val="center"/>
          </w:tcPr>
          <w:p>
            <w:pPr>
              <w:adjustRightInd w:val="0"/>
              <w:snapToGrid w:val="0"/>
              <w:spacing w:line="420" w:lineRule="exact"/>
              <w:rPr>
                <w:sz w:val="24"/>
              </w:rPr>
            </w:pPr>
            <w:r>
              <w:rPr>
                <w:sz w:val="24"/>
              </w:rPr>
              <w:sym w:font="Wingdings 2" w:char="0052"/>
            </w:r>
            <w:r>
              <w:rPr>
                <w:sz w:val="24"/>
              </w:rPr>
              <w:t>否</w:t>
            </w:r>
          </w:p>
          <w:p>
            <w:pPr>
              <w:adjustRightInd w:val="0"/>
              <w:snapToGrid w:val="0"/>
              <w:spacing w:line="420" w:lineRule="exact"/>
              <w:rPr>
                <w:sz w:val="24"/>
              </w:rPr>
            </w:pPr>
            <w:r>
              <w:rPr>
                <w:sz w:val="24"/>
              </w:rPr>
              <w:sym w:font="Wingdings 2" w:char="00A3"/>
            </w:r>
            <w:r>
              <w:rPr>
                <w:sz w:val="24"/>
              </w:rPr>
              <w:t>是：</w:t>
            </w:r>
            <w:r>
              <w:rPr>
                <w:sz w:val="24"/>
                <w:u w:val="single"/>
              </w:rPr>
              <w:t xml:space="preserve">             </w:t>
            </w:r>
          </w:p>
        </w:tc>
        <w:tc>
          <w:tcPr>
            <w:tcW w:w="1035" w:type="pct"/>
            <w:tcMar>
              <w:top w:w="16" w:type="dxa"/>
              <w:left w:w="16" w:type="dxa"/>
              <w:right w:w="16" w:type="dxa"/>
            </w:tcMar>
            <w:vAlign w:val="center"/>
          </w:tcPr>
          <w:p>
            <w:pPr>
              <w:adjustRightInd w:val="0"/>
              <w:snapToGrid w:val="0"/>
              <w:spacing w:line="420" w:lineRule="exact"/>
              <w:jc w:val="center"/>
              <w:rPr>
                <w:b/>
                <w:bCs/>
                <w:spacing w:val="-6"/>
                <w:sz w:val="24"/>
              </w:rPr>
            </w:pPr>
            <w:r>
              <w:rPr>
                <w:b/>
                <w:bCs/>
                <w:spacing w:val="-6"/>
                <w:sz w:val="24"/>
              </w:rPr>
              <w:t>用地（用海）</w:t>
            </w:r>
          </w:p>
          <w:p>
            <w:pPr>
              <w:adjustRightInd w:val="0"/>
              <w:snapToGrid w:val="0"/>
              <w:spacing w:line="420" w:lineRule="exact"/>
              <w:jc w:val="center"/>
              <w:rPr>
                <w:b/>
                <w:bCs/>
                <w:sz w:val="24"/>
              </w:rPr>
            </w:pPr>
            <w:r>
              <w:rPr>
                <w:b/>
                <w:bCs/>
                <w:spacing w:val="-6"/>
                <w:sz w:val="24"/>
              </w:rPr>
              <w:t>面积（m</w:t>
            </w:r>
            <w:r>
              <w:rPr>
                <w:b/>
                <w:bCs/>
                <w:spacing w:val="-6"/>
                <w:sz w:val="24"/>
                <w:vertAlign w:val="superscript"/>
              </w:rPr>
              <w:t>2</w:t>
            </w:r>
            <w:r>
              <w:rPr>
                <w:b/>
                <w:bCs/>
                <w:spacing w:val="-6"/>
                <w:sz w:val="24"/>
              </w:rPr>
              <w:t>）</w:t>
            </w:r>
          </w:p>
        </w:tc>
        <w:tc>
          <w:tcPr>
            <w:tcW w:w="1731" w:type="pct"/>
            <w:vAlign w:val="center"/>
          </w:tcPr>
          <w:p>
            <w:pPr>
              <w:adjustRightInd w:val="0"/>
              <w:snapToGrid w:val="0"/>
              <w:spacing w:line="420" w:lineRule="exact"/>
              <w:jc w:val="center"/>
              <w:rPr>
                <w:sz w:val="24"/>
              </w:rPr>
            </w:pPr>
            <w:r>
              <w:rPr>
                <w:rFonts w:hint="eastAsia"/>
                <w:sz w:val="24"/>
              </w:rPr>
              <w:t>1500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 w:type="pct"/>
            <w:gridSpan w:val="2"/>
            <w:vAlign w:val="center"/>
          </w:tcPr>
          <w:p>
            <w:pPr>
              <w:autoSpaceDE w:val="0"/>
              <w:autoSpaceDN w:val="0"/>
              <w:adjustRightInd w:val="0"/>
              <w:snapToGrid w:val="0"/>
              <w:spacing w:line="420" w:lineRule="exact"/>
              <w:jc w:val="center"/>
              <w:rPr>
                <w:b/>
                <w:bCs/>
                <w:kern w:val="0"/>
                <w:sz w:val="24"/>
              </w:rPr>
            </w:pPr>
            <w:r>
              <w:rPr>
                <w:b/>
                <w:bCs/>
                <w:kern w:val="0"/>
                <w:sz w:val="24"/>
              </w:rPr>
              <w:t>专项评价设置情况</w:t>
            </w:r>
          </w:p>
        </w:tc>
        <w:tc>
          <w:tcPr>
            <w:tcW w:w="4050" w:type="pct"/>
            <w:gridSpan w:val="3"/>
            <w:vAlign w:val="center"/>
          </w:tcPr>
          <w:p>
            <w:pPr>
              <w:autoSpaceDE w:val="0"/>
              <w:autoSpaceDN w:val="0"/>
              <w:adjustRightInd w:val="0"/>
              <w:snapToGrid w:val="0"/>
              <w:spacing w:line="420" w:lineRule="exact"/>
              <w:jc w:val="center"/>
              <w:rPr>
                <w:kern w:val="0"/>
                <w:sz w:val="24"/>
              </w:rPr>
            </w:pPr>
            <w:r>
              <w:rPr>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 w:type="pct"/>
            <w:gridSpan w:val="2"/>
            <w:vAlign w:val="center"/>
          </w:tcPr>
          <w:p>
            <w:pPr>
              <w:autoSpaceDE w:val="0"/>
              <w:autoSpaceDN w:val="0"/>
              <w:adjustRightInd w:val="0"/>
              <w:snapToGrid w:val="0"/>
              <w:spacing w:line="420" w:lineRule="exact"/>
              <w:jc w:val="center"/>
              <w:rPr>
                <w:b/>
                <w:bCs/>
                <w:kern w:val="0"/>
                <w:sz w:val="24"/>
              </w:rPr>
            </w:pPr>
            <w:r>
              <w:rPr>
                <w:b/>
                <w:bCs/>
                <w:sz w:val="24"/>
              </w:rPr>
              <w:t>规划情况</w:t>
            </w:r>
          </w:p>
        </w:tc>
        <w:tc>
          <w:tcPr>
            <w:tcW w:w="4050" w:type="pct"/>
            <w:gridSpan w:val="3"/>
            <w:vAlign w:val="center"/>
          </w:tcPr>
          <w:p>
            <w:pPr>
              <w:autoSpaceDE w:val="0"/>
              <w:autoSpaceDN w:val="0"/>
              <w:adjustRightInd w:val="0"/>
              <w:snapToGrid w:val="0"/>
              <w:spacing w:line="520" w:lineRule="exact"/>
              <w:rPr>
                <w:color w:val="000000"/>
                <w:kern w:val="0"/>
                <w:sz w:val="24"/>
              </w:rPr>
            </w:pPr>
            <w:r>
              <w:rPr>
                <w:rFonts w:hint="eastAsia"/>
                <w:color w:val="000000"/>
                <w:kern w:val="0"/>
                <w:sz w:val="24"/>
              </w:rPr>
              <w:t>产业园区名称：高龙镇工业园区</w:t>
            </w:r>
          </w:p>
          <w:p>
            <w:pPr>
              <w:autoSpaceDE w:val="0"/>
              <w:autoSpaceDN w:val="0"/>
              <w:adjustRightInd w:val="0"/>
              <w:snapToGrid w:val="0"/>
              <w:spacing w:line="520" w:lineRule="exact"/>
              <w:rPr>
                <w:color w:val="000000"/>
                <w:kern w:val="0"/>
                <w:sz w:val="24"/>
              </w:rPr>
            </w:pPr>
            <w:r>
              <w:rPr>
                <w:rFonts w:hint="eastAsia"/>
                <w:color w:val="000000"/>
                <w:kern w:val="0"/>
                <w:sz w:val="24"/>
              </w:rPr>
              <w:t>审批机关：偃师市发展和改革委员会</w:t>
            </w:r>
          </w:p>
          <w:p>
            <w:pPr>
              <w:snapToGrid w:val="0"/>
              <w:spacing w:line="460" w:lineRule="exact"/>
              <w:jc w:val="left"/>
              <w:rPr>
                <w:kern w:val="0"/>
                <w:sz w:val="24"/>
                <w:highlight w:val="yellow"/>
              </w:rPr>
            </w:pPr>
            <w:r>
              <w:rPr>
                <w:rFonts w:hint="eastAsia"/>
                <w:color w:val="000000"/>
                <w:kern w:val="0"/>
                <w:sz w:val="24"/>
              </w:rPr>
              <w:t>审批文件名称及文号：《高龙镇工业园区发展指导意见》偃发改</w:t>
            </w:r>
            <w:r>
              <w:rPr>
                <w:rFonts w:hint="eastAsia"/>
                <w:color w:val="000000"/>
                <w:sz w:val="24"/>
              </w:rPr>
              <w:t>［2013］135号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9" w:type="pct"/>
            <w:gridSpan w:val="2"/>
            <w:vAlign w:val="center"/>
          </w:tcPr>
          <w:p>
            <w:pPr>
              <w:adjustRightInd w:val="0"/>
              <w:snapToGrid w:val="0"/>
              <w:spacing w:line="420" w:lineRule="exact"/>
              <w:jc w:val="center"/>
              <w:rPr>
                <w:b/>
                <w:bCs/>
                <w:kern w:val="0"/>
                <w:sz w:val="24"/>
              </w:rPr>
            </w:pPr>
            <w:r>
              <w:rPr>
                <w:b/>
                <w:bCs/>
                <w:sz w:val="24"/>
              </w:rPr>
              <w:t>规划环境影响评价情况</w:t>
            </w:r>
          </w:p>
        </w:tc>
        <w:tc>
          <w:tcPr>
            <w:tcW w:w="4050" w:type="pct"/>
            <w:gridSpan w:val="3"/>
            <w:vAlign w:val="center"/>
          </w:tcPr>
          <w:p>
            <w:pPr>
              <w:snapToGrid w:val="0"/>
              <w:spacing w:line="420" w:lineRule="exact"/>
              <w:jc w:val="center"/>
            </w:pPr>
            <w:r>
              <w:rPr>
                <w:rFonts w:hint="eastAsia"/>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 w:type="pct"/>
            <w:vAlign w:val="center"/>
          </w:tcPr>
          <w:p>
            <w:pPr>
              <w:autoSpaceDE w:val="0"/>
              <w:autoSpaceDN w:val="0"/>
              <w:adjustRightInd w:val="0"/>
              <w:snapToGrid w:val="0"/>
              <w:jc w:val="center"/>
              <w:rPr>
                <w:b/>
                <w:bCs/>
                <w:sz w:val="24"/>
              </w:rPr>
            </w:pPr>
            <w:r>
              <w:rPr>
                <w:b/>
                <w:bCs/>
                <w:color w:val="000000"/>
                <w:kern w:val="0"/>
                <w:sz w:val="24"/>
              </w:rPr>
              <w:t>规划及规划环境影响评价符合性分析</w:t>
            </w:r>
          </w:p>
        </w:tc>
        <w:tc>
          <w:tcPr>
            <w:tcW w:w="4646" w:type="pct"/>
            <w:gridSpan w:val="4"/>
            <w:vAlign w:val="center"/>
          </w:tcPr>
          <w:p>
            <w:pPr>
              <w:spacing w:line="520" w:lineRule="exact"/>
              <w:ind w:firstLine="482" w:firstLineChars="200"/>
              <w:rPr>
                <w:rFonts w:hAnsi="宋体"/>
                <w:b/>
                <w:sz w:val="24"/>
              </w:rPr>
            </w:pPr>
            <w:r>
              <w:rPr>
                <w:rFonts w:hint="eastAsia" w:hAnsi="宋体"/>
                <w:b/>
                <w:sz w:val="24"/>
              </w:rPr>
              <w:t>1、高龙镇总体规划（20</w:t>
            </w:r>
            <w:r>
              <w:rPr>
                <w:rFonts w:hint="eastAsia" w:hAnsi="宋体"/>
                <w:b/>
                <w:sz w:val="24"/>
                <w:lang w:val="en-US" w:eastAsia="zh-CN"/>
              </w:rPr>
              <w:t>09</w:t>
            </w:r>
            <w:r>
              <w:rPr>
                <w:rFonts w:hint="eastAsia" w:hAnsi="宋体"/>
                <w:b/>
                <w:sz w:val="24"/>
              </w:rPr>
              <w:t>~2020）</w:t>
            </w:r>
          </w:p>
          <w:p>
            <w:pPr>
              <w:spacing w:line="52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1）城镇性质：偃师市经济重镇，高龙镇政治、经济、文化、交通、信息服务中心，以电力能源、多晶硅为主导产业的现代化城镇。</w:t>
            </w:r>
          </w:p>
          <w:p>
            <w:pPr>
              <w:spacing w:line="52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2）城镇规划区范围：中心镇区规划范围是：东起左村，西到石牛，南靠高龙，北临高崖，包括高龙村、高崖村和左村部分土地，规划建设用地面积860公顷。</w:t>
            </w:r>
          </w:p>
          <w:p>
            <w:pPr>
              <w:spacing w:line="52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环境保护规划：规划期末，使城镇大气环境质量交通干线、工业区达到III级标准，一般工业区和生活区达到II级标准，力争达到I级标准，其它地区按I级控制；地表水质量达到II级标准，饮用水达到国家标准；工业噪声夜晚和白天分别控制在55-65dB（A）之间，居民区噪声控制在40-50dB（A）之间，商业区噪声控制在50-60dB（A）之间，交通噪声控制在55-70dB（A）之间。</w:t>
            </w:r>
          </w:p>
          <w:p>
            <w:pPr>
              <w:spacing w:line="52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给水、排水规划：镇区给水干管沿镇区干道布置在东西道路的南侧和南北道路的东侧，呈环状；给水支管由干管接入，近期为枝状，远期建设为环状。干管管径600mm。支管管径200-300mm，保证生活和生产消防用水。5）工业规划：根据《高龙镇总体规划》（2010-2020），高龙镇镇域产业结构布局划分为一条经济发展轴、一个经济发展点和三个经济发展区，形成“一轴、一点、三区”的产业结构布局。</w:t>
            </w:r>
          </w:p>
          <w:p>
            <w:pPr>
              <w:spacing w:line="520" w:lineRule="exact"/>
              <w:ind w:firstLine="480" w:firstLineChars="200"/>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根据高龙镇总体规划20</w:t>
            </w:r>
            <w:r>
              <w:rPr>
                <w:rFonts w:hint="eastAsia"/>
                <w:bCs/>
                <w:color w:val="000000" w:themeColor="text1"/>
                <w:sz w:val="24"/>
                <w:lang w:val="en-US" w:eastAsia="zh-CN"/>
                <w14:textFill>
                  <w14:solidFill>
                    <w14:schemeClr w14:val="tx1"/>
                  </w14:solidFill>
                </w14:textFill>
              </w:rPr>
              <w:t>09</w:t>
            </w:r>
            <w:r>
              <w:rPr>
                <w:rFonts w:hint="eastAsia"/>
                <w:bCs/>
                <w:color w:val="000000" w:themeColor="text1"/>
                <w:sz w:val="24"/>
                <w14:textFill>
                  <w14:solidFill>
                    <w14:schemeClr w14:val="tx1"/>
                  </w14:solidFill>
                </w14:textFill>
              </w:rPr>
              <w:t>~2020年，本项目不在镇区规划范围内；根据偃师市国土资源局出具的偃集用（2010）第2010273号（附件4），项目用地为工业用地，符合土地利用总体规划。根据偃师市规划局出具的文件乡字第（2012）002号（附件5），项目用地符合城乡规划要求。</w:t>
            </w:r>
          </w:p>
          <w:p>
            <w:pPr>
              <w:spacing w:line="520" w:lineRule="exact"/>
              <w:ind w:firstLine="482" w:firstLineChars="200"/>
              <w:rPr>
                <w:rFonts w:hAnsi="宋体"/>
                <w:b/>
                <w:sz w:val="24"/>
              </w:rPr>
            </w:pPr>
            <w:r>
              <w:rPr>
                <w:rFonts w:hint="eastAsia" w:hAnsi="宋体"/>
                <w:b/>
                <w:sz w:val="24"/>
              </w:rPr>
              <w:t>2、高龙镇工业园区发展规划</w:t>
            </w:r>
          </w:p>
          <w:p>
            <w:pPr>
              <w:spacing w:line="520" w:lineRule="exact"/>
              <w:ind w:firstLine="480" w:firstLineChars="200"/>
              <w:jc w:val="left"/>
              <w:rPr>
                <w:bCs/>
                <w:sz w:val="24"/>
              </w:rPr>
            </w:pPr>
            <w:r>
              <w:rPr>
                <w:rFonts w:hint="eastAsia"/>
                <w:bCs/>
                <w:color w:val="000000" w:themeColor="text1"/>
                <w:sz w:val="24"/>
                <w14:textFill>
                  <w14:solidFill>
                    <w14:schemeClr w14:val="tx1"/>
                  </w14:solidFill>
                </w14:textFill>
              </w:rPr>
              <w:t>根据偃发改（2013）135号高龙镇工业园区发展指导意见，高龙镇工业园区规划面积4507.9亩，根据高龙镇人民政府出具的证明，本项目位于高龙镇工业园区内，符合偃发改（2013）135号高龙镇工业园区发展指导意见要求，偃师</w:t>
            </w:r>
            <w:r>
              <w:rPr>
                <w:rFonts w:hint="eastAsia"/>
                <w:bCs/>
                <w:color w:val="000000" w:themeColor="text1"/>
                <w:sz w:val="24"/>
                <w:lang w:val="en-US" w:eastAsia="zh-CN"/>
                <w14:textFill>
                  <w14:solidFill>
                    <w14:schemeClr w14:val="tx1"/>
                  </w14:solidFill>
                </w14:textFill>
              </w:rPr>
              <w:t>区</w:t>
            </w:r>
            <w:r>
              <w:rPr>
                <w:rFonts w:hint="eastAsia"/>
                <w:bCs/>
                <w:color w:val="000000" w:themeColor="text1"/>
                <w:sz w:val="24"/>
                <w14:textFill>
                  <w14:solidFill>
                    <w14:schemeClr w14:val="tx1"/>
                  </w14:solidFill>
                </w14:textFill>
              </w:rPr>
              <w:t>高龙镇人民政府同意该项目入驻并进行建设，证明文件见附件6。</w:t>
            </w:r>
          </w:p>
          <w:p>
            <w:pPr>
              <w:spacing w:line="460" w:lineRule="exact"/>
              <w:jc w:val="left"/>
              <w:textAlignment w:val="baseline"/>
              <w:rPr>
                <w:bCs/>
                <w:sz w:val="24"/>
              </w:rPr>
            </w:pPr>
          </w:p>
          <w:p>
            <w:pPr>
              <w:spacing w:line="460" w:lineRule="exact"/>
              <w:jc w:val="left"/>
              <w:textAlignment w:val="baseline"/>
              <w:rPr>
                <w:sz w:val="24"/>
              </w:rPr>
            </w:pPr>
          </w:p>
        </w:tc>
      </w:tr>
    </w:tbl>
    <w:p/>
    <w:tbl>
      <w:tblPr>
        <w:tblStyle w:val="19"/>
        <w:tblW w:w="48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2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30" w:hRule="atLeast"/>
          <w:jc w:val="center"/>
        </w:trPr>
        <w:tc>
          <w:tcPr>
            <w:tcW w:w="729" w:type="dxa"/>
            <w:vAlign w:val="center"/>
          </w:tcPr>
          <w:p>
            <w:pPr>
              <w:autoSpaceDE w:val="0"/>
              <w:autoSpaceDN w:val="0"/>
              <w:adjustRightInd w:val="0"/>
              <w:snapToGrid w:val="0"/>
              <w:jc w:val="center"/>
              <w:rPr>
                <w:b/>
                <w:bCs/>
                <w:sz w:val="24"/>
              </w:rPr>
            </w:pPr>
            <w:r>
              <w:rPr>
                <w:b/>
                <w:bCs/>
                <w:color w:val="000000"/>
                <w:kern w:val="0"/>
                <w:sz w:val="24"/>
              </w:rPr>
              <w:t>其他符合性分析</w:t>
            </w:r>
          </w:p>
        </w:tc>
        <w:tc>
          <w:tcPr>
            <w:tcW w:w="8290" w:type="dxa"/>
            <w:vAlign w:val="center"/>
          </w:tcPr>
          <w:p>
            <w:pPr>
              <w:adjustRightInd w:val="0"/>
              <w:snapToGrid w:val="0"/>
              <w:spacing w:line="520" w:lineRule="exact"/>
              <w:ind w:firstLine="482" w:firstLineChars="200"/>
              <w:textAlignment w:val="baseline"/>
              <w:rPr>
                <w:b/>
                <w:bCs/>
                <w:color w:val="000000"/>
                <w:sz w:val="24"/>
              </w:rPr>
            </w:pPr>
            <w:r>
              <w:rPr>
                <w:rFonts w:hint="eastAsia"/>
                <w:b/>
                <w:bCs/>
                <w:color w:val="000000"/>
                <w:sz w:val="24"/>
              </w:rPr>
              <w:t>1</w:t>
            </w:r>
            <w:r>
              <w:rPr>
                <w:b/>
                <w:bCs/>
                <w:color w:val="000000"/>
                <w:sz w:val="24"/>
              </w:rPr>
              <w:t>、文物</w:t>
            </w:r>
          </w:p>
          <w:p>
            <w:pPr>
              <w:adjustRightInd w:val="0"/>
              <w:spacing w:line="520" w:lineRule="exact"/>
              <w:ind w:firstLine="480" w:firstLineChars="200"/>
              <w:rPr>
                <w:bCs/>
                <w:sz w:val="24"/>
              </w:rPr>
            </w:pPr>
            <w:r>
              <w:rPr>
                <w:rFonts w:hint="eastAsia"/>
                <w:bCs/>
                <w:sz w:val="24"/>
              </w:rPr>
              <w:t>大遗址保护包含隋唐洛阳城遗址、汉魏故城、周王城遗址、龙门石窟、邙山陵墓群、偃师商城遗址、二里头遗址、东汉陵墓南兆域等九处保护地。本项目位于高龙镇大屯，主要涉及到大遗址保护中的东汉陵墓南兆域。</w:t>
            </w:r>
          </w:p>
          <w:p>
            <w:pPr>
              <w:adjustRightInd w:val="0"/>
              <w:spacing w:line="460" w:lineRule="exact"/>
              <w:ind w:firstLine="480" w:firstLineChars="200"/>
              <w:rPr>
                <w:bCs/>
                <w:sz w:val="24"/>
              </w:rPr>
            </w:pPr>
            <w:r>
              <w:rPr>
                <w:rFonts w:hint="eastAsia"/>
                <w:bCs/>
                <w:sz w:val="24"/>
              </w:rPr>
              <w:t>东汉陵墓南兆域位于李村镇、庞村镇、寇店镇、高龙镇、大口乡、顾县镇及附近地区，面积约200km</w:t>
            </w:r>
            <w:r>
              <w:rPr>
                <w:rFonts w:hint="eastAsia"/>
                <w:bCs/>
                <w:sz w:val="24"/>
                <w:vertAlign w:val="superscript"/>
              </w:rPr>
              <w:t>2</w:t>
            </w:r>
            <w:r>
              <w:rPr>
                <w:rFonts w:hint="eastAsia"/>
                <w:bCs/>
                <w:sz w:val="24"/>
              </w:rPr>
              <w:t>，于2008年纳入洛阳市保护的大遗址范围。东汉陵墓南兆域分为保护范围和建设控制地带二类。本项目位于其</w:t>
            </w:r>
            <w:r>
              <w:rPr>
                <w:rFonts w:hint="eastAsia"/>
                <w:bCs/>
                <w:color w:val="000000" w:themeColor="text1"/>
                <w:sz w:val="24"/>
                <w14:textFill>
                  <w14:solidFill>
                    <w14:schemeClr w14:val="tx1"/>
                  </w14:solidFill>
                </w14:textFill>
              </w:rPr>
              <w:t>建设控制地带范围内</w:t>
            </w:r>
            <w:r>
              <w:rPr>
                <w:rFonts w:hint="eastAsia"/>
                <w:bCs/>
                <w:sz w:val="24"/>
              </w:rPr>
              <w:t>，租用现有厂房进行建设，不涉及土建工程。根据偃师市文物旅游局出具的证明：本项目厂址已于2008经过勘探，未发现的文物（附件7）。本项目与文物保护区的关系见附图五。</w:t>
            </w:r>
          </w:p>
          <w:p>
            <w:pPr>
              <w:spacing w:line="460" w:lineRule="exact"/>
              <w:ind w:firstLine="482" w:firstLineChars="200"/>
              <w:rPr>
                <w:b/>
                <w:bCs/>
                <w:color w:val="000000"/>
                <w:sz w:val="24"/>
                <w:szCs w:val="20"/>
              </w:rPr>
            </w:pPr>
            <w:r>
              <w:rPr>
                <w:rFonts w:hint="eastAsia"/>
                <w:b/>
                <w:bCs/>
                <w:color w:val="000000"/>
                <w:sz w:val="24"/>
                <w:szCs w:val="20"/>
              </w:rPr>
              <w:t>2</w:t>
            </w:r>
            <w:r>
              <w:rPr>
                <w:b/>
                <w:bCs/>
                <w:color w:val="000000"/>
                <w:sz w:val="24"/>
                <w:szCs w:val="20"/>
              </w:rPr>
              <w:t>、饮用水源保护区划</w:t>
            </w:r>
          </w:p>
          <w:p>
            <w:pPr>
              <w:spacing w:line="460" w:lineRule="exact"/>
              <w:ind w:firstLine="480" w:firstLineChars="200"/>
              <w:rPr>
                <w:sz w:val="24"/>
              </w:rPr>
            </w:pPr>
            <w:r>
              <w:rPr>
                <w:sz w:val="24"/>
              </w:rPr>
              <w:t>根据《河南省人民政府办公厅关于印发河南省乡镇集中式饮用水水源保护区划的通知》（豫政办[2016]23号），</w:t>
            </w:r>
            <w:r>
              <w:rPr>
                <w:rFonts w:hint="eastAsia"/>
                <w:bCs/>
                <w:sz w:val="24"/>
              </w:rPr>
              <w:t>距离本项目最近的集中式饮用水水源地为高龙镇集中饮用水水源地</w:t>
            </w:r>
            <w:r>
              <w:rPr>
                <w:sz w:val="24"/>
              </w:rPr>
              <w:t>，其范围如下：</w:t>
            </w:r>
          </w:p>
          <w:p>
            <w:pPr>
              <w:spacing w:line="460" w:lineRule="exact"/>
              <w:ind w:firstLine="480" w:firstLineChars="200"/>
              <w:rPr>
                <w:sz w:val="24"/>
              </w:rPr>
            </w:pPr>
            <w:r>
              <w:rPr>
                <w:sz w:val="24"/>
              </w:rPr>
              <w:t>偃师市高龙镇供水厂地下水井群（共3眼井）：</w:t>
            </w:r>
          </w:p>
          <w:p>
            <w:pPr>
              <w:spacing w:line="460" w:lineRule="exact"/>
              <w:ind w:firstLine="480" w:firstLineChars="200"/>
              <w:rPr>
                <w:sz w:val="24"/>
              </w:rPr>
            </w:pPr>
            <w:r>
              <w:rPr>
                <w:sz w:val="24"/>
              </w:rPr>
              <w:t>一级保护区范围：水厂厂区及外围东95m、西100m、南100m至207国道、北200m的区域。</w:t>
            </w:r>
          </w:p>
          <w:p>
            <w:pPr>
              <w:spacing w:line="460" w:lineRule="exact"/>
              <w:ind w:firstLine="480" w:firstLineChars="200"/>
              <w:rPr>
                <w:color w:val="000000"/>
                <w:sz w:val="24"/>
                <w:highlight w:val="yellow"/>
              </w:rPr>
            </w:pPr>
            <w:r>
              <w:rPr>
                <w:sz w:val="24"/>
              </w:rPr>
              <w:t>根据现场调查，项目位于偃师</w:t>
            </w:r>
            <w:r>
              <w:rPr>
                <w:rFonts w:hint="eastAsia"/>
                <w:sz w:val="24"/>
                <w:lang w:val="en-US" w:eastAsia="zh-CN"/>
              </w:rPr>
              <w:t>区</w:t>
            </w:r>
            <w:r>
              <w:rPr>
                <w:sz w:val="24"/>
              </w:rPr>
              <w:t>高龙镇</w:t>
            </w:r>
            <w:r>
              <w:rPr>
                <w:rFonts w:hint="eastAsia"/>
                <w:sz w:val="24"/>
              </w:rPr>
              <w:t>大屯村</w:t>
            </w:r>
            <w:r>
              <w:rPr>
                <w:sz w:val="24"/>
              </w:rPr>
              <w:t>，</w:t>
            </w:r>
            <w:r>
              <w:rPr>
                <w:rFonts w:hint="eastAsia"/>
                <w:bCs/>
                <w:sz w:val="24"/>
              </w:rPr>
              <w:t>本项目位于该集中式饮用水水源地一级</w:t>
            </w:r>
            <w:r>
              <w:rPr>
                <w:rFonts w:hint="eastAsia"/>
                <w:bCs/>
                <w:color w:val="000000" w:themeColor="text1"/>
                <w:sz w:val="24"/>
                <w14:textFill>
                  <w14:solidFill>
                    <w14:schemeClr w14:val="tx1"/>
                  </w14:solidFill>
                </w14:textFill>
              </w:rPr>
              <w:t>保护区边界</w:t>
            </w:r>
            <w:r>
              <w:rPr>
                <w:rFonts w:hint="eastAsia"/>
                <w:bCs/>
                <w:sz w:val="24"/>
              </w:rPr>
              <w:t>边界东南2.5km</w:t>
            </w:r>
            <w:r>
              <w:rPr>
                <w:sz w:val="24"/>
              </w:rPr>
              <w:t>，</w:t>
            </w:r>
            <w:r>
              <w:rPr>
                <w:color w:val="000000"/>
                <w:sz w:val="24"/>
              </w:rPr>
              <w:t>不在其饮用水源地保护范围内，符合偃师</w:t>
            </w:r>
            <w:r>
              <w:rPr>
                <w:rFonts w:hint="eastAsia"/>
                <w:color w:val="000000"/>
                <w:sz w:val="24"/>
                <w:lang w:val="en-US" w:eastAsia="zh-CN"/>
              </w:rPr>
              <w:t>区</w:t>
            </w:r>
            <w:r>
              <w:rPr>
                <w:color w:val="000000"/>
                <w:sz w:val="24"/>
              </w:rPr>
              <w:t>乡镇集中式饮用水源地保护规划</w:t>
            </w:r>
            <w:r>
              <w:rPr>
                <w:rFonts w:hint="eastAsia"/>
                <w:color w:val="000000"/>
                <w:sz w:val="24"/>
              </w:rPr>
              <w:t>，</w:t>
            </w:r>
            <w:r>
              <w:rPr>
                <w:sz w:val="24"/>
              </w:rPr>
              <w:t>因此，本项目建设符合饮用水源保护要求</w:t>
            </w:r>
            <w:r>
              <w:rPr>
                <w:rFonts w:hint="eastAsia"/>
                <w:bCs/>
                <w:sz w:val="24"/>
              </w:rPr>
              <w:t>（具体保护范围及与项目的位置关系见附图六）</w:t>
            </w:r>
            <w:r>
              <w:rPr>
                <w:bCs/>
                <w:sz w:val="24"/>
              </w:rPr>
              <w:t>。</w:t>
            </w:r>
          </w:p>
          <w:p>
            <w:pPr>
              <w:adjustRightInd w:val="0"/>
              <w:snapToGrid w:val="0"/>
              <w:spacing w:line="460" w:lineRule="exact"/>
              <w:ind w:firstLine="482" w:firstLineChars="200"/>
              <w:rPr>
                <w:b/>
                <w:bCs/>
                <w:color w:val="000000"/>
                <w:sz w:val="24"/>
                <w:lang w:val="zh-CN"/>
              </w:rPr>
            </w:pPr>
            <w:r>
              <w:rPr>
                <w:rFonts w:hint="eastAsia"/>
                <w:b/>
                <w:bCs/>
                <w:color w:val="000000"/>
                <w:sz w:val="24"/>
              </w:rPr>
              <w:t>3</w:t>
            </w:r>
            <w:r>
              <w:rPr>
                <w:b/>
                <w:bCs/>
                <w:color w:val="000000"/>
                <w:sz w:val="24"/>
              </w:rPr>
              <w:t>、</w:t>
            </w:r>
            <w:r>
              <w:rPr>
                <w:b/>
                <w:bCs/>
                <w:color w:val="000000"/>
                <w:sz w:val="24"/>
                <w:lang w:val="zh-CN"/>
              </w:rPr>
              <w:t>与《产业结构调整指导目录》相符性分析</w:t>
            </w:r>
          </w:p>
          <w:p>
            <w:pPr>
              <w:adjustRightInd w:val="0"/>
              <w:snapToGrid w:val="0"/>
              <w:spacing w:line="460" w:lineRule="exact"/>
              <w:ind w:firstLine="480" w:firstLineChars="200"/>
              <w:rPr>
                <w:color w:val="000000"/>
                <w:sz w:val="24"/>
                <w:lang w:val="zh-CN"/>
              </w:rPr>
            </w:pPr>
            <w:r>
              <w:rPr>
                <w:color w:val="000000"/>
                <w:sz w:val="24"/>
              </w:rPr>
              <w:t>拟建项目不属于《产业结构调整指导目录》（2019年本）（国家发展改革委令2019第29号，2020年1月1日后实施）限制类及淘汰类项目，为允许建设项目，符合相关国家产业政策要求。</w:t>
            </w:r>
          </w:p>
          <w:p>
            <w:pPr>
              <w:spacing w:line="460" w:lineRule="atLeast"/>
              <w:ind w:firstLine="482" w:firstLineChars="200"/>
              <w:rPr>
                <w:b/>
                <w:bCs/>
                <w:color w:val="000000"/>
                <w:sz w:val="24"/>
              </w:rPr>
            </w:pPr>
            <w:r>
              <w:rPr>
                <w:rFonts w:hint="eastAsia"/>
                <w:b/>
                <w:bCs/>
                <w:color w:val="000000"/>
                <w:sz w:val="24"/>
              </w:rPr>
              <w:t>4</w:t>
            </w:r>
            <w:r>
              <w:rPr>
                <w:b/>
                <w:bCs/>
                <w:color w:val="000000"/>
                <w:sz w:val="24"/>
              </w:rPr>
              <w:t>、</w:t>
            </w:r>
            <w:r>
              <w:rPr>
                <w:rFonts w:hint="eastAsia"/>
                <w:b/>
                <w:bCs/>
                <w:color w:val="000000"/>
                <w:sz w:val="24"/>
              </w:rPr>
              <w:t xml:space="preserve">与《洛阳市人民政府关于实施“三线一单”生态环境分区管控的意见》 </w:t>
            </w:r>
          </w:p>
          <w:p>
            <w:pPr>
              <w:spacing w:line="460" w:lineRule="atLeast"/>
              <w:rPr>
                <w:b/>
                <w:bCs/>
                <w:color w:val="000000"/>
                <w:sz w:val="24"/>
              </w:rPr>
            </w:pPr>
            <w:r>
              <w:rPr>
                <w:rFonts w:hint="eastAsia"/>
                <w:b/>
                <w:bCs/>
                <w:color w:val="000000"/>
                <w:sz w:val="24"/>
              </w:rPr>
              <w:t>（洛政〔2021〕7 号）相符性分析</w:t>
            </w:r>
          </w:p>
          <w:p>
            <w:pPr>
              <w:spacing w:line="460" w:lineRule="atLeast"/>
              <w:ind w:firstLine="480" w:firstLineChars="200"/>
              <w:rPr>
                <w:color w:val="000000"/>
                <w:sz w:val="24"/>
              </w:rPr>
            </w:pPr>
            <w:r>
              <w:rPr>
                <w:rFonts w:hint="eastAsia"/>
                <w:color w:val="000000"/>
                <w:sz w:val="24"/>
              </w:rPr>
              <w:t>“三线一单”指的是“生态保护红线”、“环境质量底线”、“资源利用上线”及“环境准入清单”。根据《洛阳市人民政府关于实施“三线一单”生态环境分区管控的意见》（洛政〔2021〕7号），本项目与“三线一单”符合性分析如下：</w:t>
            </w:r>
          </w:p>
          <w:p>
            <w:pPr>
              <w:spacing w:line="460" w:lineRule="atLeast"/>
              <w:ind w:firstLine="480" w:firstLineChars="200"/>
              <w:rPr>
                <w:color w:val="000000"/>
                <w:sz w:val="24"/>
              </w:rPr>
            </w:pPr>
            <w:r>
              <w:rPr>
                <w:rFonts w:hint="eastAsia"/>
                <w:color w:val="000000"/>
                <w:sz w:val="24"/>
                <w:lang w:val="en-US" w:eastAsia="zh-CN"/>
              </w:rPr>
              <w:t>4</w:t>
            </w:r>
            <w:r>
              <w:rPr>
                <w:rFonts w:hint="eastAsia"/>
                <w:color w:val="000000"/>
                <w:sz w:val="24"/>
              </w:rPr>
              <w:t>.1生态保护红线：</w:t>
            </w:r>
          </w:p>
          <w:p>
            <w:pPr>
              <w:spacing w:line="460" w:lineRule="atLeast"/>
              <w:ind w:firstLine="480" w:firstLineChars="200"/>
              <w:rPr>
                <w:color w:val="000000"/>
                <w:sz w:val="24"/>
              </w:rPr>
            </w:pPr>
            <w:r>
              <w:rPr>
                <w:rFonts w:hint="eastAsia"/>
                <w:color w:val="000000"/>
                <w:sz w:val="24"/>
              </w:rPr>
              <w:t>本项目位于洛阳市偃师区高龙镇大屯村，不在自然保护区、风景名胜区、森林公园、地质公园、重要生态功能区、生态敏感区和脆弱区以及其他要求禁止建设的环境敏感区内。</w:t>
            </w:r>
          </w:p>
          <w:p>
            <w:pPr>
              <w:spacing w:line="460" w:lineRule="atLeast"/>
              <w:ind w:firstLine="480" w:firstLineChars="200"/>
              <w:rPr>
                <w:color w:val="000000"/>
                <w:sz w:val="24"/>
              </w:rPr>
            </w:pPr>
            <w:r>
              <w:rPr>
                <w:rFonts w:hint="eastAsia"/>
                <w:color w:val="000000"/>
                <w:sz w:val="24"/>
                <w:lang w:val="en-US" w:eastAsia="zh-CN"/>
              </w:rPr>
              <w:t>4</w:t>
            </w:r>
            <w:r>
              <w:rPr>
                <w:rFonts w:hint="eastAsia"/>
                <w:color w:val="000000"/>
                <w:sz w:val="24"/>
              </w:rPr>
              <w:t>.2环境质量底线</w:t>
            </w:r>
          </w:p>
          <w:p>
            <w:pPr>
              <w:spacing w:line="460" w:lineRule="atLeast"/>
              <w:ind w:firstLine="480" w:firstLineChars="200"/>
              <w:rPr>
                <w:color w:val="000000"/>
                <w:sz w:val="24"/>
              </w:rPr>
            </w:pPr>
            <w:r>
              <w:rPr>
                <w:rFonts w:hint="eastAsia"/>
                <w:color w:val="000000"/>
                <w:sz w:val="24"/>
              </w:rPr>
              <w:t>大气：项目选址区域为环境空气功能区二类区，执行二级标准，根据洛阳市生态环境局公布的《2020年洛阳市生态环境状况公报》，项目所在评价区域PM</w:t>
            </w:r>
            <w:r>
              <w:rPr>
                <w:rFonts w:hint="eastAsia"/>
                <w:color w:val="000000"/>
                <w:sz w:val="24"/>
                <w:vertAlign w:val="subscript"/>
              </w:rPr>
              <w:t>2.5</w:t>
            </w:r>
            <w:r>
              <w:rPr>
                <w:rFonts w:hint="eastAsia"/>
                <w:color w:val="000000"/>
                <w:sz w:val="24"/>
              </w:rPr>
              <w:t>、PM</w:t>
            </w:r>
            <w:r>
              <w:rPr>
                <w:rFonts w:hint="eastAsia"/>
                <w:color w:val="000000"/>
                <w:sz w:val="24"/>
                <w:vertAlign w:val="subscript"/>
              </w:rPr>
              <w:t>10</w:t>
            </w:r>
            <w:r>
              <w:rPr>
                <w:rFonts w:hint="eastAsia"/>
                <w:color w:val="000000"/>
                <w:sz w:val="24"/>
              </w:rPr>
              <w:t>、O</w:t>
            </w:r>
            <w:r>
              <w:rPr>
                <w:rFonts w:hint="eastAsia"/>
                <w:color w:val="000000"/>
                <w:sz w:val="24"/>
                <w:vertAlign w:val="subscript"/>
              </w:rPr>
              <w:t>3</w:t>
            </w:r>
            <w:r>
              <w:rPr>
                <w:rFonts w:hint="eastAsia"/>
                <w:color w:val="000000"/>
                <w:sz w:val="24"/>
              </w:rPr>
              <w:t>不能满足《环境空气质量标准》（GB3095-2012）二级标准要求，因此项目所在区域为环境空气质量不达标区。根据偃师</w:t>
            </w:r>
            <w:r>
              <w:rPr>
                <w:rFonts w:hint="eastAsia"/>
                <w:color w:val="000000"/>
                <w:sz w:val="24"/>
                <w:lang w:val="en-US" w:eastAsia="zh-CN"/>
              </w:rPr>
              <w:t>区</w:t>
            </w:r>
            <w:r>
              <w:rPr>
                <w:rFonts w:hint="eastAsia"/>
                <w:color w:val="000000"/>
                <w:sz w:val="24"/>
              </w:rPr>
              <w:t>环境监测站2020年连续一年的常规监测数据结果表明，项目所在区域PM</w:t>
            </w:r>
            <w:r>
              <w:rPr>
                <w:rFonts w:hint="eastAsia"/>
                <w:color w:val="000000"/>
                <w:sz w:val="24"/>
                <w:vertAlign w:val="subscript"/>
              </w:rPr>
              <w:t>2.5</w:t>
            </w:r>
            <w:r>
              <w:rPr>
                <w:rFonts w:hint="eastAsia"/>
                <w:color w:val="000000"/>
                <w:sz w:val="24"/>
              </w:rPr>
              <w:t>、PM</w:t>
            </w:r>
            <w:r>
              <w:rPr>
                <w:rFonts w:hint="eastAsia"/>
                <w:color w:val="000000"/>
                <w:sz w:val="24"/>
                <w:vertAlign w:val="subscript"/>
              </w:rPr>
              <w:t>10</w:t>
            </w:r>
            <w:r>
              <w:rPr>
                <w:rFonts w:hint="eastAsia"/>
                <w:color w:val="000000"/>
                <w:sz w:val="24"/>
              </w:rPr>
              <w:t>、O</w:t>
            </w:r>
            <w:r>
              <w:rPr>
                <w:rFonts w:hint="eastAsia"/>
                <w:color w:val="000000"/>
                <w:sz w:val="24"/>
                <w:vertAlign w:val="subscript"/>
              </w:rPr>
              <w:t>3</w:t>
            </w:r>
            <w:r>
              <w:rPr>
                <w:rFonts w:hint="eastAsia"/>
                <w:color w:val="000000"/>
                <w:sz w:val="24"/>
              </w:rPr>
              <w:t>不能满足《环境空气质量标准》（GB3095-2012）二级标准要求。</w:t>
            </w:r>
          </w:p>
          <w:p>
            <w:pPr>
              <w:spacing w:line="460" w:lineRule="atLeast"/>
              <w:ind w:firstLine="480" w:firstLineChars="200"/>
              <w:rPr>
                <w:color w:val="000000"/>
                <w:sz w:val="24"/>
              </w:rPr>
            </w:pPr>
            <w:r>
              <w:rPr>
                <w:rFonts w:hint="eastAsia"/>
                <w:color w:val="000000"/>
                <w:sz w:val="24"/>
              </w:rPr>
              <w:t>本项目运营过程中</w:t>
            </w:r>
            <w:r>
              <w:rPr>
                <w:sz w:val="24"/>
              </w:rPr>
              <w:t>切割</w:t>
            </w:r>
            <w:r>
              <w:rPr>
                <w:rFonts w:hint="eastAsia"/>
                <w:sz w:val="24"/>
              </w:rPr>
              <w:t>及焊接</w:t>
            </w:r>
            <w:r>
              <w:rPr>
                <w:color w:val="000000"/>
                <w:sz w:val="24"/>
              </w:rPr>
              <w:t>工序</w:t>
            </w:r>
            <w:r>
              <w:rPr>
                <w:rFonts w:hint="eastAsia"/>
                <w:color w:val="000000"/>
                <w:sz w:val="24"/>
              </w:rPr>
              <w:t>颗粒物</w:t>
            </w:r>
            <w:r>
              <w:rPr>
                <w:color w:val="000000"/>
                <w:sz w:val="24"/>
              </w:rPr>
              <w:t>采用</w:t>
            </w:r>
            <w:r>
              <w:rPr>
                <w:rFonts w:hint="eastAsia"/>
                <w:color w:val="000000"/>
                <w:sz w:val="24"/>
              </w:rPr>
              <w:t>“</w:t>
            </w:r>
            <w:r>
              <w:rPr>
                <w:color w:val="000000"/>
                <w:sz w:val="24"/>
              </w:rPr>
              <w:t>袋式除尘器</w:t>
            </w:r>
            <w:r>
              <w:rPr>
                <w:rFonts w:hint="eastAsia"/>
                <w:color w:val="000000"/>
                <w:sz w:val="24"/>
              </w:rPr>
              <w:t>”</w:t>
            </w:r>
            <w:r>
              <w:rPr>
                <w:color w:val="000000"/>
                <w:sz w:val="24"/>
              </w:rPr>
              <w:t>进行净化处理，</w:t>
            </w:r>
            <w:r>
              <w:rPr>
                <w:rFonts w:hint="eastAsia"/>
                <w:color w:val="000000"/>
                <w:sz w:val="24"/>
              </w:rPr>
              <w:t>喷塑工序废气采用“旋风除尘+后置滤筒除尘”进行净化处理，固化工序采用“UV光氧+活性炭吸附”进行净化处理，处理后均达标排放，对项目区域环境空气影响较小，不会改变项目所在区域的大气环境功能。</w:t>
            </w:r>
          </w:p>
          <w:p>
            <w:pPr>
              <w:spacing w:line="460" w:lineRule="atLeast"/>
              <w:ind w:firstLine="480" w:firstLineChars="200"/>
              <w:rPr>
                <w:color w:val="000000"/>
                <w:sz w:val="24"/>
              </w:rPr>
            </w:pPr>
            <w:r>
              <w:rPr>
                <w:rFonts w:hint="eastAsia"/>
                <w:color w:val="000000"/>
                <w:sz w:val="24"/>
              </w:rPr>
              <w:t>地表水：距本项目最近的地表水体为洛河，洛阳市环境监测站公开发布的2020年1-12月份洛阳市环境质量监测月报中的洛河伊洛河汇合口断面的环境监测数据进行统计，洛河伊洛河汇合口断面COD、NH3-N、TP监测值均未出现超标，均满足《地表水环境质量标准》(GB3838-2002)III类标准。本项目营运期产生的废水主要为职工生活污水，经化粪池处理后，定期清掏用于肥田，不对区域地表水环境产生影响。</w:t>
            </w:r>
          </w:p>
          <w:p>
            <w:pPr>
              <w:spacing w:line="460" w:lineRule="atLeast"/>
              <w:ind w:firstLine="480" w:firstLineChars="200"/>
              <w:rPr>
                <w:color w:val="000000"/>
                <w:sz w:val="24"/>
              </w:rPr>
            </w:pPr>
            <w:r>
              <w:rPr>
                <w:rFonts w:hint="eastAsia"/>
                <w:color w:val="000000"/>
                <w:sz w:val="24"/>
              </w:rPr>
              <w:t>噪声：项目所在区域为2类声环境功能区，</w:t>
            </w:r>
            <w:r>
              <w:rPr>
                <w:rFonts w:hint="eastAsia"/>
                <w:b/>
                <w:bCs/>
                <w:color w:val="000000" w:themeColor="text1"/>
                <w:sz w:val="24"/>
                <w:u w:val="single"/>
                <w14:textFill>
                  <w14:solidFill>
                    <w14:schemeClr w14:val="tx1"/>
                  </w14:solidFill>
                </w14:textFill>
              </w:rPr>
              <w:t>根据运营期厂界声环境预测结果，项目</w:t>
            </w:r>
            <w:r>
              <w:rPr>
                <w:rFonts w:hint="eastAsia"/>
                <w:b/>
                <w:bCs/>
                <w:color w:val="000000" w:themeColor="text1"/>
                <w:sz w:val="24"/>
                <w:u w:val="single"/>
                <w:lang w:val="en-US" w:eastAsia="zh-CN"/>
                <w14:textFill>
                  <w14:solidFill>
                    <w14:schemeClr w14:val="tx1"/>
                  </w14:solidFill>
                </w14:textFill>
              </w:rPr>
              <w:t>建成后</w:t>
            </w:r>
            <w:r>
              <w:rPr>
                <w:rFonts w:hint="eastAsia"/>
                <w:b/>
                <w:bCs/>
                <w:color w:val="000000" w:themeColor="text1"/>
                <w:sz w:val="24"/>
                <w:u w:val="single"/>
                <w14:textFill>
                  <w14:solidFill>
                    <w14:schemeClr w14:val="tx1"/>
                  </w14:solidFill>
                </w14:textFill>
              </w:rPr>
              <w:t>通过厂房隔声等降噪措施后</w:t>
            </w:r>
            <w:r>
              <w:rPr>
                <w:rFonts w:hint="eastAsia"/>
                <w:b/>
                <w:bCs/>
                <w:color w:val="000000" w:themeColor="text1"/>
                <w:sz w:val="24"/>
                <w:u w:val="single"/>
                <w:lang w:val="en-US" w:eastAsia="zh-CN"/>
                <w14:textFill>
                  <w14:solidFill>
                    <w14:schemeClr w14:val="tx1"/>
                  </w14:solidFill>
                </w14:textFill>
              </w:rPr>
              <w:t>噪声能够满足《工业企业厂界环境噪声排放标准》（GB12348-2008）2类</w:t>
            </w:r>
            <w:r>
              <w:rPr>
                <w:rFonts w:hint="eastAsia"/>
                <w:b/>
                <w:bCs/>
                <w:color w:val="000000" w:themeColor="text1"/>
                <w:sz w:val="24"/>
                <w:u w:val="single"/>
                <w14:textFill>
                  <w14:solidFill>
                    <w14:schemeClr w14:val="tx1"/>
                  </w14:solidFill>
                </w14:textFill>
              </w:rPr>
              <w:t>厂界</w:t>
            </w:r>
            <w:r>
              <w:rPr>
                <w:rFonts w:hint="eastAsia"/>
                <w:b/>
                <w:bCs/>
                <w:color w:val="000000" w:themeColor="text1"/>
                <w:sz w:val="24"/>
                <w:u w:val="single"/>
                <w:lang w:val="en-US" w:eastAsia="zh-CN"/>
                <w14:textFill>
                  <w14:solidFill>
                    <w14:schemeClr w14:val="tx1"/>
                  </w14:solidFill>
                </w14:textFill>
              </w:rPr>
              <w:t>标准</w:t>
            </w:r>
            <w:r>
              <w:rPr>
                <w:rFonts w:hint="eastAsia"/>
                <w:color w:val="000000"/>
                <w:sz w:val="24"/>
              </w:rPr>
              <w:t>，</w:t>
            </w:r>
            <w:r>
              <w:rPr>
                <w:rFonts w:hint="eastAsia"/>
                <w:color w:val="000000"/>
                <w:sz w:val="24"/>
                <w:lang w:val="en-US" w:eastAsia="zh-CN"/>
              </w:rPr>
              <w:t>不</w:t>
            </w:r>
            <w:r>
              <w:rPr>
                <w:rFonts w:hint="eastAsia"/>
                <w:color w:val="000000"/>
                <w:sz w:val="24"/>
              </w:rPr>
              <w:t>会改变项目所在区域的声环境功能。</w:t>
            </w:r>
          </w:p>
          <w:p>
            <w:pPr>
              <w:spacing w:line="460" w:lineRule="atLeast"/>
              <w:ind w:firstLine="480" w:firstLineChars="200"/>
              <w:rPr>
                <w:color w:val="000000"/>
                <w:sz w:val="24"/>
              </w:rPr>
            </w:pPr>
            <w:r>
              <w:rPr>
                <w:rFonts w:hint="eastAsia"/>
                <w:color w:val="000000"/>
                <w:sz w:val="24"/>
              </w:rPr>
              <w:t>因此，本项目建设符合环境质量底线要求。</w:t>
            </w:r>
          </w:p>
          <w:p>
            <w:pPr>
              <w:spacing w:line="460" w:lineRule="atLeast"/>
              <w:ind w:firstLine="480" w:firstLineChars="200"/>
              <w:rPr>
                <w:color w:val="000000"/>
                <w:sz w:val="24"/>
              </w:rPr>
            </w:pPr>
            <w:r>
              <w:rPr>
                <w:rFonts w:hint="eastAsia"/>
                <w:color w:val="000000"/>
                <w:sz w:val="24"/>
                <w:lang w:val="en-US" w:eastAsia="zh-CN"/>
              </w:rPr>
              <w:t>4</w:t>
            </w:r>
            <w:r>
              <w:rPr>
                <w:rFonts w:hint="eastAsia"/>
                <w:color w:val="000000"/>
                <w:sz w:val="24"/>
              </w:rPr>
              <w:t>.3资源利用上线</w:t>
            </w:r>
          </w:p>
          <w:p>
            <w:pPr>
              <w:spacing w:line="460" w:lineRule="atLeast"/>
              <w:ind w:firstLine="480" w:firstLineChars="200"/>
              <w:rPr>
                <w:color w:val="000000"/>
                <w:sz w:val="24"/>
              </w:rPr>
            </w:pPr>
            <w:r>
              <w:rPr>
                <w:rFonts w:hint="eastAsia"/>
                <w:color w:val="000000"/>
                <w:sz w:val="24"/>
              </w:rPr>
              <w:t>本项目用水来市政供水，用电来自市政供电，固化室为电加热，不涉及燃煤。营运期用水为职工生活用水，不属于高耗能和资源消耗性企业，项目的水、电等资源利用不会突破区域的资源利用上线。</w:t>
            </w:r>
          </w:p>
          <w:p>
            <w:pPr>
              <w:spacing w:line="460" w:lineRule="atLeast"/>
              <w:ind w:firstLine="480" w:firstLineChars="200"/>
              <w:rPr>
                <w:color w:val="000000"/>
                <w:sz w:val="24"/>
              </w:rPr>
            </w:pPr>
            <w:r>
              <w:rPr>
                <w:rFonts w:hint="eastAsia"/>
                <w:color w:val="000000"/>
                <w:sz w:val="24"/>
              </w:rPr>
              <w:t>因此，本项目建设符合资源利用上线要求。</w:t>
            </w:r>
          </w:p>
          <w:p>
            <w:pPr>
              <w:spacing w:line="460" w:lineRule="atLeast"/>
              <w:ind w:firstLine="482" w:firstLineChars="200"/>
              <w:rPr>
                <w:b/>
                <w:bCs/>
                <w:color w:val="000000"/>
                <w:sz w:val="24"/>
              </w:rPr>
            </w:pPr>
            <w:r>
              <w:rPr>
                <w:rFonts w:hint="eastAsia"/>
                <w:b/>
                <w:bCs/>
                <w:color w:val="000000"/>
                <w:sz w:val="24"/>
              </w:rPr>
              <w:t>5、与《洛阳市“三线一单”生态环境准入清单（试行）》（洛市环〔2021〕58号）相符性分析</w:t>
            </w:r>
          </w:p>
          <w:p>
            <w:pPr>
              <w:adjustRightInd w:val="0"/>
              <w:snapToGrid w:val="0"/>
              <w:spacing w:before="24" w:beforeLines="10" w:line="460" w:lineRule="exact"/>
              <w:ind w:firstLine="480" w:firstLineChars="200"/>
              <w:rPr>
                <w:color w:val="000000"/>
                <w:sz w:val="24"/>
              </w:rPr>
            </w:pPr>
            <w:r>
              <w:rPr>
                <w:color w:val="000000"/>
                <w:sz w:val="24"/>
              </w:rPr>
              <w:t>生态环境总体准入要求包括空间布局约束、污染物排放控制、环境风险防控、资源利用效率要求四个维度。本项目位于偃师</w:t>
            </w:r>
            <w:r>
              <w:rPr>
                <w:rFonts w:hint="eastAsia"/>
                <w:color w:val="000000"/>
                <w:sz w:val="24"/>
                <w:lang w:val="en-US" w:eastAsia="zh-CN"/>
              </w:rPr>
              <w:t>区</w:t>
            </w:r>
            <w:r>
              <w:rPr>
                <w:rFonts w:hint="eastAsia"/>
                <w:color w:val="000000"/>
                <w:sz w:val="24"/>
              </w:rPr>
              <w:t>高龙镇大屯村</w:t>
            </w:r>
            <w:r>
              <w:rPr>
                <w:color w:val="000000"/>
                <w:sz w:val="24"/>
              </w:rPr>
              <w:t>，</w:t>
            </w:r>
            <w:r>
              <w:rPr>
                <w:rFonts w:hint="eastAsia"/>
                <w:color w:val="000000"/>
                <w:sz w:val="24"/>
              </w:rPr>
              <w:t>根据《洛阳市生态环境局关于发布洛阳市“三线一单”生态环境准入清单（试行）的函》（洛市环【2021】58号）</w:t>
            </w:r>
            <w:r>
              <w:rPr>
                <w:color w:val="000000"/>
                <w:sz w:val="24"/>
              </w:rPr>
              <w:t>洛阳市</w:t>
            </w:r>
            <w:r>
              <w:rPr>
                <w:rFonts w:hint="eastAsia"/>
                <w:color w:val="000000"/>
                <w:sz w:val="24"/>
              </w:rPr>
              <w:t>偃师区</w:t>
            </w:r>
            <w:r>
              <w:rPr>
                <w:color w:val="000000"/>
                <w:sz w:val="24"/>
              </w:rPr>
              <w:t>环境管控单元生态</w:t>
            </w:r>
            <w:r>
              <w:rPr>
                <w:rFonts w:hint="eastAsia"/>
                <w:color w:val="000000"/>
                <w:sz w:val="24"/>
              </w:rPr>
              <w:t>环境</w:t>
            </w:r>
            <w:r>
              <w:rPr>
                <w:color w:val="000000"/>
                <w:sz w:val="24"/>
              </w:rPr>
              <w:t>准入清单，</w:t>
            </w:r>
            <w:r>
              <w:rPr>
                <w:rFonts w:hint="eastAsia"/>
                <w:color w:val="000000"/>
                <w:sz w:val="24"/>
              </w:rPr>
              <w:t>顾县镇</w:t>
            </w:r>
            <w:r>
              <w:rPr>
                <w:color w:val="000000"/>
                <w:sz w:val="24"/>
              </w:rPr>
              <w:t>属于重点管控单元，与环境准入清单符合性分析见下表。</w:t>
            </w:r>
          </w:p>
          <w:p>
            <w:pPr>
              <w:pStyle w:val="6"/>
              <w:spacing w:before="24" w:beforeLines="10"/>
              <w:ind w:left="358" w:firstLine="482" w:firstLineChars="0"/>
              <w:rPr>
                <w:color w:val="000000"/>
              </w:rPr>
            </w:pPr>
            <w:r>
              <w:rPr>
                <w:color w:val="000000"/>
              </w:rPr>
              <w:t xml:space="preserve">         与环境准入清单符合性分析</w:t>
            </w:r>
          </w:p>
          <w:tbl>
            <w:tblPr>
              <w:tblStyle w:val="19"/>
              <w:tblW w:w="498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1549"/>
              <w:gridCol w:w="617"/>
              <w:gridCol w:w="631"/>
              <w:gridCol w:w="687"/>
              <w:gridCol w:w="610"/>
              <w:gridCol w:w="2272"/>
              <w:gridCol w:w="1203"/>
              <w:gridCol w:w="4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1157" w:hRule="atLeast"/>
                <w:jc w:val="center"/>
              </w:trPr>
              <w:tc>
                <w:tcPr>
                  <w:tcW w:w="699" w:type="dxa"/>
                  <w:tcBorders>
                    <w:tl2br w:val="nil"/>
                    <w:tr2bl w:val="nil"/>
                  </w:tcBorders>
                  <w:vAlign w:val="center"/>
                </w:tcPr>
                <w:p>
                  <w:pPr>
                    <w:spacing w:before="24" w:beforeLines="10"/>
                    <w:jc w:val="center"/>
                    <w:rPr>
                      <w:szCs w:val="21"/>
                    </w:rPr>
                  </w:pPr>
                  <w:r>
                    <w:rPr>
                      <w:szCs w:val="21"/>
                    </w:rPr>
                    <w:t>环境管控单元编码</w:t>
                  </w:r>
                </w:p>
              </w:tc>
              <w:tc>
                <w:tcPr>
                  <w:tcW w:w="692" w:type="dxa"/>
                  <w:tcBorders>
                    <w:tl2br w:val="nil"/>
                    <w:tr2bl w:val="nil"/>
                  </w:tcBorders>
                  <w:vAlign w:val="center"/>
                </w:tcPr>
                <w:p>
                  <w:pPr>
                    <w:spacing w:before="24" w:beforeLines="10"/>
                    <w:jc w:val="center"/>
                    <w:rPr>
                      <w:szCs w:val="21"/>
                    </w:rPr>
                  </w:pPr>
                  <w:r>
                    <w:rPr>
                      <w:szCs w:val="21"/>
                    </w:rPr>
                    <w:t>管控单元分类</w:t>
                  </w:r>
                </w:p>
              </w:tc>
              <w:tc>
                <w:tcPr>
                  <w:tcW w:w="708" w:type="dxa"/>
                  <w:tcBorders>
                    <w:tl2br w:val="nil"/>
                    <w:tr2bl w:val="nil"/>
                  </w:tcBorders>
                  <w:vAlign w:val="center"/>
                </w:tcPr>
                <w:p>
                  <w:pPr>
                    <w:spacing w:before="24" w:beforeLines="10"/>
                    <w:jc w:val="center"/>
                    <w:rPr>
                      <w:szCs w:val="21"/>
                    </w:rPr>
                  </w:pPr>
                  <w:r>
                    <w:rPr>
                      <w:szCs w:val="21"/>
                    </w:rPr>
                    <w:t>环境管控单元名称</w:t>
                  </w:r>
                </w:p>
              </w:tc>
              <w:tc>
                <w:tcPr>
                  <w:tcW w:w="725" w:type="dxa"/>
                  <w:tcBorders>
                    <w:tl2br w:val="nil"/>
                    <w:tr2bl w:val="nil"/>
                  </w:tcBorders>
                  <w:vAlign w:val="center"/>
                </w:tcPr>
                <w:p>
                  <w:pPr>
                    <w:spacing w:before="24" w:beforeLines="10"/>
                    <w:jc w:val="center"/>
                    <w:rPr>
                      <w:szCs w:val="21"/>
                    </w:rPr>
                  </w:pPr>
                  <w:r>
                    <w:rPr>
                      <w:szCs w:val="21"/>
                    </w:rPr>
                    <w:t>行政区划乡镇</w:t>
                  </w:r>
                </w:p>
              </w:tc>
              <w:tc>
                <w:tcPr>
                  <w:tcW w:w="3366" w:type="dxa"/>
                  <w:gridSpan w:val="2"/>
                  <w:tcBorders>
                    <w:tl2br w:val="nil"/>
                    <w:tr2bl w:val="nil"/>
                  </w:tcBorders>
                  <w:vAlign w:val="center"/>
                </w:tcPr>
                <w:p>
                  <w:pPr>
                    <w:spacing w:before="24" w:beforeLines="10"/>
                    <w:jc w:val="center"/>
                    <w:rPr>
                      <w:szCs w:val="21"/>
                    </w:rPr>
                  </w:pPr>
                  <w:r>
                    <w:rPr>
                      <w:szCs w:val="21"/>
                    </w:rPr>
                    <w:t>管控要求</w:t>
                  </w:r>
                </w:p>
              </w:tc>
              <w:tc>
                <w:tcPr>
                  <w:tcW w:w="1345" w:type="dxa"/>
                  <w:tcBorders>
                    <w:tl2br w:val="nil"/>
                    <w:tr2bl w:val="nil"/>
                  </w:tcBorders>
                  <w:vAlign w:val="center"/>
                </w:tcPr>
                <w:p>
                  <w:pPr>
                    <w:spacing w:before="24" w:beforeLines="10"/>
                    <w:jc w:val="center"/>
                    <w:rPr>
                      <w:szCs w:val="21"/>
                    </w:rPr>
                  </w:pPr>
                  <w:r>
                    <w:rPr>
                      <w:szCs w:val="21"/>
                    </w:rPr>
                    <w:t>本项目情况</w:t>
                  </w:r>
                </w:p>
              </w:tc>
              <w:tc>
                <w:tcPr>
                  <w:tcW w:w="496" w:type="dxa"/>
                  <w:tcBorders>
                    <w:tl2br w:val="nil"/>
                    <w:tr2bl w:val="nil"/>
                  </w:tcBorders>
                  <w:vAlign w:val="center"/>
                </w:tcPr>
                <w:p>
                  <w:pPr>
                    <w:spacing w:before="24" w:beforeLines="10"/>
                    <w:jc w:val="center"/>
                    <w:rPr>
                      <w:szCs w:val="21"/>
                    </w:rPr>
                  </w:pPr>
                  <w:r>
                    <w:rPr>
                      <w:szCs w:val="21"/>
                    </w:rPr>
                    <w:t>相符性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45" w:hRule="atLeast"/>
                <w:jc w:val="center"/>
              </w:trPr>
              <w:tc>
                <w:tcPr>
                  <w:tcW w:w="699" w:type="dxa"/>
                  <w:vMerge w:val="restart"/>
                  <w:tcBorders>
                    <w:tl2br w:val="nil"/>
                    <w:tr2bl w:val="nil"/>
                  </w:tcBorders>
                  <w:vAlign w:val="center"/>
                </w:tcPr>
                <w:p>
                  <w:pPr>
                    <w:pStyle w:val="44"/>
                    <w:jc w:val="center"/>
                    <w:rPr>
                      <w:color w:val="auto"/>
                      <w:szCs w:val="21"/>
                    </w:rPr>
                  </w:pPr>
                  <w:r>
                    <w:rPr>
                      <w:color w:val="auto"/>
                      <w:szCs w:val="21"/>
                    </w:rPr>
                    <w:t>ZH4103812000</w:t>
                  </w:r>
                  <w:r>
                    <w:rPr>
                      <w:rFonts w:hint="eastAsia"/>
                      <w:color w:val="auto"/>
                      <w:szCs w:val="21"/>
                    </w:rPr>
                    <w:t>4</w:t>
                  </w:r>
                </w:p>
                <w:p>
                  <w:pPr>
                    <w:pStyle w:val="44"/>
                    <w:jc w:val="center"/>
                    <w:rPr>
                      <w:color w:val="auto"/>
                      <w:szCs w:val="21"/>
                    </w:rPr>
                  </w:pPr>
                </w:p>
              </w:tc>
              <w:tc>
                <w:tcPr>
                  <w:tcW w:w="692" w:type="dxa"/>
                  <w:vMerge w:val="restart"/>
                  <w:tcBorders>
                    <w:tl2br w:val="nil"/>
                    <w:tr2bl w:val="nil"/>
                  </w:tcBorders>
                  <w:vAlign w:val="center"/>
                </w:tcPr>
                <w:p>
                  <w:pPr>
                    <w:pStyle w:val="44"/>
                    <w:jc w:val="center"/>
                    <w:rPr>
                      <w:color w:val="auto"/>
                      <w:szCs w:val="21"/>
                    </w:rPr>
                  </w:pPr>
                  <w:r>
                    <w:rPr>
                      <w:rFonts w:hint="eastAsia"/>
                      <w:color w:val="auto"/>
                      <w:szCs w:val="21"/>
                    </w:rPr>
                    <w:t>重点管控单元</w:t>
                  </w:r>
                </w:p>
              </w:tc>
              <w:tc>
                <w:tcPr>
                  <w:tcW w:w="708" w:type="dxa"/>
                  <w:vMerge w:val="restart"/>
                  <w:tcBorders>
                    <w:tl2br w:val="nil"/>
                    <w:tr2bl w:val="nil"/>
                  </w:tcBorders>
                  <w:vAlign w:val="center"/>
                </w:tcPr>
                <w:p>
                  <w:pPr>
                    <w:pStyle w:val="44"/>
                    <w:jc w:val="center"/>
                    <w:rPr>
                      <w:color w:val="auto"/>
                      <w:szCs w:val="21"/>
                    </w:rPr>
                  </w:pPr>
                  <w:r>
                    <w:rPr>
                      <w:rFonts w:hint="eastAsia"/>
                      <w:color w:val="auto"/>
                      <w:szCs w:val="21"/>
                    </w:rPr>
                    <w:t>大气布局敏感区</w:t>
                  </w:r>
                </w:p>
              </w:tc>
              <w:tc>
                <w:tcPr>
                  <w:tcW w:w="725" w:type="dxa"/>
                  <w:vMerge w:val="restart"/>
                  <w:tcBorders>
                    <w:tl2br w:val="nil"/>
                    <w:tr2bl w:val="nil"/>
                  </w:tcBorders>
                  <w:vAlign w:val="center"/>
                </w:tcPr>
                <w:p>
                  <w:pPr>
                    <w:pStyle w:val="44"/>
                    <w:jc w:val="center"/>
                    <w:rPr>
                      <w:color w:val="auto"/>
                      <w:szCs w:val="21"/>
                    </w:rPr>
                  </w:pPr>
                  <w:r>
                    <w:rPr>
                      <w:color w:val="auto"/>
                      <w:szCs w:val="21"/>
                    </w:rPr>
                    <w:t>府店镇、</w:t>
                  </w:r>
                  <w:r>
                    <w:rPr>
                      <w:rFonts w:hint="eastAsia"/>
                      <w:color w:val="auto"/>
                      <w:szCs w:val="21"/>
                    </w:rPr>
                    <w:t>大</w:t>
                  </w:r>
                </w:p>
                <w:p>
                  <w:pPr>
                    <w:pStyle w:val="44"/>
                    <w:jc w:val="center"/>
                    <w:rPr>
                      <w:color w:val="auto"/>
                      <w:szCs w:val="21"/>
                    </w:rPr>
                  </w:pPr>
                  <w:r>
                    <w:rPr>
                      <w:rFonts w:hint="eastAsia"/>
                      <w:color w:val="auto"/>
                      <w:szCs w:val="21"/>
                    </w:rPr>
                    <w:t>口乡、缑氏</w:t>
                  </w:r>
                </w:p>
                <w:p>
                  <w:pPr>
                    <w:pStyle w:val="44"/>
                    <w:jc w:val="center"/>
                    <w:rPr>
                      <w:color w:val="auto"/>
                      <w:szCs w:val="21"/>
                    </w:rPr>
                  </w:pPr>
                  <w:r>
                    <w:rPr>
                      <w:rFonts w:hint="eastAsia"/>
                      <w:color w:val="auto"/>
                      <w:szCs w:val="21"/>
                    </w:rPr>
                    <w:t>镇、高龙镇</w:t>
                  </w:r>
                </w:p>
                <w:p>
                  <w:pPr>
                    <w:pStyle w:val="44"/>
                    <w:jc w:val="center"/>
                    <w:rPr>
                      <w:color w:val="auto"/>
                      <w:szCs w:val="21"/>
                    </w:rPr>
                  </w:pPr>
                </w:p>
                <w:p>
                  <w:pPr>
                    <w:pStyle w:val="44"/>
                    <w:rPr>
                      <w:color w:val="auto"/>
                      <w:szCs w:val="21"/>
                    </w:rPr>
                  </w:pPr>
                </w:p>
              </w:tc>
              <w:tc>
                <w:tcPr>
                  <w:tcW w:w="682" w:type="dxa"/>
                  <w:tcBorders>
                    <w:tl2br w:val="nil"/>
                    <w:tr2bl w:val="nil"/>
                  </w:tcBorders>
                  <w:vAlign w:val="center"/>
                </w:tcPr>
                <w:p>
                  <w:pPr>
                    <w:pStyle w:val="44"/>
                    <w:jc w:val="center"/>
                    <w:rPr>
                      <w:color w:val="auto"/>
                      <w:szCs w:val="21"/>
                    </w:rPr>
                  </w:pPr>
                  <w:r>
                    <w:rPr>
                      <w:color w:val="auto"/>
                      <w:szCs w:val="21"/>
                    </w:rPr>
                    <w:t>空间布局约束</w:t>
                  </w:r>
                </w:p>
              </w:tc>
              <w:tc>
                <w:tcPr>
                  <w:tcW w:w="2684" w:type="dxa"/>
                  <w:tcBorders>
                    <w:tl2br w:val="nil"/>
                    <w:tr2bl w:val="nil"/>
                  </w:tcBorders>
                  <w:vAlign w:val="center"/>
                </w:tcPr>
                <w:p>
                  <w:pPr>
                    <w:pStyle w:val="44"/>
                    <w:numPr>
                      <w:ilvl w:val="0"/>
                      <w:numId w:val="3"/>
                    </w:numPr>
                    <w:rPr>
                      <w:color w:val="auto"/>
                      <w:szCs w:val="21"/>
                    </w:rPr>
                  </w:pPr>
                  <w:r>
                    <w:rPr>
                      <w:rFonts w:hint="eastAsia"/>
                      <w:color w:val="auto"/>
                      <w:szCs w:val="21"/>
                    </w:rPr>
                    <w:t>高龙镇区域引导智能家居、装配式住宅、钢制办公家具等产业入园入区发展，培育现代物流产业。</w:t>
                  </w:r>
                </w:p>
                <w:p>
                  <w:pPr>
                    <w:pStyle w:val="44"/>
                    <w:rPr>
                      <w:color w:val="auto"/>
                      <w:szCs w:val="21"/>
                    </w:rPr>
                  </w:pPr>
                  <w:r>
                    <w:rPr>
                      <w:rFonts w:hint="eastAsia"/>
                      <w:color w:val="auto"/>
                      <w:szCs w:val="21"/>
                    </w:rPr>
                    <w:t>2、府店镇区域引导高端耐火材料、新型绿色建材等行业入园入区发展、整合提升绿色矿山产业。</w:t>
                  </w:r>
                </w:p>
                <w:p>
                  <w:pPr>
                    <w:pStyle w:val="44"/>
                    <w:rPr>
                      <w:color w:val="auto"/>
                      <w:szCs w:val="21"/>
                    </w:rPr>
                  </w:pPr>
                  <w:r>
                    <w:rPr>
                      <w:rFonts w:hint="eastAsia"/>
                      <w:color w:val="auto"/>
                      <w:szCs w:val="21"/>
                    </w:rPr>
                    <w:t>3、大口镇区域重点发展培育生态旅游产业，引导耐火材料企业入园入区发展∶缑氏镇区域围绕静脉产业园发展资源综合利用。</w:t>
                  </w:r>
                </w:p>
                <w:p>
                  <w:pPr>
                    <w:pStyle w:val="44"/>
                    <w:rPr>
                      <w:color w:val="auto"/>
                      <w:szCs w:val="21"/>
                    </w:rPr>
                  </w:pPr>
                  <w:r>
                    <w:rPr>
                      <w:rFonts w:hint="eastAsia"/>
                      <w:color w:val="auto"/>
                      <w:szCs w:val="21"/>
                    </w:rPr>
                    <w:t>4、依托健稷农业发展农副产品深加工业，发展休闲食品、生态农产品等产业。</w:t>
                  </w:r>
                </w:p>
              </w:tc>
              <w:tc>
                <w:tcPr>
                  <w:tcW w:w="1345" w:type="dxa"/>
                  <w:tcBorders>
                    <w:tl2br w:val="nil"/>
                    <w:tr2bl w:val="nil"/>
                  </w:tcBorders>
                  <w:vAlign w:val="center"/>
                </w:tcPr>
                <w:p>
                  <w:pPr>
                    <w:spacing w:before="24" w:beforeLines="10"/>
                    <w:rPr>
                      <w:szCs w:val="21"/>
                    </w:rPr>
                  </w:pPr>
                  <w:r>
                    <w:rPr>
                      <w:rFonts w:hint="eastAsia"/>
                      <w:szCs w:val="21"/>
                    </w:rPr>
                    <w:t>本项目位于高龙镇工业园区，为钢制办公家具制造，符合空间布局要求。偃师</w:t>
                  </w:r>
                  <w:r>
                    <w:rPr>
                      <w:rFonts w:hint="eastAsia"/>
                      <w:szCs w:val="21"/>
                      <w:lang w:val="en-US" w:eastAsia="zh-CN"/>
                    </w:rPr>
                    <w:t>区</w:t>
                  </w:r>
                  <w:r>
                    <w:rPr>
                      <w:rFonts w:hint="eastAsia"/>
                      <w:szCs w:val="21"/>
                    </w:rPr>
                    <w:t>高龙镇人民政府同意该项目入驻并进行建设（附件6）。</w:t>
                  </w:r>
                </w:p>
              </w:tc>
              <w:tc>
                <w:tcPr>
                  <w:tcW w:w="496" w:type="dxa"/>
                  <w:tcBorders>
                    <w:tl2br w:val="nil"/>
                    <w:tr2bl w:val="nil"/>
                  </w:tcBorders>
                  <w:vAlign w:val="center"/>
                </w:tcPr>
                <w:p>
                  <w:pPr>
                    <w:spacing w:before="24" w:beforeLines="10"/>
                    <w:jc w:val="center"/>
                    <w:rPr>
                      <w:szCs w:val="21"/>
                    </w:rPr>
                  </w:pPr>
                  <w:r>
                    <w:rPr>
                      <w:szCs w:val="21"/>
                    </w:rPr>
                    <w:t>相符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840" w:hRule="atLeast"/>
                <w:jc w:val="center"/>
              </w:trPr>
              <w:tc>
                <w:tcPr>
                  <w:tcW w:w="699" w:type="dxa"/>
                  <w:vMerge w:val="continue"/>
                  <w:tcBorders>
                    <w:tl2br w:val="nil"/>
                    <w:tr2bl w:val="nil"/>
                  </w:tcBorders>
                  <w:vAlign w:val="center"/>
                </w:tcPr>
                <w:p>
                  <w:pPr>
                    <w:widowControl/>
                    <w:rPr>
                      <w:szCs w:val="21"/>
                    </w:rPr>
                  </w:pPr>
                </w:p>
              </w:tc>
              <w:tc>
                <w:tcPr>
                  <w:tcW w:w="692" w:type="dxa"/>
                  <w:vMerge w:val="continue"/>
                  <w:tcBorders>
                    <w:tl2br w:val="nil"/>
                    <w:tr2bl w:val="nil"/>
                  </w:tcBorders>
                  <w:vAlign w:val="center"/>
                </w:tcPr>
                <w:p>
                  <w:pPr>
                    <w:widowControl/>
                    <w:rPr>
                      <w:szCs w:val="21"/>
                    </w:rPr>
                  </w:pPr>
                </w:p>
              </w:tc>
              <w:tc>
                <w:tcPr>
                  <w:tcW w:w="708" w:type="dxa"/>
                  <w:vMerge w:val="continue"/>
                  <w:tcBorders>
                    <w:tl2br w:val="nil"/>
                    <w:tr2bl w:val="nil"/>
                  </w:tcBorders>
                  <w:vAlign w:val="center"/>
                </w:tcPr>
                <w:p>
                  <w:pPr>
                    <w:widowControl/>
                    <w:rPr>
                      <w:szCs w:val="21"/>
                    </w:rPr>
                  </w:pPr>
                </w:p>
              </w:tc>
              <w:tc>
                <w:tcPr>
                  <w:tcW w:w="725" w:type="dxa"/>
                  <w:vMerge w:val="continue"/>
                  <w:tcBorders>
                    <w:tl2br w:val="nil"/>
                    <w:tr2bl w:val="nil"/>
                  </w:tcBorders>
                  <w:vAlign w:val="center"/>
                </w:tcPr>
                <w:p>
                  <w:pPr>
                    <w:widowControl/>
                    <w:rPr>
                      <w:szCs w:val="21"/>
                    </w:rPr>
                  </w:pPr>
                </w:p>
              </w:tc>
              <w:tc>
                <w:tcPr>
                  <w:tcW w:w="682" w:type="dxa"/>
                  <w:tcBorders>
                    <w:tl2br w:val="nil"/>
                    <w:tr2bl w:val="nil"/>
                  </w:tcBorders>
                  <w:vAlign w:val="center"/>
                </w:tcPr>
                <w:p>
                  <w:pPr>
                    <w:widowControl/>
                    <w:jc w:val="center"/>
                    <w:rPr>
                      <w:szCs w:val="21"/>
                    </w:rPr>
                  </w:pPr>
                  <w:r>
                    <w:rPr>
                      <w:szCs w:val="21"/>
                    </w:rPr>
                    <w:t>污染物排放管控</w:t>
                  </w:r>
                </w:p>
              </w:tc>
              <w:tc>
                <w:tcPr>
                  <w:tcW w:w="2684" w:type="dxa"/>
                  <w:tcBorders>
                    <w:tl2br w:val="nil"/>
                    <w:tr2bl w:val="nil"/>
                  </w:tcBorders>
                  <w:vAlign w:val="center"/>
                </w:tcPr>
                <w:p>
                  <w:pPr>
                    <w:pStyle w:val="44"/>
                    <w:rPr>
                      <w:color w:val="auto"/>
                      <w:szCs w:val="21"/>
                    </w:rPr>
                  </w:pPr>
                  <w:r>
                    <w:rPr>
                      <w:rFonts w:hint="eastAsia"/>
                      <w:color w:val="auto"/>
                      <w:szCs w:val="21"/>
                    </w:rPr>
                    <w:t>1、严格控制新建、扩建高排放、高污染项目。</w:t>
                  </w:r>
                </w:p>
                <w:p>
                  <w:pPr>
                    <w:pStyle w:val="44"/>
                    <w:rPr>
                      <w:color w:val="auto"/>
                      <w:szCs w:val="21"/>
                    </w:rPr>
                  </w:pPr>
                  <w:r>
                    <w:rPr>
                      <w:rFonts w:hint="eastAsia"/>
                      <w:color w:val="auto"/>
                      <w:szCs w:val="21"/>
                    </w:rPr>
                    <w:t>2、重点行业二氧化硫、氮氧化物、颗粒物。VOCs全面执行大气污染物特别排放限值。新建涉VOs 项目，严格落实大气攻坚等文件要求，实行区域内VOCs排放等量或倍量削减替代。强化餐饮油烟治理和管控。</w:t>
                  </w:r>
                </w:p>
                <w:p>
                  <w:pPr>
                    <w:pStyle w:val="44"/>
                    <w:rPr>
                      <w:color w:val="auto"/>
                      <w:szCs w:val="21"/>
                    </w:rPr>
                  </w:pPr>
                  <w:r>
                    <w:rPr>
                      <w:rFonts w:hint="eastAsia"/>
                      <w:color w:val="auto"/>
                      <w:szCs w:val="21"/>
                    </w:rPr>
                    <w:t>3、生活垃圾发电厂要提高运营管理效率，严格控制各项污染物排放，安装自动监测设备，进行自动在线管控.确保污染物挂放达标。</w:t>
                  </w:r>
                </w:p>
              </w:tc>
              <w:tc>
                <w:tcPr>
                  <w:tcW w:w="1345" w:type="dxa"/>
                  <w:tcBorders>
                    <w:tl2br w:val="nil"/>
                    <w:tr2bl w:val="nil"/>
                  </w:tcBorders>
                  <w:vAlign w:val="center"/>
                </w:tcPr>
                <w:p>
                  <w:pPr>
                    <w:spacing w:before="24" w:beforeLines="10"/>
                    <w:rPr>
                      <w:szCs w:val="21"/>
                    </w:rPr>
                  </w:pPr>
                  <w:r>
                    <w:rPr>
                      <w:rFonts w:hint="eastAsia"/>
                      <w:bCs/>
                      <w:color w:val="000000"/>
                    </w:rPr>
                    <w:t>本</w:t>
                  </w:r>
                  <w:r>
                    <w:rPr>
                      <w:rFonts w:hint="eastAsia" w:ascii="宋体" w:hAnsi="宋体" w:cs="宋体"/>
                      <w:szCs w:val="21"/>
                    </w:rPr>
                    <w:t>项目不属于高排放、高污染项目；本项目设有喷涂线，项目位实行区域内</w:t>
                  </w:r>
                  <w:r>
                    <w:rPr>
                      <w:szCs w:val="21"/>
                    </w:rPr>
                    <w:t>VOCs</w:t>
                  </w:r>
                  <w:r>
                    <w:rPr>
                      <w:rFonts w:hint="eastAsia" w:ascii="宋体" w:hAnsi="宋体" w:cs="宋体"/>
                      <w:szCs w:val="21"/>
                    </w:rPr>
                    <w:t>排放等量削减替代。</w:t>
                  </w:r>
                </w:p>
              </w:tc>
              <w:tc>
                <w:tcPr>
                  <w:tcW w:w="496" w:type="dxa"/>
                  <w:tcBorders>
                    <w:tl2br w:val="nil"/>
                    <w:tr2bl w:val="nil"/>
                  </w:tcBorders>
                  <w:vAlign w:val="center"/>
                </w:tcPr>
                <w:p>
                  <w:pPr>
                    <w:spacing w:before="24" w:beforeLines="10"/>
                    <w:jc w:val="center"/>
                    <w:rPr>
                      <w:szCs w:val="21"/>
                    </w:rPr>
                  </w:pPr>
                  <w:r>
                    <w:rPr>
                      <w:szCs w:val="21"/>
                    </w:rPr>
                    <w:t>相符</w:t>
                  </w:r>
                </w:p>
              </w:tc>
            </w:tr>
          </w:tbl>
          <w:p>
            <w:pPr>
              <w:spacing w:line="460" w:lineRule="exact"/>
              <w:ind w:firstLine="480" w:firstLineChars="200"/>
              <w:rPr>
                <w:bCs/>
                <w:color w:val="000000"/>
                <w:sz w:val="24"/>
                <w:szCs w:val="20"/>
              </w:rPr>
            </w:pPr>
            <w:r>
              <w:rPr>
                <w:bCs/>
                <w:color w:val="000000"/>
                <w:sz w:val="24"/>
              </w:rPr>
              <w:t>由上表可知</w:t>
            </w:r>
            <w:r>
              <w:rPr>
                <w:color w:val="000000"/>
                <w:kern w:val="0"/>
                <w:sz w:val="24"/>
              </w:rPr>
              <w:t>，项目的建设</w:t>
            </w:r>
            <w:r>
              <w:rPr>
                <w:bCs/>
                <w:color w:val="000000"/>
                <w:sz w:val="24"/>
                <w:szCs w:val="20"/>
              </w:rPr>
              <w:t>符合</w:t>
            </w:r>
            <w:r>
              <w:rPr>
                <w:rFonts w:hint="eastAsia"/>
                <w:bCs/>
                <w:color w:val="000000"/>
                <w:sz w:val="24"/>
                <w:szCs w:val="20"/>
              </w:rPr>
              <w:t>《洛阳市“三线一单”生态环境准入清单（试行）》（洛市环〔2021〕58号）</w:t>
            </w:r>
            <w:r>
              <w:rPr>
                <w:bCs/>
                <w:color w:val="000000"/>
                <w:sz w:val="24"/>
                <w:szCs w:val="20"/>
              </w:rPr>
              <w:t>的相关要求。</w:t>
            </w:r>
          </w:p>
          <w:p>
            <w:pPr>
              <w:spacing w:line="460" w:lineRule="exact"/>
              <w:ind w:firstLine="482" w:firstLineChars="200"/>
              <w:rPr>
                <w:color w:val="000000"/>
                <w:sz w:val="24"/>
              </w:rPr>
            </w:pPr>
            <w:r>
              <w:rPr>
                <w:rFonts w:hint="eastAsia"/>
                <w:b/>
                <w:bCs/>
                <w:color w:val="000000"/>
                <w:sz w:val="24"/>
              </w:rPr>
              <w:t>6</w:t>
            </w:r>
            <w:r>
              <w:rPr>
                <w:b/>
                <w:bCs/>
                <w:color w:val="000000"/>
                <w:sz w:val="24"/>
              </w:rPr>
              <w:t>、与《</w:t>
            </w:r>
            <w:r>
              <w:rPr>
                <w:rFonts w:hint="eastAsia"/>
                <w:b/>
                <w:bCs/>
                <w:color w:val="000000"/>
                <w:sz w:val="24"/>
              </w:rPr>
              <w:t>偃师区污染防治攻坚战领导小组关于印发2021年大气、水、土壤污染防治攻坚战及农业农村污染治理攻坚战实施方案的通知</w:t>
            </w:r>
            <w:r>
              <w:rPr>
                <w:b/>
                <w:bCs/>
                <w:color w:val="000000"/>
                <w:sz w:val="24"/>
              </w:rPr>
              <w:t>》（洛环攻坚〔2021〕</w:t>
            </w:r>
            <w:r>
              <w:rPr>
                <w:rFonts w:hint="eastAsia"/>
                <w:b/>
                <w:bCs/>
                <w:color w:val="000000"/>
                <w:sz w:val="24"/>
              </w:rPr>
              <w:t>4</w:t>
            </w:r>
            <w:r>
              <w:rPr>
                <w:b/>
                <w:bCs/>
                <w:color w:val="000000"/>
                <w:sz w:val="24"/>
              </w:rPr>
              <w:t>号）相符性分析</w:t>
            </w:r>
            <w:r>
              <w:rPr>
                <w:color w:val="000000"/>
                <w:sz w:val="24"/>
              </w:rPr>
              <w:t>。</w:t>
            </w:r>
          </w:p>
          <w:p>
            <w:pPr>
              <w:spacing w:line="460" w:lineRule="exact"/>
              <w:ind w:firstLine="480" w:firstLineChars="200"/>
              <w:rPr>
                <w:color w:val="000000"/>
                <w:sz w:val="24"/>
              </w:rPr>
            </w:pPr>
            <w:r>
              <w:rPr>
                <w:color w:val="000000"/>
                <w:sz w:val="24"/>
              </w:rPr>
              <w:t>本项目与之相符性分析详见下表。</w:t>
            </w:r>
          </w:p>
          <w:p>
            <w:pPr>
              <w:pStyle w:val="6"/>
              <w:ind w:left="716" w:firstLine="482" w:firstLineChars="0"/>
              <w:rPr>
                <w:color w:val="000000"/>
              </w:rPr>
            </w:pPr>
            <w:r>
              <w:rPr>
                <w:color w:val="000000"/>
              </w:rPr>
              <w:t xml:space="preserve">       项目与</w:t>
            </w:r>
            <w:r>
              <w:rPr>
                <w:rFonts w:hint="eastAsia"/>
                <w:bCs/>
                <w:color w:val="000000"/>
              </w:rPr>
              <w:t>偃</w:t>
            </w:r>
            <w:r>
              <w:rPr>
                <w:bCs/>
                <w:color w:val="000000"/>
              </w:rPr>
              <w:t>环攻坚〔2021〕</w:t>
            </w:r>
            <w:r>
              <w:rPr>
                <w:rFonts w:hint="eastAsia"/>
                <w:bCs/>
                <w:color w:val="000000"/>
              </w:rPr>
              <w:t>4</w:t>
            </w:r>
            <w:r>
              <w:rPr>
                <w:bCs/>
                <w:color w:val="000000"/>
              </w:rPr>
              <w:t>号</w:t>
            </w:r>
            <w:r>
              <w:rPr>
                <w:color w:val="000000"/>
              </w:rPr>
              <w:t>相符性分析</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280"/>
              <w:gridCol w:w="193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179" w:type="pct"/>
                  <w:gridSpan w:val="2"/>
                  <w:vAlign w:val="center"/>
                </w:tcPr>
                <w:p>
                  <w:pPr>
                    <w:pStyle w:val="27"/>
                    <w:spacing w:line="320" w:lineRule="exact"/>
                    <w:rPr>
                      <w:snapToGrid w:val="0"/>
                      <w:color w:val="000000"/>
                    </w:rPr>
                  </w:pPr>
                  <w:r>
                    <w:rPr>
                      <w:snapToGrid w:val="0"/>
                      <w:color w:val="000000"/>
                    </w:rPr>
                    <w:t>文件要求</w:t>
                  </w:r>
                </w:p>
              </w:tc>
              <w:tc>
                <w:tcPr>
                  <w:tcW w:w="1198" w:type="pct"/>
                  <w:vAlign w:val="center"/>
                </w:tcPr>
                <w:p>
                  <w:pPr>
                    <w:pStyle w:val="27"/>
                    <w:spacing w:line="320" w:lineRule="exact"/>
                    <w:rPr>
                      <w:snapToGrid w:val="0"/>
                      <w:color w:val="000000"/>
                    </w:rPr>
                  </w:pPr>
                  <w:r>
                    <w:rPr>
                      <w:bCs w:val="0"/>
                      <w:color w:val="000000"/>
                    </w:rPr>
                    <w:t>项目情况</w:t>
                  </w:r>
                </w:p>
              </w:tc>
              <w:tc>
                <w:tcPr>
                  <w:tcW w:w="622" w:type="pct"/>
                  <w:vAlign w:val="center"/>
                </w:tcPr>
                <w:p>
                  <w:pPr>
                    <w:pStyle w:val="27"/>
                    <w:spacing w:line="320" w:lineRule="exact"/>
                    <w:rPr>
                      <w:snapToGrid w:val="0"/>
                      <w:color w:val="000000"/>
                    </w:rPr>
                  </w:pPr>
                  <w:r>
                    <w:rPr>
                      <w:snapToGrid w:val="0"/>
                      <w:color w:val="000000"/>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vAlign w:val="center"/>
                </w:tcPr>
                <w:p>
                  <w:pPr>
                    <w:pStyle w:val="27"/>
                    <w:spacing w:line="320" w:lineRule="exact"/>
                    <w:rPr>
                      <w:snapToGrid w:val="0"/>
                      <w:color w:val="000000"/>
                    </w:rPr>
                  </w:pPr>
                  <w:r>
                    <w:rPr>
                      <w:snapToGrid w:val="0"/>
                      <w:color w:val="000000"/>
                    </w:rPr>
                    <w:t>大气污染防治攻坚战实施方案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4" w:type="pct"/>
                  <w:vAlign w:val="center"/>
                </w:tcPr>
                <w:p>
                  <w:pPr>
                    <w:pStyle w:val="27"/>
                    <w:spacing w:line="320" w:lineRule="exact"/>
                    <w:rPr>
                      <w:snapToGrid w:val="0"/>
                      <w:color w:val="000000"/>
                    </w:rPr>
                  </w:pPr>
                  <w:r>
                    <w:rPr>
                      <w:color w:val="000000"/>
                    </w:rPr>
                    <w:t>（一）持续调整优化产业结构，推动产业绿色转型升级</w:t>
                  </w:r>
                </w:p>
              </w:tc>
              <w:tc>
                <w:tcPr>
                  <w:tcW w:w="2654" w:type="pct"/>
                  <w:vAlign w:val="center"/>
                </w:tcPr>
                <w:p>
                  <w:pPr>
                    <w:pStyle w:val="27"/>
                    <w:spacing w:line="320" w:lineRule="exact"/>
                    <w:jc w:val="left"/>
                    <w:rPr>
                      <w:color w:val="000000"/>
                    </w:rPr>
                  </w:pPr>
                  <w:r>
                    <w:rPr>
                      <w:rFonts w:hint="eastAsia"/>
                      <w:color w:val="000000"/>
                    </w:rPr>
                    <w:t>1.</w:t>
                  </w:r>
                  <w:r>
                    <w:rPr>
                      <w:color w:val="000000"/>
                    </w:rPr>
                    <w:t>严格环境准入。</w:t>
                  </w:r>
                </w:p>
                <w:p>
                  <w:pPr>
                    <w:pStyle w:val="27"/>
                    <w:spacing w:line="320" w:lineRule="exact"/>
                    <w:jc w:val="left"/>
                    <w:rPr>
                      <w:color w:val="000000"/>
                    </w:rPr>
                  </w:pPr>
                  <w:r>
                    <w:rPr>
                      <w:color w:val="000000"/>
                    </w:rPr>
                    <w:t>（1）从严从紧从实控制高耗能、高排放项目建设。全区原则上禁止新建、扩建单纯新增产能的钢铁、电解铝、水泥、平板玻璃（光伏玻璃除外）、传统煤化工（甲醇、合成氨）、焦化、铸造、铝用炭素、耐火材料、砖瓦窑、铅锌冶炼（含再生铅）等高耗能、高排放和产能过剩的产业项目，严格项目备案审查，强化举报项目现场核查，保持违规新增产能项目露头就打的高压态势。</w:t>
                  </w:r>
                </w:p>
                <w:p>
                  <w:pPr>
                    <w:pStyle w:val="27"/>
                    <w:spacing w:line="320" w:lineRule="exact"/>
                    <w:jc w:val="left"/>
                    <w:rPr>
                      <w:snapToGrid w:val="0"/>
                      <w:color w:val="000000"/>
                    </w:rPr>
                  </w:pPr>
                  <w:r>
                    <w:rPr>
                      <w:color w:val="000000"/>
                    </w:rPr>
                    <w:t>（2）严格执行生态环境准入清单。落实生态保护红线、环境质量底线、资源利用上线和生态环境准入清单要求，强化项目环评及</w:t>
                  </w:r>
                  <w:r>
                    <w:rPr>
                      <w:rFonts w:hint="eastAsia"/>
                      <w:color w:val="000000"/>
                      <w:lang w:val="zh-CN"/>
                    </w:rPr>
                    <w:t>“</w:t>
                  </w:r>
                  <w:r>
                    <w:rPr>
                      <w:color w:val="000000"/>
                      <w:lang w:val="zh-CN"/>
                    </w:rPr>
                    <w:t>三</w:t>
                  </w:r>
                  <w:r>
                    <w:rPr>
                      <w:color w:val="000000"/>
                    </w:rPr>
                    <w:t>同时</w:t>
                  </w:r>
                  <w:r>
                    <w:rPr>
                      <w:rFonts w:hint="eastAsia"/>
                      <w:color w:val="000000"/>
                    </w:rPr>
                    <w:t>”</w:t>
                  </w:r>
                  <w:r>
                    <w:rPr>
                      <w:color w:val="000000"/>
                    </w:rPr>
                    <w:t>管理，国家、省绩效分级重点行业的新建、改建、扩建项目达到B级以上要求。</w:t>
                  </w:r>
                </w:p>
              </w:tc>
              <w:tc>
                <w:tcPr>
                  <w:tcW w:w="1198" w:type="pct"/>
                  <w:vAlign w:val="center"/>
                </w:tcPr>
                <w:p>
                  <w:pPr>
                    <w:pStyle w:val="27"/>
                    <w:spacing w:line="320" w:lineRule="exact"/>
                    <w:jc w:val="left"/>
                    <w:rPr>
                      <w:snapToGrid w:val="0"/>
                      <w:color w:val="000000"/>
                    </w:rPr>
                  </w:pPr>
                  <w:r>
                    <w:rPr>
                      <w:rFonts w:hint="eastAsia"/>
                      <w:color w:val="000000"/>
                      <w:szCs w:val="24"/>
                    </w:rPr>
                    <w:t>本</w:t>
                  </w:r>
                  <w:r>
                    <w:rPr>
                      <w:color w:val="000000"/>
                      <w:szCs w:val="24"/>
                    </w:rPr>
                    <w:t>项目为</w:t>
                  </w:r>
                  <w:r>
                    <w:rPr>
                      <w:rFonts w:hint="eastAsia"/>
                      <w:color w:val="000000"/>
                      <w:szCs w:val="24"/>
                    </w:rPr>
                    <w:t>金属家具制造行业</w:t>
                  </w:r>
                  <w:r>
                    <w:rPr>
                      <w:color w:val="000000"/>
                      <w:szCs w:val="24"/>
                    </w:rPr>
                    <w:t>，不属于高耗能、产能过剩项目，且</w:t>
                  </w:r>
                  <w:r>
                    <w:rPr>
                      <w:rFonts w:hint="eastAsia"/>
                      <w:color w:val="000000"/>
                      <w:szCs w:val="24"/>
                    </w:rPr>
                    <w:t>项目</w:t>
                  </w:r>
                  <w:r>
                    <w:rPr>
                      <w:color w:val="000000"/>
                      <w:szCs w:val="24"/>
                    </w:rPr>
                    <w:t>建设符合“三线一单”要求</w:t>
                  </w:r>
                  <w:r>
                    <w:rPr>
                      <w:rFonts w:hint="eastAsia"/>
                      <w:color w:val="000000"/>
                      <w:szCs w:val="24"/>
                    </w:rPr>
                    <w:t>，</w:t>
                  </w:r>
                  <w:r>
                    <w:rPr>
                      <w:rFonts w:hint="eastAsia"/>
                      <w:color w:val="000000"/>
                    </w:rPr>
                    <w:t>项目</w:t>
                  </w:r>
                  <w:r>
                    <w:rPr>
                      <w:rFonts w:hint="eastAsia"/>
                    </w:rPr>
                    <w:t>满足《重污染天气重点行业应急减排措施制定技术指南（2020年修订版）》（环办大气函〔2020〕340号）家具制造B级以上要求（具体分析详见表3）。</w:t>
                  </w:r>
                </w:p>
              </w:tc>
              <w:tc>
                <w:tcPr>
                  <w:tcW w:w="622" w:type="pct"/>
                  <w:vAlign w:val="center"/>
                </w:tcPr>
                <w:p>
                  <w:pPr>
                    <w:pStyle w:val="27"/>
                    <w:spacing w:line="320" w:lineRule="exact"/>
                    <w:rPr>
                      <w:snapToGrid w:val="0"/>
                      <w:color w:val="000000"/>
                    </w:rPr>
                  </w:pPr>
                  <w:r>
                    <w:rPr>
                      <w:snapToGrid w:val="0"/>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524" w:type="pct"/>
                  <w:vMerge w:val="restart"/>
                  <w:vAlign w:val="center"/>
                </w:tcPr>
                <w:p>
                  <w:pPr>
                    <w:pStyle w:val="27"/>
                    <w:spacing w:line="320" w:lineRule="exact"/>
                    <w:rPr>
                      <w:color w:val="000000"/>
                    </w:rPr>
                  </w:pPr>
                  <w:r>
                    <w:rPr>
                      <w:rFonts w:hint="eastAsia"/>
                      <w:color w:val="000000"/>
                    </w:rPr>
                    <w:t>（五）全面推行重点行业绩效分级，深化工业企业大气污染综合治理</w:t>
                  </w:r>
                </w:p>
              </w:tc>
              <w:tc>
                <w:tcPr>
                  <w:tcW w:w="2654" w:type="pct"/>
                  <w:vAlign w:val="center"/>
                </w:tcPr>
                <w:p>
                  <w:pPr>
                    <w:pStyle w:val="27"/>
                    <w:spacing w:line="320" w:lineRule="exact"/>
                    <w:jc w:val="both"/>
                    <w:rPr>
                      <w:color w:val="000000"/>
                    </w:rPr>
                  </w:pPr>
                  <w:r>
                    <w:rPr>
                      <w:rFonts w:hint="eastAsia"/>
                      <w:color w:val="000000"/>
                    </w:rPr>
                    <w:t>2.开展工业企业全面达标行动。</w:t>
                  </w:r>
                </w:p>
                <w:p>
                  <w:pPr>
                    <w:pStyle w:val="27"/>
                    <w:spacing w:line="320" w:lineRule="exact"/>
                    <w:jc w:val="both"/>
                    <w:rPr>
                      <w:color w:val="000000"/>
                    </w:rPr>
                  </w:pPr>
                  <w:r>
                    <w:rPr>
                      <w:rFonts w:hint="eastAsia"/>
                      <w:color w:val="000000"/>
                    </w:rPr>
                    <w:t>贯彻落实《排污许可管理条例》，按照源头预防、过程控制、清洁生产、损害赔偿、责任追究，实现固定污染源全过程管理。严格执行国家和我省大气污染物排放标准，持续推进电力、钢铁、砖瓦窑、铸造、耐材、玻璃、有色金属冶炼及压延、化工、包装印刷行业和其他涉及工业涂装、工业窑炉、锅炉等行业废气污染物全面达标排放......</w:t>
                  </w:r>
                </w:p>
              </w:tc>
              <w:tc>
                <w:tcPr>
                  <w:tcW w:w="1198" w:type="pct"/>
                  <w:vAlign w:val="center"/>
                </w:tcPr>
                <w:p>
                  <w:pPr>
                    <w:pStyle w:val="27"/>
                    <w:spacing w:line="320" w:lineRule="exact"/>
                    <w:jc w:val="left"/>
                    <w:rPr>
                      <w:color w:val="000000"/>
                      <w:szCs w:val="24"/>
                    </w:rPr>
                  </w:pPr>
                  <w:r>
                    <w:rPr>
                      <w:rFonts w:hint="eastAsia"/>
                      <w:color w:val="000000"/>
                      <w:szCs w:val="24"/>
                    </w:rPr>
                    <w:t>本</w:t>
                  </w:r>
                  <w:r>
                    <w:rPr>
                      <w:color w:val="000000"/>
                      <w:szCs w:val="24"/>
                    </w:rPr>
                    <w:t>项目为</w:t>
                  </w:r>
                  <w:r>
                    <w:rPr>
                      <w:rFonts w:hint="eastAsia"/>
                      <w:color w:val="000000"/>
                      <w:szCs w:val="24"/>
                    </w:rPr>
                    <w:t>金属家具制造行业</w:t>
                  </w:r>
                  <w:r>
                    <w:rPr>
                      <w:color w:val="000000"/>
                      <w:szCs w:val="24"/>
                    </w:rPr>
                    <w:t>，</w:t>
                  </w:r>
                  <w:r>
                    <w:rPr>
                      <w:rFonts w:hint="eastAsia"/>
                      <w:color w:val="000000"/>
                      <w:szCs w:val="24"/>
                    </w:rPr>
                    <w:t>固化工序固化室采用电加热。</w:t>
                  </w:r>
                </w:p>
              </w:tc>
              <w:tc>
                <w:tcPr>
                  <w:tcW w:w="622" w:type="pct"/>
                  <w:vMerge w:val="restart"/>
                  <w:vAlign w:val="center"/>
                </w:tcPr>
                <w:p>
                  <w:pPr>
                    <w:pStyle w:val="27"/>
                    <w:spacing w:line="320" w:lineRule="exact"/>
                    <w:rPr>
                      <w:snapToGrid w:val="0"/>
                      <w:color w:val="000000"/>
                    </w:rPr>
                  </w:pPr>
                  <w:r>
                    <w:rPr>
                      <w:rFonts w:hint="eastAsia"/>
                      <w:snapToGrid w:val="0"/>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524" w:type="pct"/>
                  <w:vMerge w:val="continue"/>
                  <w:vAlign w:val="center"/>
                </w:tcPr>
                <w:p>
                  <w:pPr>
                    <w:pStyle w:val="27"/>
                    <w:spacing w:line="320" w:lineRule="exact"/>
                    <w:jc w:val="both"/>
                  </w:pPr>
                </w:p>
              </w:tc>
              <w:tc>
                <w:tcPr>
                  <w:tcW w:w="2654" w:type="pct"/>
                  <w:vAlign w:val="center"/>
                </w:tcPr>
                <w:p>
                  <w:pPr>
                    <w:pStyle w:val="27"/>
                    <w:spacing w:line="320" w:lineRule="exact"/>
                    <w:jc w:val="both"/>
                    <w:rPr>
                      <w:color w:val="000000"/>
                    </w:rPr>
                  </w:pPr>
                  <w:r>
                    <w:rPr>
                      <w:rFonts w:hint="eastAsia"/>
                      <w:color w:val="000000"/>
                    </w:rPr>
                    <w:t>4.深化工业炉窑大气污染综合治理。</w:t>
                  </w:r>
                </w:p>
                <w:p>
                  <w:pPr>
                    <w:pStyle w:val="27"/>
                    <w:spacing w:line="320" w:lineRule="exact"/>
                    <w:jc w:val="both"/>
                    <w:rPr>
                      <w:color w:val="000000"/>
                    </w:rPr>
                  </w:pPr>
                  <w:r>
                    <w:rPr>
                      <w:color w:val="000000"/>
                    </w:rPr>
                    <w:t>按照</w:t>
                  </w:r>
                  <w:r>
                    <w:rPr>
                      <w:rFonts w:hint="eastAsia"/>
                      <w:color w:val="000000"/>
                      <w:lang w:val="zh-CN"/>
                    </w:rPr>
                    <w:t>“</w:t>
                  </w:r>
                  <w:r>
                    <w:rPr>
                      <w:color w:val="000000"/>
                      <w:lang w:val="zh-CN"/>
                    </w:rPr>
                    <w:t>淘</w:t>
                  </w:r>
                  <w:r>
                    <w:rPr>
                      <w:color w:val="000000"/>
                    </w:rPr>
                    <w:t>汰一批、替代一批、治理一批</w:t>
                  </w:r>
                  <w:r>
                    <w:rPr>
                      <w:rFonts w:hint="eastAsia"/>
                      <w:color w:val="000000"/>
                    </w:rPr>
                    <w:t>”</w:t>
                  </w:r>
                  <w:r>
                    <w:rPr>
                      <w:color w:val="000000"/>
                    </w:rPr>
                    <w:t>的原则，深入推进工业窑炉大气污染综合治理，全面提升铸造、石灰窑、耐火材料、砖瓦窑、有色金属冶炼及压延等工业窑炉的治污设施处理能力，加强无组织排放管控，对涉及生产过程中的物料运输、装卸储存、厂内转移与输送、物料加工与处理等各生产环节实施无组织排放精准治理，实现全封闭贮存及运输</w:t>
                  </w:r>
                  <w:r>
                    <w:rPr>
                      <w:rFonts w:hint="eastAsia"/>
                      <w:color w:val="000000"/>
                    </w:rPr>
                    <w:t>......</w:t>
                  </w:r>
                </w:p>
              </w:tc>
              <w:tc>
                <w:tcPr>
                  <w:tcW w:w="1198" w:type="pct"/>
                  <w:vAlign w:val="center"/>
                </w:tcPr>
                <w:p>
                  <w:pPr>
                    <w:pStyle w:val="27"/>
                    <w:spacing w:line="320" w:lineRule="exact"/>
                    <w:jc w:val="both"/>
                    <w:rPr>
                      <w:color w:val="000000"/>
                    </w:rPr>
                  </w:pPr>
                  <w:r>
                    <w:rPr>
                      <w:rFonts w:hint="eastAsia"/>
                      <w:color w:val="000000"/>
                    </w:rPr>
                    <w:t>本项目</w:t>
                  </w:r>
                  <w:r>
                    <w:rPr>
                      <w:rFonts w:hint="eastAsia"/>
                      <w:bCs w:val="0"/>
                      <w:color w:val="000000"/>
                    </w:rPr>
                    <w:t>固化工序在密闭固化室内进行，产生的有机废气经“UV光氧+活性炭吸附装置”处理后通过</w:t>
                  </w:r>
                  <w:r>
                    <w:t>15m高</w:t>
                  </w:r>
                  <w:r>
                    <w:rPr>
                      <w:rFonts w:hint="eastAsia"/>
                      <w:bCs w:val="0"/>
                      <w:color w:val="000000"/>
                    </w:rPr>
                    <w:t>排气筒排放。</w:t>
                  </w:r>
                </w:p>
              </w:tc>
              <w:tc>
                <w:tcPr>
                  <w:tcW w:w="622" w:type="pct"/>
                  <w:vMerge w:val="continue"/>
                  <w:vAlign w:val="center"/>
                </w:tcPr>
                <w:p>
                  <w:pPr>
                    <w:pStyle w:val="27"/>
                    <w:spacing w:line="320" w:lineRule="exact"/>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4" w:type="pct"/>
                  <w:vMerge w:val="restart"/>
                  <w:vAlign w:val="center"/>
                </w:tcPr>
                <w:p>
                  <w:pPr>
                    <w:pStyle w:val="27"/>
                    <w:spacing w:line="320" w:lineRule="exact"/>
                    <w:rPr>
                      <w:color w:val="000000"/>
                    </w:rPr>
                  </w:pPr>
                  <w:r>
                    <w:rPr>
                      <w:color w:val="000000"/>
                    </w:rPr>
                    <w:t>（六）强化臭氧协同控制，持续深化挥发性有机物污染治理</w:t>
                  </w:r>
                </w:p>
              </w:tc>
              <w:tc>
                <w:tcPr>
                  <w:tcW w:w="2654" w:type="pct"/>
                  <w:vAlign w:val="center"/>
                </w:tcPr>
                <w:p>
                  <w:pPr>
                    <w:pStyle w:val="27"/>
                    <w:spacing w:line="320" w:lineRule="exact"/>
                    <w:jc w:val="both"/>
                    <w:rPr>
                      <w:color w:val="000000"/>
                    </w:rPr>
                  </w:pPr>
                  <w:r>
                    <w:rPr>
                      <w:color w:val="000000"/>
                    </w:rPr>
                    <w:t>1.大力推进源头替代。</w:t>
                  </w:r>
                </w:p>
                <w:p>
                  <w:pPr>
                    <w:pStyle w:val="27"/>
                    <w:spacing w:line="320" w:lineRule="exact"/>
                    <w:jc w:val="both"/>
                    <w:rPr>
                      <w:color w:val="000000"/>
                    </w:rPr>
                  </w:pPr>
                  <w:r>
                    <w:rPr>
                      <w:color w:val="000000"/>
                    </w:rPr>
                    <w:t>通过使用水性、粉末、高固体分、无溶剂、辐射固化等低VOCs含量的涂料，水性、辐射固化、植物基等低VOCs含量的油墨，水基、热熔、无溶剂、辐射固化、改性、生物降解等低VOCs 含量的胶粘剂，以及低VOCs含量、低反应活性的清洗剂等，替代溶剂型涂料、油墨、胶粘剂、清洗剂等，从源头减少VOCs 产生。加强对全市低VOCs含量涂料、油墨、胶粘剂、清洗剂等产品生产销售环节监管，严厉打击劣质不合格产品</w:t>
                  </w:r>
                  <w:r>
                    <w:rPr>
                      <w:rFonts w:hint="eastAsia"/>
                      <w:color w:val="000000"/>
                    </w:rPr>
                    <w:t>......</w:t>
                  </w:r>
                </w:p>
              </w:tc>
              <w:tc>
                <w:tcPr>
                  <w:tcW w:w="1198" w:type="pct"/>
                  <w:vAlign w:val="center"/>
                </w:tcPr>
                <w:p>
                  <w:pPr>
                    <w:pStyle w:val="27"/>
                    <w:spacing w:line="320" w:lineRule="exact"/>
                    <w:jc w:val="left"/>
                    <w:rPr>
                      <w:color w:val="000000"/>
                    </w:rPr>
                  </w:pPr>
                  <w:r>
                    <w:rPr>
                      <w:color w:val="000000"/>
                    </w:rPr>
                    <w:t>项目</w:t>
                  </w:r>
                  <w:r>
                    <w:rPr>
                      <w:rFonts w:hint="eastAsia"/>
                      <w:color w:val="000000"/>
                    </w:rPr>
                    <w:t>喷涂</w:t>
                  </w:r>
                  <w:r>
                    <w:rPr>
                      <w:color w:val="000000"/>
                    </w:rPr>
                    <w:t>工序采用</w:t>
                  </w:r>
                  <w:r>
                    <w:rPr>
                      <w:rFonts w:hint="eastAsia"/>
                      <w:color w:val="000000"/>
                    </w:rPr>
                    <w:t>塑粉</w:t>
                  </w:r>
                  <w:r>
                    <w:rPr>
                      <w:color w:val="000000"/>
                    </w:rPr>
                    <w:t>，属于</w:t>
                  </w:r>
                  <w:r>
                    <w:rPr>
                      <w:rFonts w:hint="eastAsia"/>
                      <w:color w:val="000000"/>
                    </w:rPr>
                    <w:t>低</w:t>
                  </w:r>
                  <w:r>
                    <w:rPr>
                      <w:color w:val="000000"/>
                    </w:rPr>
                    <w:t>VOCs</w:t>
                  </w:r>
                  <w:r>
                    <w:rPr>
                      <w:rFonts w:hint="eastAsia"/>
                      <w:color w:val="000000"/>
                    </w:rPr>
                    <w:t>涂料</w:t>
                  </w:r>
                  <w:r>
                    <w:rPr>
                      <w:color w:val="000000"/>
                    </w:rPr>
                    <w:t>，</w:t>
                  </w:r>
                  <w:r>
                    <w:rPr>
                      <w:rFonts w:hint="eastAsia"/>
                    </w:rPr>
                    <w:t>项目产生的</w:t>
                  </w:r>
                  <w:r>
                    <w:rPr>
                      <w:rFonts w:hint="eastAsia"/>
                      <w:bCs w:val="0"/>
                      <w:szCs w:val="24"/>
                    </w:rPr>
                    <w:t>VOCs由区域内VOCs排放等量削减替代。</w:t>
                  </w:r>
                </w:p>
              </w:tc>
              <w:tc>
                <w:tcPr>
                  <w:tcW w:w="622" w:type="pct"/>
                  <w:vAlign w:val="center"/>
                </w:tcPr>
                <w:p>
                  <w:pPr>
                    <w:pStyle w:val="27"/>
                    <w:spacing w:line="320" w:lineRule="exact"/>
                    <w:rPr>
                      <w:snapToGrid w:val="0"/>
                      <w:color w:val="000000"/>
                    </w:rPr>
                  </w:pPr>
                  <w:r>
                    <w:rPr>
                      <w:snapToGrid w:val="0"/>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24" w:type="pct"/>
                  <w:vMerge w:val="continue"/>
                  <w:vAlign w:val="center"/>
                </w:tcPr>
                <w:p>
                  <w:pPr>
                    <w:pStyle w:val="27"/>
                    <w:spacing w:line="320" w:lineRule="exact"/>
                    <w:rPr>
                      <w:color w:val="000000"/>
                    </w:rPr>
                  </w:pPr>
                </w:p>
              </w:tc>
              <w:tc>
                <w:tcPr>
                  <w:tcW w:w="2654" w:type="pct"/>
                  <w:vAlign w:val="center"/>
                </w:tcPr>
                <w:p>
                  <w:pPr>
                    <w:pStyle w:val="27"/>
                    <w:spacing w:line="320" w:lineRule="exact"/>
                    <w:jc w:val="both"/>
                    <w:rPr>
                      <w:color w:val="000000"/>
                    </w:rPr>
                  </w:pPr>
                  <w:r>
                    <w:rPr>
                      <w:color w:val="000000"/>
                    </w:rPr>
                    <w:t>2.加强工业企业VOCs全过程运行管理。巩固VOCs综合治理成效，聚焦提升企业废气收集率、治理设施同步运行率和去除率，鼓励企业采用高于现行标准要求的治理措施，取消废气排放系统旁路设置，因安全生产等原因必须保留的，应将旁路保留清单报市生态环境局备案并加强日常监管。强化VOCs无组织排放收集，在保证安全的前提下，实施含VOCs物料全方位、全链条、全环节密闭管理，实现厂房由开敞变密闭、由常压变负压、由逸散变聚合、空气由污浊变清新的"四由四变"目标</w:t>
                  </w:r>
                  <w:r>
                    <w:rPr>
                      <w:rFonts w:hint="eastAsia"/>
                      <w:color w:val="000000"/>
                    </w:rPr>
                    <w:t>......</w:t>
                  </w:r>
                </w:p>
              </w:tc>
              <w:tc>
                <w:tcPr>
                  <w:tcW w:w="1198" w:type="pct"/>
                  <w:vAlign w:val="center"/>
                </w:tcPr>
                <w:p>
                  <w:pPr>
                    <w:pStyle w:val="27"/>
                    <w:spacing w:line="320" w:lineRule="exact"/>
                    <w:jc w:val="left"/>
                    <w:rPr>
                      <w:color w:val="000000"/>
                    </w:rPr>
                  </w:pPr>
                  <w:r>
                    <w:rPr>
                      <w:color w:val="000000"/>
                    </w:rPr>
                    <w:t>项目</w:t>
                  </w:r>
                  <w:r>
                    <w:rPr>
                      <w:rFonts w:hint="eastAsia"/>
                      <w:color w:val="000000"/>
                    </w:rPr>
                    <w:t>固化工序设置集气罩，</w:t>
                  </w:r>
                  <w:r>
                    <w:rPr>
                      <w:rFonts w:hint="eastAsia"/>
                      <w:bCs w:val="0"/>
                      <w:color w:val="000000"/>
                    </w:rPr>
                    <w:t>产生的有机废气收集后经“UV光氧+活性炭吸附装置”处理后通过</w:t>
                  </w:r>
                  <w:r>
                    <w:t>15m高</w:t>
                  </w:r>
                  <w:r>
                    <w:rPr>
                      <w:rFonts w:hint="eastAsia"/>
                      <w:bCs w:val="0"/>
                      <w:color w:val="000000"/>
                    </w:rPr>
                    <w:t>排气筒排放。</w:t>
                  </w:r>
                </w:p>
              </w:tc>
              <w:tc>
                <w:tcPr>
                  <w:tcW w:w="622" w:type="pct"/>
                  <w:vAlign w:val="center"/>
                </w:tcPr>
                <w:p>
                  <w:pPr>
                    <w:pStyle w:val="27"/>
                    <w:spacing w:line="320" w:lineRule="exact"/>
                    <w:rPr>
                      <w:snapToGrid w:val="0"/>
                      <w:color w:val="000000"/>
                    </w:rPr>
                  </w:pPr>
                  <w:r>
                    <w:rPr>
                      <w:snapToGrid w:val="0"/>
                      <w:color w:val="000000"/>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4"/>
                  <w:vAlign w:val="center"/>
                </w:tcPr>
                <w:p>
                  <w:pPr>
                    <w:pStyle w:val="27"/>
                    <w:spacing w:line="320" w:lineRule="exact"/>
                    <w:rPr>
                      <w:snapToGrid w:val="0"/>
                      <w:color w:val="000000"/>
                    </w:rPr>
                  </w:pPr>
                  <w:r>
                    <w:rPr>
                      <w:rFonts w:hint="eastAsia"/>
                      <w:snapToGrid w:val="0"/>
                      <w:color w:val="000000"/>
                    </w:rPr>
                    <w:t>水</w:t>
                  </w:r>
                  <w:r>
                    <w:rPr>
                      <w:snapToGrid w:val="0"/>
                      <w:color w:val="000000"/>
                    </w:rPr>
                    <w:t>污染防治攻坚战实施方案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6" w:type="dxa"/>
                  <w:vAlign w:val="center"/>
                </w:tcPr>
                <w:p>
                  <w:pPr>
                    <w:pStyle w:val="27"/>
                    <w:spacing w:line="320" w:lineRule="exact"/>
                    <w:rPr>
                      <w:color w:val="000000"/>
                    </w:rPr>
                  </w:pPr>
                  <w:r>
                    <w:rPr>
                      <w:rFonts w:hint="eastAsia"/>
                      <w:color w:val="000000"/>
                    </w:rPr>
                    <w:t>（五）做好生态环境管理基础工作</w:t>
                  </w:r>
                </w:p>
              </w:tc>
              <w:tc>
                <w:tcPr>
                  <w:tcW w:w="4280" w:type="dxa"/>
                  <w:vAlign w:val="center"/>
                </w:tcPr>
                <w:p>
                  <w:pPr>
                    <w:pStyle w:val="27"/>
                    <w:spacing w:line="320" w:lineRule="exact"/>
                    <w:rPr>
                      <w:color w:val="000000"/>
                    </w:rPr>
                  </w:pPr>
                  <w:r>
                    <w:rPr>
                      <w:snapToGrid w:val="0"/>
                      <w:color w:val="000000"/>
                    </w:rPr>
                    <w:t>19</w:t>
                  </w:r>
                  <w:r>
                    <w:rPr>
                      <w:rFonts w:hint="eastAsia"/>
                      <w:snapToGrid w:val="0"/>
                      <w:color w:val="000000"/>
                    </w:rPr>
                    <w:t>.</w:t>
                  </w:r>
                  <w:r>
                    <w:rPr>
                      <w:snapToGrid w:val="0"/>
                      <w:color w:val="000000"/>
                    </w:rPr>
                    <w:t>严格环境准入。深化</w:t>
                  </w:r>
                  <w:r>
                    <w:rPr>
                      <w:rFonts w:hint="eastAsia"/>
                      <w:snapToGrid w:val="0"/>
                      <w:color w:val="000000"/>
                    </w:rPr>
                    <w:t>“</w:t>
                  </w:r>
                  <w:r>
                    <w:rPr>
                      <w:snapToGrid w:val="0"/>
                      <w:color w:val="000000"/>
                    </w:rPr>
                    <w:t>放、管、服</w:t>
                  </w:r>
                  <w:r>
                    <w:rPr>
                      <w:rFonts w:hint="eastAsia"/>
                      <w:snapToGrid w:val="0"/>
                      <w:color w:val="000000"/>
                    </w:rPr>
                    <w:t>”</w:t>
                  </w:r>
                  <w:r>
                    <w:rPr>
                      <w:snapToGrid w:val="0"/>
                      <w:color w:val="000000"/>
                    </w:rPr>
                    <w:t>改革，强化项目事中、事后监管，提升服务水平。推进</w:t>
                  </w:r>
                  <w:r>
                    <w:rPr>
                      <w:rFonts w:hint="eastAsia"/>
                      <w:snapToGrid w:val="0"/>
                      <w:color w:val="000000"/>
                    </w:rPr>
                    <w:t>“</w:t>
                  </w:r>
                  <w:r>
                    <w:rPr>
                      <w:snapToGrid w:val="0"/>
                      <w:color w:val="000000"/>
                    </w:rPr>
                    <w:t>三线一单</w:t>
                  </w:r>
                  <w:r>
                    <w:rPr>
                      <w:rFonts w:hint="eastAsia"/>
                      <w:snapToGrid w:val="0"/>
                      <w:color w:val="000000"/>
                    </w:rPr>
                    <w:t>”</w:t>
                  </w:r>
                  <w:r>
                    <w:rPr>
                      <w:snapToGrid w:val="0"/>
                      <w:color w:val="000000"/>
                    </w:rPr>
                    <w:t>生态环境分区管控要求落地应用，做好规划环评，严控新建高耗水、高排放工业项目，把好项目环境准入关。</w:t>
                  </w:r>
                </w:p>
              </w:tc>
              <w:tc>
                <w:tcPr>
                  <w:tcW w:w="1931" w:type="dxa"/>
                  <w:vAlign w:val="center"/>
                </w:tcPr>
                <w:p>
                  <w:pPr>
                    <w:pStyle w:val="27"/>
                    <w:spacing w:line="320" w:lineRule="exact"/>
                    <w:jc w:val="left"/>
                    <w:rPr>
                      <w:color w:val="000000"/>
                    </w:rPr>
                  </w:pPr>
                  <w:r>
                    <w:rPr>
                      <w:rFonts w:hint="eastAsia"/>
                      <w:kern w:val="0"/>
                    </w:rPr>
                    <w:t>本项目符合“三线一单”分区管控要求，</w:t>
                  </w:r>
                  <w:r>
                    <w:rPr>
                      <w:rFonts w:hint="eastAsia"/>
                      <w:snapToGrid w:val="0"/>
                    </w:rPr>
                    <w:t>生活污水经厂区化粪池降解处理后，定期清掏，用于周围农田施肥，</w:t>
                  </w:r>
                  <w:r>
                    <w:rPr>
                      <w:rFonts w:hint="eastAsia"/>
                      <w:kern w:val="0"/>
                    </w:rPr>
                    <w:t>不属于高耗水、高排放项目。</w:t>
                  </w:r>
                </w:p>
              </w:tc>
              <w:tc>
                <w:tcPr>
                  <w:tcW w:w="1004" w:type="dxa"/>
                  <w:vAlign w:val="center"/>
                </w:tcPr>
                <w:p>
                  <w:pPr>
                    <w:pStyle w:val="27"/>
                    <w:spacing w:line="320" w:lineRule="exact"/>
                    <w:rPr>
                      <w:snapToGrid w:val="0"/>
                      <w:color w:val="000000"/>
                    </w:rPr>
                  </w:pPr>
                  <w:r>
                    <w:rPr>
                      <w:rFonts w:hint="eastAsia"/>
                      <w:snapToGrid w:val="0"/>
                      <w:color w:val="000000"/>
                    </w:rPr>
                    <w:t>相符</w:t>
                  </w:r>
                </w:p>
              </w:tc>
            </w:tr>
          </w:tbl>
          <w:p>
            <w:pPr>
              <w:spacing w:line="460" w:lineRule="exact"/>
              <w:ind w:firstLine="480" w:firstLineChars="200"/>
              <w:rPr>
                <w:bCs/>
                <w:color w:val="000000"/>
                <w:sz w:val="24"/>
                <w:szCs w:val="20"/>
              </w:rPr>
            </w:pPr>
            <w:r>
              <w:rPr>
                <w:bCs/>
                <w:color w:val="000000"/>
                <w:sz w:val="24"/>
              </w:rPr>
              <w:t>由上表可知</w:t>
            </w:r>
            <w:r>
              <w:rPr>
                <w:color w:val="000000"/>
                <w:kern w:val="0"/>
                <w:sz w:val="24"/>
              </w:rPr>
              <w:t>，项目的建设</w:t>
            </w:r>
            <w:r>
              <w:rPr>
                <w:bCs/>
                <w:color w:val="000000"/>
                <w:sz w:val="24"/>
                <w:szCs w:val="20"/>
              </w:rPr>
              <w:t>符合《</w:t>
            </w:r>
            <w:r>
              <w:rPr>
                <w:rFonts w:hint="eastAsia"/>
                <w:bCs/>
                <w:color w:val="000000"/>
                <w:sz w:val="24"/>
                <w:szCs w:val="20"/>
              </w:rPr>
              <w:t>偃师区污染防治攻坚战领导小组关于印发2021年大气、水、土壤污染防治攻坚战及农业农村污染治理攻坚战实施方案的通知</w:t>
            </w:r>
            <w:r>
              <w:rPr>
                <w:bCs/>
                <w:color w:val="000000"/>
                <w:sz w:val="24"/>
                <w:szCs w:val="20"/>
              </w:rPr>
              <w:t>》（洛环攻坚〔2021〕</w:t>
            </w:r>
            <w:r>
              <w:rPr>
                <w:rFonts w:hint="eastAsia"/>
                <w:bCs/>
                <w:color w:val="000000"/>
                <w:sz w:val="24"/>
                <w:szCs w:val="20"/>
              </w:rPr>
              <w:t>4</w:t>
            </w:r>
            <w:r>
              <w:rPr>
                <w:bCs/>
                <w:color w:val="000000"/>
                <w:sz w:val="24"/>
                <w:szCs w:val="20"/>
              </w:rPr>
              <w:t>号）的相关要求。</w:t>
            </w:r>
          </w:p>
          <w:p>
            <w:pPr>
              <w:pStyle w:val="4"/>
              <w:spacing w:before="0" w:after="0" w:line="460" w:lineRule="exact"/>
              <w:ind w:firstLine="482" w:firstLineChars="200"/>
              <w:rPr>
                <w:color w:val="000000"/>
                <w:sz w:val="24"/>
                <w:szCs w:val="24"/>
              </w:rPr>
            </w:pPr>
            <w:r>
              <w:rPr>
                <w:rFonts w:hint="eastAsia"/>
                <w:color w:val="000000"/>
                <w:sz w:val="24"/>
                <w:szCs w:val="24"/>
              </w:rPr>
              <w:t>6、与《重污染天气重点行业应急减排措施制定技术指南（2020年修订版）》（环办大气函〔2020〕340号）相符性分析</w:t>
            </w:r>
          </w:p>
          <w:p>
            <w:pPr>
              <w:pStyle w:val="4"/>
              <w:spacing w:before="0" w:after="0" w:line="460" w:lineRule="exact"/>
              <w:ind w:firstLine="480" w:firstLineChars="200"/>
              <w:rPr>
                <w:b w:val="0"/>
                <w:bCs w:val="0"/>
                <w:color w:val="000000"/>
                <w:sz w:val="24"/>
                <w:szCs w:val="24"/>
              </w:rPr>
            </w:pPr>
            <w:r>
              <w:rPr>
                <w:b w:val="0"/>
                <w:bCs w:val="0"/>
                <w:color w:val="000000"/>
                <w:sz w:val="24"/>
                <w:szCs w:val="24"/>
              </w:rPr>
              <w:t>根据《重污染天气重点行业应急减排措施制定技术指南（2020年修订版）》（环办大气函〔2020〕340号）中“（</w:t>
            </w:r>
            <w:r>
              <w:rPr>
                <w:rFonts w:hint="eastAsia"/>
                <w:b w:val="0"/>
                <w:bCs w:val="0"/>
                <w:color w:val="000000"/>
                <w:sz w:val="24"/>
                <w:szCs w:val="24"/>
              </w:rPr>
              <w:t>三十六</w:t>
            </w:r>
            <w:r>
              <w:rPr>
                <w:b w:val="0"/>
                <w:bCs w:val="0"/>
                <w:color w:val="000000"/>
                <w:sz w:val="24"/>
                <w:szCs w:val="24"/>
              </w:rPr>
              <w:t>）</w:t>
            </w:r>
            <w:r>
              <w:rPr>
                <w:rFonts w:hint="eastAsia"/>
                <w:b w:val="0"/>
                <w:bCs w:val="0"/>
                <w:color w:val="000000"/>
                <w:sz w:val="24"/>
                <w:szCs w:val="24"/>
              </w:rPr>
              <w:t>家具制造</w:t>
            </w:r>
            <w:r>
              <w:rPr>
                <w:b w:val="0"/>
                <w:bCs w:val="0"/>
                <w:color w:val="000000"/>
                <w:sz w:val="24"/>
                <w:szCs w:val="24"/>
              </w:rPr>
              <w:t>，（四）绩效分级指标”中“</w:t>
            </w:r>
            <w:r>
              <w:rPr>
                <w:rFonts w:hint="eastAsia"/>
                <w:b w:val="0"/>
                <w:bCs w:val="0"/>
                <w:color w:val="000000"/>
                <w:sz w:val="24"/>
                <w:szCs w:val="24"/>
              </w:rPr>
              <w:t>家具制造</w:t>
            </w:r>
            <w:r>
              <w:rPr>
                <w:b w:val="0"/>
                <w:bCs w:val="0"/>
                <w:color w:val="000000"/>
                <w:sz w:val="24"/>
                <w:szCs w:val="24"/>
              </w:rPr>
              <w:t>绩效分级指标”，项目与</w:t>
            </w:r>
            <w:r>
              <w:rPr>
                <w:rFonts w:hint="eastAsia"/>
                <w:b w:val="0"/>
                <w:bCs w:val="0"/>
                <w:color w:val="000000"/>
                <w:sz w:val="24"/>
                <w:szCs w:val="24"/>
              </w:rPr>
              <w:t>家具制造B</w:t>
            </w:r>
            <w:r>
              <w:rPr>
                <w:b w:val="0"/>
                <w:bCs w:val="0"/>
                <w:color w:val="000000"/>
                <w:sz w:val="24"/>
                <w:szCs w:val="24"/>
              </w:rPr>
              <w:t>级绩效指标要求相符性见</w:t>
            </w:r>
            <w:r>
              <w:rPr>
                <w:rFonts w:hint="eastAsia"/>
                <w:b w:val="0"/>
                <w:bCs w:val="0"/>
                <w:color w:val="000000"/>
                <w:sz w:val="24"/>
                <w:szCs w:val="24"/>
              </w:rPr>
              <w:t>下表。</w:t>
            </w:r>
          </w:p>
          <w:p>
            <w:r>
              <w:rPr>
                <w:rFonts w:hint="eastAsia"/>
                <w:b/>
                <w:color w:val="000000"/>
                <w:kern w:val="0"/>
                <w:sz w:val="24"/>
              </w:rPr>
              <w:t>表3  项目与</w:t>
            </w:r>
            <w:r>
              <w:rPr>
                <w:rFonts w:hint="eastAsia"/>
                <w:b/>
                <w:bCs/>
                <w:color w:val="000000"/>
                <w:sz w:val="24"/>
              </w:rPr>
              <w:t>《重污染天气重点行业应急减排措施制定技术指南（2020年修订版）》（环办大气函〔2020〕340号）</w:t>
            </w:r>
            <w:r>
              <w:rPr>
                <w:rFonts w:hint="eastAsia"/>
                <w:b/>
                <w:color w:val="000000"/>
                <w:kern w:val="0"/>
                <w:sz w:val="24"/>
              </w:rPr>
              <w:t>相符性分析一览表</w:t>
            </w:r>
          </w:p>
          <w:tbl>
            <w:tblPr>
              <w:tblStyle w:val="1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30" w:type="dxa"/>
              </w:tblCellMar>
            </w:tblPr>
            <w:tblGrid>
              <w:gridCol w:w="675"/>
              <w:gridCol w:w="4452"/>
              <w:gridCol w:w="1980"/>
              <w:gridCol w:w="9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tcBorders>
                    <w:top w:val="single" w:color="auto" w:sz="8" w:space="0"/>
                  </w:tcBorders>
                  <w:vAlign w:val="center"/>
                </w:tcPr>
                <w:p>
                  <w:pPr>
                    <w:adjustRightInd w:val="0"/>
                    <w:snapToGrid w:val="0"/>
                    <w:spacing w:line="320" w:lineRule="exact"/>
                    <w:jc w:val="center"/>
                    <w:rPr>
                      <w:color w:val="000000"/>
                      <w:kern w:val="0"/>
                      <w:szCs w:val="21"/>
                    </w:rPr>
                  </w:pPr>
                  <w:r>
                    <w:rPr>
                      <w:color w:val="000000"/>
                      <w:kern w:val="0"/>
                      <w:szCs w:val="21"/>
                    </w:rPr>
                    <w:t>差异化指标</w:t>
                  </w:r>
                </w:p>
              </w:tc>
              <w:tc>
                <w:tcPr>
                  <w:tcW w:w="2764" w:type="pc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kern w:val="0"/>
                      <w:szCs w:val="21"/>
                    </w:rPr>
                    <w:t>B</w:t>
                  </w:r>
                  <w:r>
                    <w:rPr>
                      <w:color w:val="000000"/>
                      <w:kern w:val="0"/>
                      <w:szCs w:val="21"/>
                    </w:rPr>
                    <w:t>级绩效指标要求</w:t>
                  </w:r>
                </w:p>
              </w:tc>
              <w:tc>
                <w:tcPr>
                  <w:tcW w:w="1229" w:type="pct"/>
                  <w:tcBorders>
                    <w:top w:val="single" w:color="auto" w:sz="8" w:space="0"/>
                  </w:tcBorders>
                  <w:vAlign w:val="center"/>
                </w:tcPr>
                <w:p>
                  <w:pPr>
                    <w:adjustRightInd w:val="0"/>
                    <w:snapToGrid w:val="0"/>
                    <w:spacing w:line="320" w:lineRule="exact"/>
                    <w:jc w:val="center"/>
                    <w:rPr>
                      <w:color w:val="000000"/>
                      <w:kern w:val="0"/>
                      <w:szCs w:val="21"/>
                    </w:rPr>
                  </w:pPr>
                  <w:r>
                    <w:rPr>
                      <w:color w:val="000000"/>
                      <w:szCs w:val="21"/>
                    </w:rPr>
                    <w:t>项目情况</w:t>
                  </w:r>
                </w:p>
              </w:tc>
              <w:tc>
                <w:tcPr>
                  <w:tcW w:w="586" w:type="pct"/>
                  <w:tcBorders>
                    <w:top w:val="single" w:color="auto" w:sz="8" w:space="0"/>
                  </w:tcBorders>
                  <w:vAlign w:val="center"/>
                </w:tcPr>
                <w:p>
                  <w:pPr>
                    <w:adjustRightInd w:val="0"/>
                    <w:snapToGrid w:val="0"/>
                    <w:spacing w:line="320" w:lineRule="exact"/>
                    <w:jc w:val="center"/>
                    <w:rPr>
                      <w:color w:val="000000"/>
                      <w:kern w:val="0"/>
                      <w:szCs w:val="21"/>
                    </w:rPr>
                  </w:pPr>
                  <w:r>
                    <w:rPr>
                      <w:color w:val="000000"/>
                      <w:szCs w:val="21"/>
                    </w:rPr>
                    <w:t>相符性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kern w:val="0"/>
                      <w:szCs w:val="21"/>
                    </w:rPr>
                    <w:t>原辅材料</w:t>
                  </w:r>
                </w:p>
              </w:tc>
              <w:tc>
                <w:tcPr>
                  <w:tcW w:w="2764" w:type="pct"/>
                  <w:tcBorders>
                    <w:top w:val="single" w:color="auto" w:sz="8" w:space="0"/>
                  </w:tcBorders>
                  <w:vAlign w:val="center"/>
                </w:tcPr>
                <w:p>
                  <w:pPr>
                    <w:snapToGrid w:val="0"/>
                    <w:spacing w:line="320" w:lineRule="exact"/>
                    <w:rPr>
                      <w:color w:val="000000"/>
                    </w:rPr>
                  </w:pPr>
                  <w:r>
                    <w:rPr>
                      <w:rFonts w:hint="eastAsia"/>
                      <w:color w:val="000000"/>
                    </w:rPr>
                    <w:t>使用满足《木器涂料中有害物质限量》(GB18581-2020)要求的水性涂料(含水性UV、腻子)占比50%以上；使用满足《胶粘剂挥发性有机化合物限量》(GB3372-2020)要求的水性和本体胶粘剂占比50%以上；使用的清洗剂满足《清洗剂挥发性有机化合物含量限值》(GB 38508-2020)要求。</w:t>
                  </w:r>
                </w:p>
              </w:tc>
              <w:tc>
                <w:tcPr>
                  <w:tcW w:w="1229" w:type="pct"/>
                  <w:tcBorders>
                    <w:top w:val="single" w:color="auto" w:sz="8" w:space="0"/>
                  </w:tcBorders>
                  <w:vAlign w:val="center"/>
                </w:tcPr>
                <w:p>
                  <w:pPr>
                    <w:adjustRightInd w:val="0"/>
                    <w:snapToGrid w:val="0"/>
                    <w:spacing w:line="320" w:lineRule="exact"/>
                    <w:jc w:val="left"/>
                    <w:rPr>
                      <w:color w:val="000000"/>
                      <w:szCs w:val="21"/>
                    </w:rPr>
                  </w:pPr>
                  <w:r>
                    <w:rPr>
                      <w:rFonts w:hint="eastAsia"/>
                      <w:color w:val="000000"/>
                    </w:rPr>
                    <w:t>本项目</w:t>
                  </w:r>
                  <w:r>
                    <w:rPr>
                      <w:color w:val="000000"/>
                    </w:rPr>
                    <w:t>采用</w:t>
                  </w:r>
                  <w:r>
                    <w:rPr>
                      <w:rFonts w:hint="eastAsia"/>
                      <w:color w:val="000000"/>
                    </w:rPr>
                    <w:t>塑粉</w:t>
                  </w:r>
                  <w:r>
                    <w:rPr>
                      <w:rFonts w:hint="eastAsia"/>
                      <w:color w:val="000000"/>
                      <w:szCs w:val="21"/>
                    </w:rPr>
                    <w:t>，属于低挥发性有机化合物含量涂料产品</w:t>
                  </w:r>
                </w:p>
              </w:tc>
              <w:tc>
                <w:tcPr>
                  <w:tcW w:w="586" w:type="pct"/>
                  <w:tcBorders>
                    <w:top w:val="single" w:color="auto" w:sz="8" w:space="0"/>
                  </w:tcBorders>
                  <w:vAlign w:val="center"/>
                </w:tcPr>
                <w:p>
                  <w:pPr>
                    <w:adjustRightInd w:val="0"/>
                    <w:snapToGrid w:val="0"/>
                    <w:spacing w:line="320" w:lineRule="exact"/>
                    <w:jc w:val="center"/>
                    <w:rPr>
                      <w:color w:val="000000"/>
                      <w:szCs w:val="21"/>
                    </w:rPr>
                  </w:pPr>
                  <w:r>
                    <w:rPr>
                      <w:rFonts w:hint="eastAsia"/>
                      <w:color w:val="00000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szCs w:val="21"/>
                    </w:rPr>
                    <w:t>生产工艺</w:t>
                  </w:r>
                </w:p>
              </w:tc>
              <w:tc>
                <w:tcPr>
                  <w:tcW w:w="2764" w:type="pct"/>
                  <w:tcBorders>
                    <w:top w:val="single" w:color="auto" w:sz="8" w:space="0"/>
                  </w:tcBorders>
                  <w:vAlign w:val="center"/>
                </w:tcPr>
                <w:p>
                  <w:pPr>
                    <w:spacing w:line="320" w:lineRule="exact"/>
                    <w:jc w:val="left"/>
                    <w:rPr>
                      <w:color w:val="000000"/>
                      <w:kern w:val="0"/>
                      <w:szCs w:val="21"/>
                    </w:rPr>
                  </w:pPr>
                  <w:r>
                    <w:rPr>
                      <w:rFonts w:hint="eastAsia"/>
                      <w:color w:val="000000"/>
                      <w:kern w:val="0"/>
                      <w:szCs w:val="21"/>
                    </w:rPr>
                    <w:t>30%以上的产品使用高效涂装设备，包括往复式喷涂箱、辊涂、淋涂、机械手、静电喷涂等技术。</w:t>
                  </w:r>
                </w:p>
              </w:tc>
              <w:tc>
                <w:tcPr>
                  <w:tcW w:w="1229" w:type="pct"/>
                  <w:tcBorders>
                    <w:top w:val="single" w:color="auto" w:sz="8" w:space="0"/>
                  </w:tcBorders>
                  <w:vAlign w:val="center"/>
                </w:tcPr>
                <w:p>
                  <w:pPr>
                    <w:spacing w:line="320" w:lineRule="exact"/>
                    <w:jc w:val="left"/>
                    <w:rPr>
                      <w:color w:val="000000"/>
                      <w:kern w:val="0"/>
                      <w:szCs w:val="21"/>
                    </w:rPr>
                  </w:pPr>
                  <w:r>
                    <w:rPr>
                      <w:rFonts w:hint="eastAsia"/>
                      <w:color w:val="000000"/>
                      <w:kern w:val="0"/>
                      <w:szCs w:val="21"/>
                    </w:rPr>
                    <w:t>本项目喷塑工序采用静电喷涂技术。</w:t>
                  </w:r>
                </w:p>
              </w:tc>
              <w:tc>
                <w:tcPr>
                  <w:tcW w:w="586" w:type="pc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kern w:val="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vMerge w:val="restar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szCs w:val="21"/>
                    </w:rPr>
                    <w:t>无组织排放</w:t>
                  </w:r>
                </w:p>
              </w:tc>
              <w:tc>
                <w:tcPr>
                  <w:tcW w:w="2764" w:type="pct"/>
                  <w:tcBorders>
                    <w:top w:val="single" w:color="auto" w:sz="8" w:space="0"/>
                  </w:tcBorders>
                  <w:vAlign w:val="center"/>
                </w:tcPr>
                <w:p>
                  <w:pPr>
                    <w:adjustRightInd w:val="0"/>
                    <w:snapToGrid w:val="0"/>
                    <w:spacing w:line="320" w:lineRule="exact"/>
                    <w:rPr>
                      <w:color w:val="000000"/>
                      <w:kern w:val="0"/>
                      <w:szCs w:val="21"/>
                    </w:rPr>
                  </w:pPr>
                  <w:r>
                    <w:rPr>
                      <w:rFonts w:hint="eastAsia"/>
                      <w:color w:val="000000"/>
                      <w:kern w:val="0"/>
                      <w:szCs w:val="21"/>
                    </w:rPr>
                    <w:t>涂料、稀释剂、清洗剂等原辅材料密闭存储，原辅材料调配、使用、回收等过程采用密闭设备或在密闭空间内操作，采用密闭管道或密闭容器等输送；施胶、调配、喷涂、流平和干燥工序在密闭空间内操作，废气排至VOCs废气收集处理系统。</w:t>
                  </w:r>
                </w:p>
              </w:tc>
              <w:tc>
                <w:tcPr>
                  <w:tcW w:w="1229" w:type="pct"/>
                  <w:tcBorders>
                    <w:top w:val="single" w:color="auto" w:sz="8" w:space="0"/>
                  </w:tcBorders>
                  <w:vAlign w:val="center"/>
                </w:tcPr>
                <w:p>
                  <w:pPr>
                    <w:adjustRightInd w:val="0"/>
                    <w:snapToGrid w:val="0"/>
                    <w:spacing w:line="320" w:lineRule="exact"/>
                    <w:jc w:val="left"/>
                    <w:rPr>
                      <w:color w:val="000000"/>
                    </w:rPr>
                  </w:pPr>
                  <w:r>
                    <w:rPr>
                      <w:rFonts w:hint="eastAsia"/>
                      <w:color w:val="000000"/>
                    </w:rPr>
                    <w:t>本项目使用塑粉密闭储存，喷涂、固化工序在密闭空间内操作，产生的有机废气经“UV光氧+活性炭吸附装置”处理后通过排气筒排放。</w:t>
                  </w:r>
                </w:p>
              </w:tc>
              <w:tc>
                <w:tcPr>
                  <w:tcW w:w="586" w:type="pct"/>
                  <w:vMerge w:val="restar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kern w:val="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vMerge w:val="continue"/>
                  <w:vAlign w:val="center"/>
                </w:tcPr>
                <w:p>
                  <w:pPr>
                    <w:adjustRightInd w:val="0"/>
                    <w:snapToGrid w:val="0"/>
                    <w:spacing w:line="320" w:lineRule="exact"/>
                    <w:rPr>
                      <w:color w:val="000000"/>
                    </w:rPr>
                  </w:pPr>
                </w:p>
              </w:tc>
              <w:tc>
                <w:tcPr>
                  <w:tcW w:w="2764" w:type="pct"/>
                  <w:tcBorders>
                    <w:top w:val="single" w:color="auto" w:sz="8" w:space="0"/>
                  </w:tcBorders>
                  <w:vAlign w:val="center"/>
                </w:tcPr>
                <w:p>
                  <w:pPr>
                    <w:adjustRightInd w:val="0"/>
                    <w:snapToGrid w:val="0"/>
                    <w:spacing w:line="320" w:lineRule="exact"/>
                    <w:rPr>
                      <w:rFonts w:cs="宋体"/>
                      <w:color w:val="000000"/>
                    </w:rPr>
                  </w:pPr>
                  <w:r>
                    <w:rPr>
                      <w:rFonts w:hint="eastAsia" w:cs="宋体"/>
                      <w:color w:val="000000"/>
                    </w:rPr>
                    <w:t>开料、砂光等工序设置中央除尘系统：机加工、打磨工序设置中央除尘系统或采用袋式除尘、滤简除尘等除尘工艺。</w:t>
                  </w:r>
                </w:p>
              </w:tc>
              <w:tc>
                <w:tcPr>
                  <w:tcW w:w="1229" w:type="pct"/>
                  <w:vAlign w:val="center"/>
                </w:tcPr>
                <w:p>
                  <w:pPr>
                    <w:adjustRightInd w:val="0"/>
                    <w:snapToGrid w:val="0"/>
                    <w:spacing w:line="320" w:lineRule="exact"/>
                    <w:jc w:val="left"/>
                    <w:rPr>
                      <w:rFonts w:cs="宋体"/>
                      <w:color w:val="000000"/>
                    </w:rPr>
                  </w:pPr>
                  <w:r>
                    <w:rPr>
                      <w:rFonts w:hint="eastAsia" w:cs="宋体"/>
                      <w:color w:val="000000"/>
                    </w:rPr>
                    <w:t>本项目机加工工序产生的粉尘经袋式除尘器</w:t>
                  </w:r>
                  <w:r>
                    <w:rPr>
                      <w:rFonts w:hint="eastAsia"/>
                      <w:color w:val="000000"/>
                    </w:rPr>
                    <w:t>处理后通过排气筒排放。</w:t>
                  </w:r>
                </w:p>
              </w:tc>
              <w:tc>
                <w:tcPr>
                  <w:tcW w:w="586" w:type="pct"/>
                  <w:vMerge w:val="continue"/>
                  <w:vAlign w:val="center"/>
                </w:tcPr>
                <w:p>
                  <w:pPr>
                    <w:adjustRightInd w:val="0"/>
                    <w:snapToGrid w:val="0"/>
                    <w:spacing w:line="320" w:lineRule="exact"/>
                    <w:rPr>
                      <w:rFonts w:cs="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szCs w:val="21"/>
                    </w:rPr>
                    <w:t>废气治理工艺</w:t>
                  </w:r>
                </w:p>
              </w:tc>
              <w:tc>
                <w:tcPr>
                  <w:tcW w:w="2764" w:type="pct"/>
                  <w:tcBorders>
                    <w:top w:val="single" w:color="auto" w:sz="8" w:space="0"/>
                  </w:tcBorders>
                  <w:vAlign w:val="center"/>
                </w:tcPr>
                <w:p>
                  <w:pPr>
                    <w:adjustRightInd w:val="0"/>
                    <w:snapToGrid w:val="0"/>
                    <w:spacing w:line="320" w:lineRule="exact"/>
                    <w:rPr>
                      <w:color w:val="000000"/>
                      <w:kern w:val="0"/>
                      <w:szCs w:val="21"/>
                    </w:rPr>
                  </w:pPr>
                  <w:r>
                    <w:rPr>
                      <w:rFonts w:hint="eastAsia"/>
                      <w:color w:val="000000"/>
                      <w:kern w:val="0"/>
                      <w:szCs w:val="21"/>
                    </w:rPr>
                    <w:t>1、溶剂型涂料：涂饰(含UV涂料喷涂)、干燥、调配、流平等废气采用漆雾预处理+吸附浓缩+燃烧(蓄热燃烧、催化燃烧)工艺处理；</w:t>
                  </w:r>
                </w:p>
                <w:p>
                  <w:pPr>
                    <w:adjustRightInd w:val="0"/>
                    <w:snapToGrid w:val="0"/>
                    <w:spacing w:line="320" w:lineRule="exact"/>
                    <w:rPr>
                      <w:color w:val="000000"/>
                      <w:kern w:val="0"/>
                      <w:szCs w:val="21"/>
                    </w:rPr>
                  </w:pPr>
                  <w:r>
                    <w:rPr>
                      <w:rFonts w:hint="eastAsia"/>
                      <w:color w:val="000000"/>
                      <w:kern w:val="0"/>
                      <w:szCs w:val="21"/>
                    </w:rPr>
                    <w:t>2、其他涂料：涂饰、干燥、调配、流平等废气采用漆雾预处理+吸附浓缩+燃烧( 蓄热燃烧、催化燃烧)，NMHC排放速率&lt;2 kg/h末端采用漆雾预处理+吸附法等技术工艺处理。</w:t>
                  </w:r>
                </w:p>
              </w:tc>
              <w:tc>
                <w:tcPr>
                  <w:tcW w:w="1229" w:type="pct"/>
                  <w:tcBorders>
                    <w:top w:val="single" w:color="auto" w:sz="8" w:space="0"/>
                  </w:tcBorders>
                  <w:vAlign w:val="center"/>
                </w:tcPr>
                <w:p>
                  <w:pPr>
                    <w:spacing w:line="320" w:lineRule="exact"/>
                    <w:jc w:val="left"/>
                    <w:rPr>
                      <w:color w:val="000000"/>
                      <w:kern w:val="0"/>
                      <w:szCs w:val="21"/>
                    </w:rPr>
                  </w:pPr>
                  <w:r>
                    <w:rPr>
                      <w:rFonts w:hint="eastAsia"/>
                      <w:color w:val="000000"/>
                      <w:kern w:val="0"/>
                      <w:szCs w:val="21"/>
                    </w:rPr>
                    <w:t>项目使用塑粉为</w:t>
                  </w:r>
                  <w:r>
                    <w:rPr>
                      <w:rFonts w:hint="eastAsia"/>
                      <w:color w:val="000000"/>
                    </w:rPr>
                    <w:t>固态低</w:t>
                  </w:r>
                  <w:r>
                    <w:rPr>
                      <w:color w:val="000000"/>
                    </w:rPr>
                    <w:t>VOCs</w:t>
                  </w:r>
                  <w:r>
                    <w:rPr>
                      <w:rFonts w:hint="eastAsia"/>
                      <w:color w:val="000000"/>
                    </w:rPr>
                    <w:t>含量</w:t>
                  </w:r>
                  <w:r>
                    <w:rPr>
                      <w:color w:val="000000"/>
                    </w:rPr>
                    <w:t>涂料</w:t>
                  </w:r>
                  <w:r>
                    <w:rPr>
                      <w:rFonts w:hint="eastAsia"/>
                      <w:color w:val="000000"/>
                    </w:rPr>
                    <w:t>，</w:t>
                  </w:r>
                  <w:r>
                    <w:rPr>
                      <w:rFonts w:hint="eastAsia"/>
                      <w:color w:val="000000"/>
                      <w:kern w:val="0"/>
                      <w:szCs w:val="21"/>
                    </w:rPr>
                    <w:t>根据工程分析，项目NMHC排放速率为0.0</w:t>
                  </w:r>
                  <w:r>
                    <w:rPr>
                      <w:rFonts w:hint="eastAsia"/>
                      <w:color w:val="000000"/>
                      <w:kern w:val="0"/>
                      <w:szCs w:val="21"/>
                      <w:lang w:val="en-US" w:eastAsia="zh-CN"/>
                    </w:rPr>
                    <w:t>382</w:t>
                  </w:r>
                  <w:r>
                    <w:rPr>
                      <w:rFonts w:hint="eastAsia"/>
                      <w:color w:val="000000"/>
                      <w:kern w:val="0"/>
                      <w:szCs w:val="21"/>
                    </w:rPr>
                    <w:t>kg/h，采用</w:t>
                  </w:r>
                  <w:r>
                    <w:rPr>
                      <w:rFonts w:hint="eastAsia"/>
                      <w:color w:val="000000"/>
                    </w:rPr>
                    <w:t>“UV光氧+活性炭吸附装置”处理。</w:t>
                  </w:r>
                </w:p>
              </w:tc>
              <w:tc>
                <w:tcPr>
                  <w:tcW w:w="586" w:type="pct"/>
                  <w:vMerge w:val="restar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kern w:val="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vAlign w:val="center"/>
                </w:tcPr>
                <w:p>
                  <w:pPr>
                    <w:adjustRightInd w:val="0"/>
                    <w:snapToGrid w:val="0"/>
                    <w:spacing w:line="320" w:lineRule="exact"/>
                    <w:jc w:val="center"/>
                    <w:rPr>
                      <w:color w:val="000000"/>
                    </w:rPr>
                  </w:pPr>
                  <w:r>
                    <w:rPr>
                      <w:rFonts w:hint="eastAsia"/>
                      <w:color w:val="000000"/>
                    </w:rPr>
                    <w:t>排放限值</w:t>
                  </w:r>
                </w:p>
              </w:tc>
              <w:tc>
                <w:tcPr>
                  <w:tcW w:w="2764" w:type="pct"/>
                  <w:tcBorders>
                    <w:top w:val="single" w:color="auto" w:sz="8" w:space="0"/>
                  </w:tcBorders>
                  <w:vAlign w:val="center"/>
                </w:tcPr>
                <w:p>
                  <w:pPr>
                    <w:adjustRightInd w:val="0"/>
                    <w:snapToGrid w:val="0"/>
                    <w:spacing w:line="320" w:lineRule="exact"/>
                    <w:rPr>
                      <w:color w:val="000000"/>
                    </w:rPr>
                  </w:pPr>
                  <w:r>
                    <w:rPr>
                      <w:rFonts w:hint="eastAsia"/>
                      <w:color w:val="000000"/>
                    </w:rPr>
                    <w:t>PM、NMHC排放浓度分别不高于20、40 mg/m</w:t>
                  </w:r>
                  <w:r>
                    <w:rPr>
                      <w:rFonts w:hint="eastAsia"/>
                      <w:color w:val="000000"/>
                      <w:vertAlign w:val="superscript"/>
                    </w:rPr>
                    <w:t>3</w:t>
                  </w:r>
                  <w:r>
                    <w:rPr>
                      <w:rFonts w:hint="eastAsia"/>
                      <w:color w:val="000000"/>
                    </w:rPr>
                    <w:t>；且所有污染物稳定达到地标排放限值。</w:t>
                  </w:r>
                </w:p>
              </w:tc>
              <w:tc>
                <w:tcPr>
                  <w:tcW w:w="1229" w:type="pct"/>
                  <w:vAlign w:val="center"/>
                </w:tcPr>
                <w:p>
                  <w:pPr>
                    <w:adjustRightInd w:val="0"/>
                    <w:snapToGrid w:val="0"/>
                    <w:spacing w:line="320" w:lineRule="exact"/>
                    <w:jc w:val="left"/>
                    <w:rPr>
                      <w:color w:val="000000"/>
                    </w:rPr>
                  </w:pPr>
                  <w:r>
                    <w:rPr>
                      <w:rFonts w:hint="eastAsia"/>
                      <w:color w:val="000000"/>
                    </w:rPr>
                    <w:t>根据工程分析，项目焊接、切割过程颗粒物排放浓度为1.1mg/m</w:t>
                  </w:r>
                  <w:r>
                    <w:rPr>
                      <w:rFonts w:hint="eastAsia"/>
                      <w:color w:val="000000"/>
                      <w:vertAlign w:val="superscript"/>
                    </w:rPr>
                    <w:t>3</w:t>
                  </w:r>
                  <w:r>
                    <w:rPr>
                      <w:rFonts w:hint="eastAsia"/>
                      <w:color w:val="000000"/>
                    </w:rPr>
                    <w:t>，喷塑工序颗粒物排放浓度为</w:t>
                  </w:r>
                  <w:r>
                    <w:rPr>
                      <w:rFonts w:hint="eastAsia"/>
                      <w:color w:val="000000"/>
                      <w:lang w:val="en-US" w:eastAsia="zh-CN"/>
                    </w:rPr>
                    <w:t>3.82</w:t>
                  </w:r>
                  <w:r>
                    <w:rPr>
                      <w:rFonts w:hint="eastAsia"/>
                      <w:color w:val="000000"/>
                    </w:rPr>
                    <w:t>mg/m</w:t>
                  </w:r>
                  <w:r>
                    <w:rPr>
                      <w:rFonts w:hint="eastAsia"/>
                      <w:color w:val="000000"/>
                      <w:vertAlign w:val="superscript"/>
                    </w:rPr>
                    <w:t>3</w:t>
                  </w:r>
                  <w:r>
                    <w:rPr>
                      <w:rFonts w:hint="eastAsia"/>
                      <w:color w:val="000000"/>
                    </w:rPr>
                    <w:t>，非甲烷总烃排放浓度为</w:t>
                  </w:r>
                  <w:r>
                    <w:rPr>
                      <w:rFonts w:hint="eastAsia"/>
                      <w:color w:val="000000"/>
                      <w:lang w:val="en-US" w:eastAsia="zh-CN"/>
                    </w:rPr>
                    <w:t>2.03</w:t>
                  </w:r>
                  <w:r>
                    <w:rPr>
                      <w:rFonts w:hint="eastAsia"/>
                      <w:color w:val="000000"/>
                    </w:rPr>
                    <w:t>mg/m</w:t>
                  </w:r>
                  <w:r>
                    <w:rPr>
                      <w:rFonts w:hint="eastAsia"/>
                      <w:color w:val="000000"/>
                      <w:vertAlign w:val="superscript"/>
                    </w:rPr>
                    <w:t>3</w:t>
                  </w:r>
                  <w:r>
                    <w:rPr>
                      <w:rFonts w:hint="eastAsia"/>
                      <w:color w:val="000000"/>
                    </w:rPr>
                    <w:t>，满足排放标准。</w:t>
                  </w:r>
                </w:p>
              </w:tc>
              <w:tc>
                <w:tcPr>
                  <w:tcW w:w="586" w:type="pct"/>
                  <w:vMerge w:val="continue"/>
                  <w:vAlign w:val="center"/>
                </w:tcPr>
                <w:p>
                  <w:pPr>
                    <w:adjustRightInd w:val="0"/>
                    <w:snapToGrid w:val="0"/>
                    <w:spacing w:line="32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tcBorders>
                    <w:top w:val="single" w:color="auto" w:sz="8" w:space="0"/>
                  </w:tcBorders>
                  <w:vAlign w:val="center"/>
                </w:tcPr>
                <w:p>
                  <w:pPr>
                    <w:adjustRightInd w:val="0"/>
                    <w:snapToGrid w:val="0"/>
                    <w:spacing w:line="320" w:lineRule="exact"/>
                    <w:jc w:val="center"/>
                    <w:rPr>
                      <w:color w:val="000000"/>
                      <w:szCs w:val="21"/>
                    </w:rPr>
                  </w:pPr>
                  <w:r>
                    <w:rPr>
                      <w:color w:val="000000"/>
                      <w:szCs w:val="21"/>
                    </w:rPr>
                    <w:t>监测监控</w:t>
                  </w:r>
                </w:p>
                <w:p>
                  <w:pPr>
                    <w:adjustRightInd w:val="0"/>
                    <w:snapToGrid w:val="0"/>
                    <w:spacing w:line="320" w:lineRule="exact"/>
                    <w:jc w:val="center"/>
                    <w:rPr>
                      <w:color w:val="000000"/>
                      <w:kern w:val="0"/>
                      <w:szCs w:val="21"/>
                    </w:rPr>
                  </w:pPr>
                  <w:r>
                    <w:rPr>
                      <w:color w:val="000000"/>
                      <w:szCs w:val="21"/>
                    </w:rPr>
                    <w:t>水平</w:t>
                  </w:r>
                </w:p>
              </w:tc>
              <w:tc>
                <w:tcPr>
                  <w:tcW w:w="2764" w:type="pct"/>
                  <w:tcBorders>
                    <w:top w:val="single" w:color="auto" w:sz="8" w:space="0"/>
                  </w:tcBorders>
                  <w:vAlign w:val="center"/>
                </w:tcPr>
                <w:p>
                  <w:pPr>
                    <w:adjustRightInd w:val="0"/>
                    <w:snapToGrid w:val="0"/>
                    <w:spacing w:line="320" w:lineRule="exact"/>
                    <w:rPr>
                      <w:color w:val="000000"/>
                      <w:szCs w:val="21"/>
                    </w:rPr>
                  </w:pPr>
                  <w:r>
                    <w:rPr>
                      <w:rFonts w:hint="eastAsia"/>
                      <w:color w:val="000000"/>
                    </w:rPr>
                    <w:t>重点排污企业风量大于10000m</w:t>
                  </w:r>
                  <w:r>
                    <w:rPr>
                      <w:rFonts w:hint="eastAsia"/>
                      <w:color w:val="000000"/>
                      <w:vertAlign w:val="superscript"/>
                    </w:rPr>
                    <w:t>3</w:t>
                  </w:r>
                  <w:r>
                    <w:rPr>
                      <w:rFonts w:hint="eastAsia"/>
                      <w:color w:val="000000"/>
                    </w:rPr>
                    <w:t>/h的主要排放口，有机废气排放口安装NMHC自动监测设施，自动监控数据保存一年以上</w:t>
                  </w:r>
                </w:p>
              </w:tc>
              <w:tc>
                <w:tcPr>
                  <w:tcW w:w="1229" w:type="pct"/>
                  <w:tcBorders>
                    <w:top w:val="single" w:color="auto" w:sz="8" w:space="0"/>
                  </w:tcBorders>
                  <w:vAlign w:val="center"/>
                </w:tcPr>
                <w:p>
                  <w:pPr>
                    <w:adjustRightInd w:val="0"/>
                    <w:snapToGrid w:val="0"/>
                    <w:spacing w:line="320" w:lineRule="exact"/>
                    <w:jc w:val="left"/>
                    <w:rPr>
                      <w:color w:val="000000"/>
                      <w:kern w:val="0"/>
                      <w:szCs w:val="21"/>
                    </w:rPr>
                  </w:pPr>
                  <w:r>
                    <w:rPr>
                      <w:rFonts w:hint="eastAsia"/>
                      <w:color w:val="000000"/>
                      <w:kern w:val="0"/>
                      <w:szCs w:val="21"/>
                    </w:rPr>
                    <w:t>本项目不属于重点排污企业，无需安装在线监测。</w:t>
                  </w:r>
                </w:p>
              </w:tc>
              <w:tc>
                <w:tcPr>
                  <w:tcW w:w="586" w:type="pc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kern w:val="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vMerge w:val="restart"/>
                  <w:tcBorders>
                    <w:top w:val="single" w:color="auto" w:sz="8" w:space="0"/>
                  </w:tcBorders>
                  <w:vAlign w:val="center"/>
                </w:tcPr>
                <w:p>
                  <w:pPr>
                    <w:adjustRightInd w:val="0"/>
                    <w:snapToGrid w:val="0"/>
                    <w:spacing w:line="320" w:lineRule="exact"/>
                    <w:jc w:val="center"/>
                    <w:rPr>
                      <w:color w:val="000000"/>
                      <w:szCs w:val="21"/>
                    </w:rPr>
                  </w:pPr>
                  <w:r>
                    <w:rPr>
                      <w:color w:val="000000"/>
                      <w:szCs w:val="21"/>
                    </w:rPr>
                    <w:t>环境管理</w:t>
                  </w:r>
                </w:p>
                <w:p>
                  <w:pPr>
                    <w:adjustRightInd w:val="0"/>
                    <w:snapToGrid w:val="0"/>
                    <w:spacing w:line="320" w:lineRule="exact"/>
                    <w:jc w:val="center"/>
                    <w:rPr>
                      <w:color w:val="000000"/>
                      <w:kern w:val="0"/>
                      <w:szCs w:val="21"/>
                    </w:rPr>
                  </w:pPr>
                  <w:r>
                    <w:rPr>
                      <w:color w:val="000000"/>
                      <w:szCs w:val="21"/>
                    </w:rPr>
                    <w:t>水平</w:t>
                  </w:r>
                </w:p>
              </w:tc>
              <w:tc>
                <w:tcPr>
                  <w:tcW w:w="2764" w:type="pct"/>
                  <w:tcBorders>
                    <w:top w:val="single" w:color="auto" w:sz="8" w:space="0"/>
                  </w:tcBorders>
                  <w:vAlign w:val="center"/>
                </w:tcPr>
                <w:p>
                  <w:pPr>
                    <w:adjustRightInd w:val="0"/>
                    <w:snapToGrid w:val="0"/>
                    <w:spacing w:line="320" w:lineRule="exact"/>
                    <w:rPr>
                      <w:color w:val="000000"/>
                      <w:szCs w:val="21"/>
                    </w:rPr>
                  </w:pPr>
                  <w:r>
                    <w:rPr>
                      <w:color w:val="000000"/>
                      <w:szCs w:val="21"/>
                    </w:rPr>
                    <w:t>环保档案齐全：1、环评批复文件；2、排污许可证及季度、年度执行报告；3、竣工验收文件；4、废气治理设施运行管理规程；5、一年内第三方废气监测报告</w:t>
                  </w:r>
                  <w:r>
                    <w:rPr>
                      <w:rFonts w:hint="eastAsia"/>
                      <w:color w:val="000000"/>
                      <w:szCs w:val="21"/>
                    </w:rPr>
                    <w:t>；6、涂料、胶黏剂、清洗剂中VOCs含量检测报告（包括密度、含水率等）</w:t>
                  </w:r>
                </w:p>
              </w:tc>
              <w:tc>
                <w:tcPr>
                  <w:tcW w:w="1229" w:type="pct"/>
                  <w:tcBorders>
                    <w:top w:val="single" w:color="auto" w:sz="8" w:space="0"/>
                  </w:tcBorders>
                  <w:vAlign w:val="center"/>
                </w:tcPr>
                <w:p>
                  <w:pPr>
                    <w:adjustRightInd w:val="0"/>
                    <w:snapToGrid w:val="0"/>
                    <w:spacing w:line="320" w:lineRule="exact"/>
                    <w:jc w:val="left"/>
                    <w:rPr>
                      <w:color w:val="000000"/>
                      <w:kern w:val="0"/>
                      <w:szCs w:val="21"/>
                    </w:rPr>
                  </w:pPr>
                  <w:r>
                    <w:rPr>
                      <w:rFonts w:hint="eastAsia"/>
                      <w:color w:val="000000"/>
                      <w:kern w:val="0"/>
                      <w:szCs w:val="21"/>
                    </w:rPr>
                    <w:t>项目建成后按要求设置环保档案。</w:t>
                  </w:r>
                  <w:r>
                    <w:rPr>
                      <w:color w:val="000000"/>
                      <w:szCs w:val="21"/>
                    </w:rPr>
                    <w:t>1、环评批复文件；2、排污许可证及季度、年度执行报告；3、竣工验收文件；4、废气治理设施运行管理规程；5、一年内第三方废气监测报告</w:t>
                  </w:r>
                  <w:r>
                    <w:rPr>
                      <w:rFonts w:hint="eastAsia"/>
                      <w:color w:val="000000"/>
                      <w:szCs w:val="21"/>
                    </w:rPr>
                    <w:t>；6、涂料、胶黏剂、清洗剂中VOCs含量检测报告</w:t>
                  </w:r>
                </w:p>
              </w:tc>
              <w:tc>
                <w:tcPr>
                  <w:tcW w:w="586" w:type="pct"/>
                  <w:tcBorders>
                    <w:top w:val="single" w:color="auto" w:sz="8" w:space="0"/>
                  </w:tcBorders>
                  <w:vAlign w:val="center"/>
                </w:tcPr>
                <w:p>
                  <w:pPr>
                    <w:adjustRightInd w:val="0"/>
                    <w:snapToGrid w:val="0"/>
                    <w:spacing w:line="320" w:lineRule="exact"/>
                    <w:jc w:val="center"/>
                    <w:rPr>
                      <w:color w:val="000000"/>
                      <w:kern w:val="0"/>
                      <w:szCs w:val="21"/>
                    </w:rPr>
                  </w:pPr>
                  <w:r>
                    <w:rPr>
                      <w:rFonts w:hint="eastAsia"/>
                      <w:color w:val="000000"/>
                      <w:kern w:val="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vMerge w:val="continue"/>
                  <w:vAlign w:val="center"/>
                </w:tcPr>
                <w:p>
                  <w:pPr>
                    <w:adjustRightInd w:val="0"/>
                    <w:snapToGrid w:val="0"/>
                    <w:spacing w:line="320" w:lineRule="exact"/>
                    <w:jc w:val="center"/>
                    <w:rPr>
                      <w:color w:val="000000"/>
                      <w:szCs w:val="21"/>
                    </w:rPr>
                  </w:pPr>
                </w:p>
              </w:tc>
              <w:tc>
                <w:tcPr>
                  <w:tcW w:w="2764" w:type="pct"/>
                </w:tcPr>
                <w:p>
                  <w:pPr>
                    <w:adjustRightInd w:val="0"/>
                    <w:snapToGrid w:val="0"/>
                    <w:spacing w:line="320" w:lineRule="exact"/>
                    <w:rPr>
                      <w:rFonts w:cs="宋体"/>
                      <w:color w:val="000000"/>
                    </w:rPr>
                  </w:pPr>
                  <w:r>
                    <w:rPr>
                      <w:rFonts w:hint="eastAsia" w:cs="宋体"/>
                      <w:color w:val="000000"/>
                    </w:rPr>
                    <w:t>台账记录∶1、生产设施运行管理信息（生产时间、运行负荷、产品产量等）；</w:t>
                  </w:r>
                </w:p>
                <w:p>
                  <w:pPr>
                    <w:adjustRightInd w:val="0"/>
                    <w:snapToGrid w:val="0"/>
                    <w:spacing w:line="320" w:lineRule="exact"/>
                    <w:rPr>
                      <w:rFonts w:cs="宋体"/>
                      <w:color w:val="000000"/>
                    </w:rPr>
                  </w:pPr>
                  <w:r>
                    <w:rPr>
                      <w:rFonts w:hint="eastAsia" w:cs="宋体"/>
                      <w:color w:val="000000"/>
                    </w:rPr>
                    <w:t>2、废气污染治理设施运行管理信息（除尘滤料更换频次、吸附剂更换频次、催化剂更换频次）；</w:t>
                  </w:r>
                </w:p>
                <w:p>
                  <w:pPr>
                    <w:adjustRightInd w:val="0"/>
                    <w:snapToGrid w:val="0"/>
                    <w:spacing w:line="320" w:lineRule="exact"/>
                    <w:rPr>
                      <w:rFonts w:cs="宋体"/>
                      <w:color w:val="000000"/>
                    </w:rPr>
                  </w:pPr>
                  <w:r>
                    <w:rPr>
                      <w:rFonts w:hint="eastAsia" w:cs="宋体"/>
                      <w:color w:val="000000"/>
                    </w:rPr>
                    <w:t>3、监测记录信息（主要污染排放口废气排放记录（手工监测和在线监测）等）；</w:t>
                  </w:r>
                </w:p>
                <w:p>
                  <w:pPr>
                    <w:adjustRightInd w:val="0"/>
                    <w:snapToGrid w:val="0"/>
                    <w:spacing w:line="320" w:lineRule="exact"/>
                    <w:rPr>
                      <w:rFonts w:cs="宋体"/>
                      <w:color w:val="000000"/>
                    </w:rPr>
                  </w:pPr>
                  <w:r>
                    <w:rPr>
                      <w:rFonts w:hint="eastAsia" w:cs="宋体"/>
                      <w:color w:val="000000"/>
                    </w:rPr>
                    <w:t>4、主要原辅材料消耗记录（一年内</w:t>
                  </w:r>
                  <w:r>
                    <w:rPr>
                      <w:rFonts w:hint="eastAsia"/>
                      <w:color w:val="000000"/>
                      <w:szCs w:val="21"/>
                    </w:rPr>
                    <w:t>涂料、胶黏剂、清洗剂用量记录</w:t>
                  </w:r>
                  <w:r>
                    <w:rPr>
                      <w:rFonts w:hint="eastAsia" w:cs="宋体"/>
                      <w:color w:val="000000"/>
                    </w:rPr>
                    <w:t>）；</w:t>
                  </w:r>
                </w:p>
                <w:p>
                  <w:pPr>
                    <w:adjustRightInd w:val="0"/>
                    <w:snapToGrid w:val="0"/>
                    <w:spacing w:line="320" w:lineRule="exact"/>
                    <w:rPr>
                      <w:color w:val="000000"/>
                      <w:szCs w:val="21"/>
                    </w:rPr>
                  </w:pPr>
                  <w:r>
                    <w:rPr>
                      <w:rFonts w:hint="eastAsia" w:cs="宋体"/>
                      <w:color w:val="000000"/>
                    </w:rPr>
                    <w:t>5、燃料（天然气）消耗记录</w:t>
                  </w:r>
                </w:p>
              </w:tc>
              <w:tc>
                <w:tcPr>
                  <w:tcW w:w="1229" w:type="pct"/>
                  <w:vAlign w:val="center"/>
                </w:tcPr>
                <w:p>
                  <w:pPr>
                    <w:adjustRightInd w:val="0"/>
                    <w:snapToGrid w:val="0"/>
                    <w:spacing w:line="320" w:lineRule="exact"/>
                    <w:jc w:val="left"/>
                    <w:rPr>
                      <w:color w:val="000000"/>
                      <w:szCs w:val="21"/>
                    </w:rPr>
                  </w:pPr>
                  <w:r>
                    <w:rPr>
                      <w:rFonts w:hint="eastAsia"/>
                      <w:color w:val="000000"/>
                      <w:szCs w:val="21"/>
                    </w:rPr>
                    <w:t>项目生产不使用天然气，按要求整理台账记录：1、生产设施运行管理信息；2、废气污染治理设施运行管理信息；3、监测记录信息；4、主要原辅材料消耗记录</w:t>
                  </w:r>
                </w:p>
              </w:tc>
              <w:tc>
                <w:tcPr>
                  <w:tcW w:w="586" w:type="pct"/>
                  <w:vAlign w:val="center"/>
                </w:tcPr>
                <w:p>
                  <w:pPr>
                    <w:adjustRightInd w:val="0"/>
                    <w:snapToGrid w:val="0"/>
                    <w:spacing w:line="320" w:lineRule="exact"/>
                    <w:jc w:val="center"/>
                    <w:rPr>
                      <w:color w:val="000000"/>
                      <w:szCs w:val="21"/>
                    </w:rPr>
                  </w:pPr>
                  <w:r>
                    <w:rPr>
                      <w:rFonts w:hint="eastAsia"/>
                      <w:color w:val="000000"/>
                      <w:kern w:val="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vMerge w:val="continue"/>
                  <w:vAlign w:val="center"/>
                </w:tcPr>
                <w:p>
                  <w:pPr>
                    <w:adjustRightInd w:val="0"/>
                    <w:snapToGrid w:val="0"/>
                    <w:spacing w:line="320" w:lineRule="exact"/>
                    <w:jc w:val="center"/>
                    <w:rPr>
                      <w:color w:val="000000"/>
                      <w:szCs w:val="21"/>
                    </w:rPr>
                  </w:pPr>
                </w:p>
              </w:tc>
              <w:tc>
                <w:tcPr>
                  <w:tcW w:w="2764" w:type="pct"/>
                </w:tcPr>
                <w:p>
                  <w:pPr>
                    <w:adjustRightInd w:val="0"/>
                    <w:snapToGrid w:val="0"/>
                    <w:spacing w:line="320" w:lineRule="exact"/>
                    <w:rPr>
                      <w:color w:val="000000"/>
                      <w:spacing w:val="-4"/>
                      <w:szCs w:val="21"/>
                    </w:rPr>
                  </w:pPr>
                  <w:r>
                    <w:rPr>
                      <w:color w:val="000000"/>
                      <w:spacing w:val="-4"/>
                      <w:szCs w:val="21"/>
                    </w:rPr>
                    <w:t>人员配置∶设置环保部门，配备专职环保人员，并具备相应的环境管理能力</w:t>
                  </w:r>
                </w:p>
              </w:tc>
              <w:tc>
                <w:tcPr>
                  <w:tcW w:w="1229" w:type="pct"/>
                  <w:vAlign w:val="center"/>
                </w:tcPr>
                <w:p>
                  <w:pPr>
                    <w:adjustRightInd w:val="0"/>
                    <w:snapToGrid w:val="0"/>
                    <w:spacing w:line="320" w:lineRule="exact"/>
                    <w:jc w:val="left"/>
                    <w:rPr>
                      <w:color w:val="000000"/>
                      <w:szCs w:val="21"/>
                    </w:rPr>
                  </w:pPr>
                  <w:r>
                    <w:rPr>
                      <w:rFonts w:hint="eastAsia"/>
                      <w:color w:val="000000"/>
                      <w:szCs w:val="21"/>
                    </w:rPr>
                    <w:t>本项目建成后将设置环境部门和环保工作领导小组</w:t>
                  </w:r>
                </w:p>
              </w:tc>
              <w:tc>
                <w:tcPr>
                  <w:tcW w:w="586" w:type="pct"/>
                  <w:vAlign w:val="center"/>
                </w:tcPr>
                <w:p>
                  <w:pPr>
                    <w:adjustRightInd w:val="0"/>
                    <w:snapToGrid w:val="0"/>
                    <w:spacing w:line="320" w:lineRule="exact"/>
                    <w:jc w:val="center"/>
                    <w:rPr>
                      <w:color w:val="000000"/>
                      <w:szCs w:val="21"/>
                    </w:rPr>
                  </w:pPr>
                  <w:r>
                    <w:rPr>
                      <w:rFonts w:hint="eastAsia"/>
                      <w:color w:val="000000"/>
                      <w:kern w:val="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vAlign w:val="center"/>
                </w:tcPr>
                <w:p>
                  <w:pPr>
                    <w:adjustRightInd w:val="0"/>
                    <w:snapToGrid w:val="0"/>
                    <w:spacing w:line="320" w:lineRule="exact"/>
                    <w:jc w:val="center"/>
                    <w:rPr>
                      <w:color w:val="000000"/>
                      <w:szCs w:val="21"/>
                    </w:rPr>
                  </w:pPr>
                  <w:r>
                    <w:rPr>
                      <w:color w:val="000000"/>
                      <w:szCs w:val="21"/>
                    </w:rPr>
                    <w:t>运输方式</w:t>
                  </w:r>
                </w:p>
              </w:tc>
              <w:tc>
                <w:tcPr>
                  <w:tcW w:w="2764" w:type="pct"/>
                  <w:vAlign w:val="center"/>
                </w:tcPr>
                <w:p>
                  <w:pPr>
                    <w:adjustRightInd w:val="0"/>
                    <w:snapToGrid w:val="0"/>
                    <w:spacing w:line="320" w:lineRule="exact"/>
                    <w:rPr>
                      <w:color w:val="000000"/>
                    </w:rPr>
                  </w:pPr>
                  <w:r>
                    <w:rPr>
                      <w:rFonts w:hint="eastAsia"/>
                      <w:color w:val="000000"/>
                    </w:rPr>
                    <w:t>1、物料公路运输使用达到国五及以上排放标准重型载货车辆（含燃气）或新能源车辆占比不低于 50%；</w:t>
                  </w:r>
                </w:p>
                <w:p>
                  <w:pPr>
                    <w:adjustRightInd w:val="0"/>
                    <w:snapToGrid w:val="0"/>
                    <w:spacing w:line="320" w:lineRule="exact"/>
                    <w:rPr>
                      <w:color w:val="000000"/>
                    </w:rPr>
                  </w:pPr>
                  <w:r>
                    <w:rPr>
                      <w:rFonts w:hint="eastAsia"/>
                      <w:color w:val="000000"/>
                    </w:rPr>
                    <w:t>2、厂内运输使用达到国五及以上排放标准车辆（含燃气）或新能源车辆比例不低于50%；</w:t>
                  </w:r>
                </w:p>
                <w:p>
                  <w:pPr>
                    <w:adjustRightInd w:val="0"/>
                    <w:snapToGrid w:val="0"/>
                    <w:spacing w:line="320" w:lineRule="exact"/>
                    <w:rPr>
                      <w:color w:val="000000"/>
                      <w:szCs w:val="21"/>
                    </w:rPr>
                  </w:pPr>
                  <w:r>
                    <w:rPr>
                      <w:rFonts w:hint="eastAsia"/>
                      <w:color w:val="000000"/>
                    </w:rPr>
                    <w:t>3、厂内非道路移动机械使用达到国三及以上排放标准或新能源机械比例不低于50%</w:t>
                  </w:r>
                </w:p>
              </w:tc>
              <w:tc>
                <w:tcPr>
                  <w:tcW w:w="1229" w:type="pct"/>
                  <w:vAlign w:val="center"/>
                </w:tcPr>
                <w:p>
                  <w:pPr>
                    <w:adjustRightInd w:val="0"/>
                    <w:snapToGrid w:val="0"/>
                    <w:spacing w:line="320" w:lineRule="exact"/>
                    <w:jc w:val="left"/>
                    <w:rPr>
                      <w:color w:val="000000"/>
                      <w:szCs w:val="21"/>
                    </w:rPr>
                  </w:pPr>
                  <w:r>
                    <w:rPr>
                      <w:color w:val="000000"/>
                      <w:szCs w:val="21"/>
                    </w:rPr>
                    <w:t>1、物料公路运输使用达到国五及以上排放标准重型载货车辆（含燃气）或新能源车辆；</w:t>
                  </w:r>
                </w:p>
                <w:p>
                  <w:pPr>
                    <w:adjustRightInd w:val="0"/>
                    <w:snapToGrid w:val="0"/>
                    <w:spacing w:line="320" w:lineRule="exact"/>
                    <w:jc w:val="left"/>
                    <w:rPr>
                      <w:color w:val="000000"/>
                      <w:szCs w:val="21"/>
                    </w:rPr>
                  </w:pPr>
                  <w:r>
                    <w:rPr>
                      <w:color w:val="000000"/>
                      <w:szCs w:val="21"/>
                    </w:rPr>
                    <w:t>2、厂内运输使用达到国五及以上排放标准车辆（含燃气）或新能源车辆；</w:t>
                  </w:r>
                </w:p>
                <w:p>
                  <w:pPr>
                    <w:adjustRightInd w:val="0"/>
                    <w:snapToGrid w:val="0"/>
                    <w:spacing w:line="320" w:lineRule="exact"/>
                    <w:jc w:val="left"/>
                    <w:rPr>
                      <w:color w:val="000000"/>
                      <w:szCs w:val="21"/>
                    </w:rPr>
                  </w:pPr>
                  <w:r>
                    <w:rPr>
                      <w:color w:val="000000"/>
                      <w:szCs w:val="21"/>
                    </w:rPr>
                    <w:t>3、厂内非道路移动机械使用达到国三及以上排放标准或新能源机械</w:t>
                  </w:r>
                  <w:r>
                    <w:rPr>
                      <w:rFonts w:hint="eastAsia"/>
                      <w:color w:val="000000"/>
                      <w:szCs w:val="21"/>
                    </w:rPr>
                    <w:t>。</w:t>
                  </w:r>
                </w:p>
              </w:tc>
              <w:tc>
                <w:tcPr>
                  <w:tcW w:w="586" w:type="pct"/>
                  <w:vAlign w:val="center"/>
                </w:tcPr>
                <w:p>
                  <w:pPr>
                    <w:adjustRightInd w:val="0"/>
                    <w:snapToGrid w:val="0"/>
                    <w:spacing w:line="320" w:lineRule="exact"/>
                    <w:jc w:val="center"/>
                    <w:rPr>
                      <w:color w:val="000000"/>
                      <w:spacing w:val="-6"/>
                      <w:szCs w:val="21"/>
                    </w:rPr>
                  </w:pPr>
                  <w:r>
                    <w:rPr>
                      <w:rFonts w:hint="eastAsia"/>
                      <w:color w:val="000000"/>
                      <w:kern w:val="0"/>
                      <w:szCs w:val="21"/>
                    </w:rPr>
                    <w:t>相符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30" w:type="dxa"/>
                </w:tblCellMar>
              </w:tblPrEx>
              <w:trPr>
                <w:trHeight w:val="23" w:hRule="atLeast"/>
                <w:jc w:val="center"/>
              </w:trPr>
              <w:tc>
                <w:tcPr>
                  <w:tcW w:w="419" w:type="pct"/>
                  <w:vAlign w:val="center"/>
                </w:tcPr>
                <w:p>
                  <w:pPr>
                    <w:adjustRightInd w:val="0"/>
                    <w:snapToGrid w:val="0"/>
                    <w:spacing w:line="320" w:lineRule="exact"/>
                    <w:jc w:val="center"/>
                    <w:rPr>
                      <w:color w:val="000000"/>
                      <w:szCs w:val="21"/>
                    </w:rPr>
                  </w:pPr>
                  <w:r>
                    <w:rPr>
                      <w:color w:val="000000"/>
                      <w:szCs w:val="21"/>
                    </w:rPr>
                    <w:t>运输监管</w:t>
                  </w:r>
                </w:p>
              </w:tc>
              <w:tc>
                <w:tcPr>
                  <w:tcW w:w="2764" w:type="pct"/>
                  <w:vAlign w:val="center"/>
                </w:tcPr>
                <w:p>
                  <w:pPr>
                    <w:adjustRightInd w:val="0"/>
                    <w:snapToGrid w:val="0"/>
                    <w:spacing w:line="320" w:lineRule="exact"/>
                    <w:rPr>
                      <w:color w:val="000000"/>
                      <w:szCs w:val="21"/>
                    </w:rPr>
                  </w:pPr>
                  <w:r>
                    <w:rPr>
                      <w:color w:val="000000"/>
                      <w:szCs w:val="21"/>
                    </w:rPr>
                    <w:t>参照《重污染天气重点行业移动源应急管理技术指南》建立门禁系统和电子台账</w:t>
                  </w:r>
                </w:p>
              </w:tc>
              <w:tc>
                <w:tcPr>
                  <w:tcW w:w="1229" w:type="pct"/>
                  <w:vAlign w:val="center"/>
                </w:tcPr>
                <w:p>
                  <w:pPr>
                    <w:adjustRightInd w:val="0"/>
                    <w:snapToGrid w:val="0"/>
                    <w:spacing w:line="320" w:lineRule="exact"/>
                    <w:jc w:val="left"/>
                    <w:rPr>
                      <w:color w:val="000000"/>
                      <w:szCs w:val="21"/>
                    </w:rPr>
                  </w:pPr>
                  <w:r>
                    <w:rPr>
                      <w:rFonts w:hint="eastAsia"/>
                      <w:color w:val="000000"/>
                      <w:szCs w:val="21"/>
                    </w:rPr>
                    <w:t>本项目日均进出货物不足150吨，且非我省重点行业年产值1000万及以上的企业，无需建立门禁视频监控系统。项目建成后建立</w:t>
                  </w:r>
                  <w:r>
                    <w:rPr>
                      <w:color w:val="000000"/>
                      <w:szCs w:val="21"/>
                    </w:rPr>
                    <w:t>电子台账</w:t>
                  </w:r>
                  <w:r>
                    <w:rPr>
                      <w:rFonts w:hint="eastAsia"/>
                      <w:color w:val="000000"/>
                      <w:szCs w:val="21"/>
                    </w:rPr>
                    <w:t>。</w:t>
                  </w:r>
                </w:p>
              </w:tc>
              <w:tc>
                <w:tcPr>
                  <w:tcW w:w="586" w:type="pct"/>
                  <w:vAlign w:val="center"/>
                </w:tcPr>
                <w:p>
                  <w:pPr>
                    <w:adjustRightInd w:val="0"/>
                    <w:snapToGrid w:val="0"/>
                    <w:spacing w:line="320" w:lineRule="exact"/>
                    <w:jc w:val="center"/>
                    <w:rPr>
                      <w:color w:val="000000"/>
                      <w:spacing w:val="-6"/>
                      <w:szCs w:val="21"/>
                    </w:rPr>
                  </w:pPr>
                  <w:r>
                    <w:rPr>
                      <w:rFonts w:hint="eastAsia"/>
                      <w:color w:val="000000"/>
                      <w:kern w:val="0"/>
                      <w:szCs w:val="21"/>
                    </w:rPr>
                    <w:t>相符</w:t>
                  </w:r>
                </w:p>
              </w:tc>
            </w:tr>
          </w:tbl>
          <w:p>
            <w:pPr>
              <w:widowControl/>
              <w:spacing w:line="460" w:lineRule="exact"/>
              <w:ind w:firstLine="480" w:firstLineChars="200"/>
              <w:jc w:val="left"/>
              <w:rPr>
                <w:color w:val="000000"/>
                <w:sz w:val="24"/>
              </w:rPr>
            </w:pPr>
            <w:r>
              <w:rPr>
                <w:bCs/>
                <w:color w:val="000000"/>
                <w:sz w:val="24"/>
              </w:rPr>
              <w:t>由上表可知</w:t>
            </w:r>
            <w:r>
              <w:rPr>
                <w:color w:val="000000"/>
                <w:kern w:val="0"/>
                <w:sz w:val="24"/>
              </w:rPr>
              <w:t>，项目的建设</w:t>
            </w:r>
            <w:r>
              <w:rPr>
                <w:color w:val="000000"/>
                <w:sz w:val="24"/>
              </w:rPr>
              <w:t>符合《重污染天气重点行业应急减排措施制定技术指南（2020年修订版）》（环办大气函〔2020〕340号）中“（</w:t>
            </w:r>
            <w:r>
              <w:rPr>
                <w:rFonts w:hint="eastAsia"/>
                <w:color w:val="000000"/>
                <w:sz w:val="24"/>
              </w:rPr>
              <w:t>三十六</w:t>
            </w:r>
            <w:r>
              <w:rPr>
                <w:color w:val="000000"/>
                <w:sz w:val="24"/>
              </w:rPr>
              <w:t>）</w:t>
            </w:r>
            <w:r>
              <w:rPr>
                <w:rFonts w:hint="eastAsia"/>
                <w:color w:val="000000"/>
                <w:sz w:val="24"/>
              </w:rPr>
              <w:t>家具制造</w:t>
            </w:r>
            <w:r>
              <w:rPr>
                <w:color w:val="000000"/>
                <w:sz w:val="24"/>
              </w:rPr>
              <w:t>，（四）绩效分级指标”中“</w:t>
            </w:r>
            <w:r>
              <w:rPr>
                <w:rFonts w:hint="eastAsia"/>
                <w:color w:val="000000"/>
                <w:sz w:val="24"/>
              </w:rPr>
              <w:t>家具制造</w:t>
            </w:r>
            <w:r>
              <w:rPr>
                <w:color w:val="000000"/>
                <w:sz w:val="24"/>
              </w:rPr>
              <w:t>绩效分级指标”的相关要求。</w:t>
            </w:r>
          </w:p>
          <w:p>
            <w:pPr>
              <w:pStyle w:val="4"/>
              <w:spacing w:before="0" w:after="0" w:line="460" w:lineRule="exact"/>
              <w:ind w:firstLine="482" w:firstLineChars="200"/>
              <w:rPr>
                <w:color w:val="000000"/>
                <w:sz w:val="24"/>
                <w:szCs w:val="24"/>
              </w:rPr>
            </w:pPr>
            <w:r>
              <w:rPr>
                <w:rFonts w:hint="eastAsia"/>
                <w:color w:val="000000"/>
                <w:sz w:val="24"/>
                <w:szCs w:val="24"/>
              </w:rPr>
              <w:t>7</w:t>
            </w:r>
            <w:r>
              <w:rPr>
                <w:color w:val="000000"/>
                <w:sz w:val="24"/>
                <w:szCs w:val="24"/>
              </w:rPr>
              <w:t>、与《偃师市2021年挥发性有机物治理专项方案</w:t>
            </w:r>
            <w:r>
              <w:rPr>
                <w:rFonts w:hint="eastAsia"/>
                <w:color w:val="000000"/>
                <w:sz w:val="24"/>
                <w:szCs w:val="24"/>
              </w:rPr>
              <w:t>》（偃环攻坚办〔2021〕5 号）</w:t>
            </w:r>
            <w:r>
              <w:rPr>
                <w:color w:val="000000"/>
                <w:sz w:val="24"/>
                <w:szCs w:val="24"/>
              </w:rPr>
              <w:t>相符性分析</w:t>
            </w:r>
          </w:p>
          <w:p>
            <w:pPr>
              <w:spacing w:line="460" w:lineRule="exact"/>
              <w:ind w:firstLine="480" w:firstLineChars="200"/>
            </w:pPr>
            <w:r>
              <w:rPr>
                <w:color w:val="000000"/>
                <w:sz w:val="24"/>
              </w:rPr>
              <w:t>本项目与之相符性分析详见下表。</w:t>
            </w:r>
          </w:p>
          <w:p>
            <w:pPr>
              <w:pStyle w:val="6"/>
              <w:numPr>
                <w:ilvl w:val="0"/>
                <w:numId w:val="0"/>
              </w:numPr>
              <w:ind w:left="420" w:leftChars="200"/>
              <w:rPr>
                <w:bCs/>
                <w:color w:val="000000"/>
              </w:rPr>
            </w:pPr>
            <w:r>
              <w:rPr>
                <w:rFonts w:hint="eastAsia"/>
                <w:bCs/>
                <w:color w:val="000000"/>
              </w:rPr>
              <w:t xml:space="preserve">表4       </w:t>
            </w:r>
            <w:r>
              <w:rPr>
                <w:bCs/>
                <w:color w:val="000000"/>
              </w:rPr>
              <w:t>项目与偃环攻坚办〔2021〕5 号相符性分析</w:t>
            </w:r>
          </w:p>
          <w:tbl>
            <w:tblPr>
              <w:tblStyle w:val="1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4303"/>
              <w:gridCol w:w="1970"/>
              <w:gridCol w:w="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3182" w:type="pct"/>
                  <w:gridSpan w:val="2"/>
                  <w:vAlign w:val="center"/>
                </w:tcPr>
                <w:p>
                  <w:pPr>
                    <w:spacing w:line="320" w:lineRule="exact"/>
                    <w:jc w:val="center"/>
                    <w:rPr>
                      <w:color w:val="000000"/>
                      <w:szCs w:val="21"/>
                    </w:rPr>
                  </w:pPr>
                  <w:r>
                    <w:rPr>
                      <w:color w:val="000000"/>
                      <w:szCs w:val="21"/>
                    </w:rPr>
                    <w:t>文件要求</w:t>
                  </w:r>
                </w:p>
              </w:tc>
              <w:tc>
                <w:tcPr>
                  <w:tcW w:w="1228" w:type="pct"/>
                  <w:vAlign w:val="center"/>
                </w:tcPr>
                <w:p>
                  <w:pPr>
                    <w:spacing w:line="320" w:lineRule="exact"/>
                    <w:jc w:val="center"/>
                    <w:rPr>
                      <w:color w:val="000000"/>
                      <w:szCs w:val="21"/>
                    </w:rPr>
                  </w:pPr>
                  <w:r>
                    <w:rPr>
                      <w:color w:val="000000"/>
                      <w:szCs w:val="21"/>
                    </w:rPr>
                    <w:t>项目情况</w:t>
                  </w:r>
                </w:p>
              </w:tc>
              <w:tc>
                <w:tcPr>
                  <w:tcW w:w="588" w:type="pct"/>
                  <w:vAlign w:val="center"/>
                </w:tcPr>
                <w:p>
                  <w:pPr>
                    <w:spacing w:line="320" w:lineRule="exact"/>
                    <w:jc w:val="center"/>
                    <w:rPr>
                      <w:color w:val="000000"/>
                      <w:szCs w:val="21"/>
                    </w:rPr>
                  </w:pPr>
                  <w:r>
                    <w:rPr>
                      <w:color w:val="000000"/>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507" w:type="pct"/>
                  <w:vMerge w:val="restart"/>
                  <w:vAlign w:val="center"/>
                </w:tcPr>
                <w:p>
                  <w:pPr>
                    <w:autoSpaceDE w:val="0"/>
                    <w:autoSpaceDN w:val="0"/>
                    <w:adjustRightInd w:val="0"/>
                    <w:snapToGrid w:val="0"/>
                    <w:spacing w:line="320" w:lineRule="exact"/>
                    <w:jc w:val="center"/>
                    <w:rPr>
                      <w:color w:val="000000"/>
                      <w:szCs w:val="21"/>
                    </w:rPr>
                  </w:pPr>
                  <w:r>
                    <w:rPr>
                      <w:rFonts w:hint="eastAsia" w:ascii="宋体" w:hAnsi="宋体" w:cs="宋体"/>
                      <w:color w:val="000000"/>
                    </w:rPr>
                    <w:t>（一）</w:t>
                  </w:r>
                  <w:r>
                    <w:rPr>
                      <w:rFonts w:hint="eastAsia"/>
                      <w:color w:val="000000"/>
                    </w:rPr>
                    <w:t>工业源 VOCs 污染治理</w:t>
                  </w:r>
                </w:p>
              </w:tc>
              <w:tc>
                <w:tcPr>
                  <w:tcW w:w="2674" w:type="pct"/>
                  <w:vAlign w:val="center"/>
                </w:tcPr>
                <w:p>
                  <w:pPr>
                    <w:autoSpaceDE w:val="0"/>
                    <w:autoSpaceDN w:val="0"/>
                    <w:adjustRightInd w:val="0"/>
                    <w:snapToGrid w:val="0"/>
                    <w:spacing w:line="320" w:lineRule="exact"/>
                    <w:rPr>
                      <w:color w:val="000000"/>
                      <w:szCs w:val="21"/>
                    </w:rPr>
                  </w:pPr>
                  <w:r>
                    <w:rPr>
                      <w:color w:val="000000"/>
                      <w:szCs w:val="21"/>
                    </w:rPr>
                    <w:t>1．扎实推进源头替代。全面落实生态环境部《重点行业挥 发性有机物综合治理方案》（环大气〔2019〕53 号），积极推 进源头替代工作。2021年3月底前，按照《“十三五”挥发性 有机物污染防治工作方案》要求，完成源头替代任务。相关行业替代比例要求：木质家具制造行业推广使用水性、紫外光固化涂料，替代比例达到60%以上；全面使用水性胶粘剂，替代比例达到100%。工程机械制造行业推广使用高固体分、粉末涂料，使用比例达到30%以上，探索试用水性涂料。钢结构制造行业大力推广使用高固体分涂料，使用比例达到50%以上，探索试用水性涂料。</w:t>
                  </w:r>
                </w:p>
              </w:tc>
              <w:tc>
                <w:tcPr>
                  <w:tcW w:w="1228" w:type="pct"/>
                  <w:vAlign w:val="center"/>
                </w:tcPr>
                <w:p>
                  <w:pPr>
                    <w:pStyle w:val="27"/>
                    <w:spacing w:line="320" w:lineRule="exact"/>
                    <w:jc w:val="left"/>
                    <w:rPr>
                      <w:color w:val="000000"/>
                    </w:rPr>
                  </w:pPr>
                  <w:r>
                    <w:rPr>
                      <w:rFonts w:hint="eastAsia"/>
                      <w:color w:val="000000"/>
                    </w:rPr>
                    <w:t>本</w:t>
                  </w:r>
                  <w:r>
                    <w:rPr>
                      <w:color w:val="000000"/>
                    </w:rPr>
                    <w:t>项目喷涂工序采用塑粉，</w:t>
                  </w:r>
                  <w:r>
                    <w:rPr>
                      <w:rFonts w:hint="eastAsia"/>
                      <w:color w:val="000000"/>
                    </w:rPr>
                    <w:t>为固态低</w:t>
                  </w:r>
                  <w:r>
                    <w:rPr>
                      <w:color w:val="000000"/>
                    </w:rPr>
                    <w:t>VOCs</w:t>
                  </w:r>
                  <w:r>
                    <w:rPr>
                      <w:rFonts w:hint="eastAsia"/>
                      <w:color w:val="000000"/>
                    </w:rPr>
                    <w:t>含量</w:t>
                  </w:r>
                  <w:r>
                    <w:rPr>
                      <w:color w:val="000000"/>
                    </w:rPr>
                    <w:t>涂料</w:t>
                  </w:r>
                  <w:r>
                    <w:rPr>
                      <w:rFonts w:hint="eastAsia"/>
                      <w:color w:val="000000"/>
                    </w:rPr>
                    <w:t>。</w:t>
                  </w:r>
                </w:p>
              </w:tc>
              <w:tc>
                <w:tcPr>
                  <w:tcW w:w="588" w:type="pct"/>
                  <w:vAlign w:val="center"/>
                </w:tcPr>
                <w:p>
                  <w:pPr>
                    <w:spacing w:line="320" w:lineRule="exact"/>
                    <w:jc w:val="center"/>
                    <w:rPr>
                      <w:color w:val="000000"/>
                      <w:szCs w:val="21"/>
                    </w:rPr>
                  </w:pPr>
                  <w:r>
                    <w:rPr>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507" w:type="pct"/>
                  <w:vMerge w:val="continue"/>
                  <w:vAlign w:val="center"/>
                </w:tcPr>
                <w:p>
                  <w:pPr>
                    <w:spacing w:line="320" w:lineRule="exact"/>
                    <w:jc w:val="center"/>
                    <w:rPr>
                      <w:color w:val="000000"/>
                    </w:rPr>
                  </w:pPr>
                </w:p>
              </w:tc>
              <w:tc>
                <w:tcPr>
                  <w:tcW w:w="2674" w:type="pct"/>
                  <w:vAlign w:val="center"/>
                </w:tcPr>
                <w:p>
                  <w:pPr>
                    <w:spacing w:line="320" w:lineRule="exact"/>
                    <w:rPr>
                      <w:color w:val="000000"/>
                      <w:szCs w:val="21"/>
                    </w:rPr>
                  </w:pPr>
                  <w:r>
                    <w:rPr>
                      <w:color w:val="000000"/>
                      <w:szCs w:val="21"/>
                    </w:rPr>
                    <w:t>3．全面提升VOCs无组织防治水平。2021年4月底前，工业涂装、包装印刷、塑料制品、橡胶制品、油墨涂料胶粘剂等行 业完成 VOCs 无组织排放提升治理。治理标准：建立原辅料存储间、调配间；VOCs 物料转移运输、干燥、清洗等生产过程应在 密闭空间或设备中进行，杜绝废气通过生产车间门窗、通风口等 部位外逸，整体车间成微负压状态；对 VOCs 产生工序实施二次密闭，并安装收集、净化处理设施，淘汰收集率低、风量不达标的集气罩；按照“一厂一策”要求，对污染防治设施去除率进行 核算，去除率无法稳定达标的，对污染防治设施实施升级改造。</w:t>
                  </w:r>
                </w:p>
              </w:tc>
              <w:tc>
                <w:tcPr>
                  <w:tcW w:w="1228" w:type="pct"/>
                  <w:vAlign w:val="center"/>
                </w:tcPr>
                <w:p>
                  <w:pPr>
                    <w:spacing w:line="320" w:lineRule="exact"/>
                    <w:rPr>
                      <w:color w:val="000000"/>
                      <w:szCs w:val="21"/>
                    </w:rPr>
                  </w:pPr>
                  <w:r>
                    <w:rPr>
                      <w:color w:val="000000"/>
                    </w:rPr>
                    <w:t>本项目固化工序</w:t>
                  </w:r>
                  <w:r>
                    <w:rPr>
                      <w:rFonts w:hint="eastAsia"/>
                      <w:color w:val="000000"/>
                    </w:rPr>
                    <w:t>在密闭固化室内进行</w:t>
                  </w:r>
                  <w:r>
                    <w:rPr>
                      <w:color w:val="000000"/>
                    </w:rPr>
                    <w:t>，并设置集气罩，</w:t>
                  </w:r>
                  <w:r>
                    <w:rPr>
                      <w:bCs/>
                      <w:color w:val="000000"/>
                      <w:szCs w:val="21"/>
                    </w:rPr>
                    <w:t>采用</w:t>
                  </w:r>
                  <w:r>
                    <w:rPr>
                      <w:rFonts w:hint="eastAsia"/>
                      <w:color w:val="000000"/>
                    </w:rPr>
                    <w:t>“UV光氧+活性炭吸附”</w:t>
                  </w:r>
                  <w:r>
                    <w:rPr>
                      <w:bCs/>
                      <w:color w:val="000000"/>
                      <w:szCs w:val="21"/>
                    </w:rPr>
                    <w:t>复合处理工艺，</w:t>
                  </w:r>
                  <w:r>
                    <w:rPr>
                      <w:rFonts w:hint="eastAsia"/>
                      <w:color w:val="000000"/>
                    </w:rPr>
                    <w:t>处理后通过排气筒排放。</w:t>
                  </w:r>
                </w:p>
              </w:tc>
              <w:tc>
                <w:tcPr>
                  <w:tcW w:w="588" w:type="pct"/>
                  <w:vAlign w:val="center"/>
                </w:tcPr>
                <w:p>
                  <w:pPr>
                    <w:spacing w:line="320" w:lineRule="exact"/>
                    <w:jc w:val="center"/>
                    <w:rPr>
                      <w:color w:val="000000"/>
                      <w:szCs w:val="21"/>
                    </w:rPr>
                  </w:pPr>
                  <w:r>
                    <w:rPr>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507" w:type="pct"/>
                  <w:vAlign w:val="center"/>
                </w:tcPr>
                <w:p>
                  <w:pPr>
                    <w:spacing w:line="320" w:lineRule="exact"/>
                    <w:jc w:val="center"/>
                    <w:rPr>
                      <w:color w:val="000000"/>
                    </w:rPr>
                  </w:pPr>
                  <w:r>
                    <w:rPr>
                      <w:rFonts w:hint="eastAsia" w:ascii="宋体" w:hAnsi="宋体" w:cs="宋体"/>
                      <w:color w:val="000000"/>
                    </w:rPr>
                    <w:t>（四）</w:t>
                  </w:r>
                  <w:r>
                    <w:rPr>
                      <w:rFonts w:hint="eastAsia"/>
                      <w:color w:val="000000"/>
                    </w:rPr>
                    <w:t>强化 VOCs 环境监管</w:t>
                  </w:r>
                </w:p>
              </w:tc>
              <w:tc>
                <w:tcPr>
                  <w:tcW w:w="2674" w:type="pct"/>
                  <w:vAlign w:val="center"/>
                </w:tcPr>
                <w:p>
                  <w:pPr>
                    <w:spacing w:line="320" w:lineRule="exact"/>
                    <w:rPr>
                      <w:color w:val="000000"/>
                      <w:szCs w:val="21"/>
                    </w:rPr>
                  </w:pPr>
                  <w:r>
                    <w:rPr>
                      <w:color w:val="000000"/>
                      <w:szCs w:val="21"/>
                    </w:rPr>
                    <w:t>1．严格建设项目环境准入。提高VOCs排放重点行业环保 准入门槛，严格控制新增污染物排放量。严格限制石化、化工、包装印刷、工业涂装等高VOCs排放建设项目，新建涉VOCs排放的工业企业要入园区；严格涉VOCs建设项目环境影响评价，实行区域内VOCs 排放等量或倍量削减替代，并将替代方案 落实到企业排污许可证中，纳入环境执法管理。新、改、扩建涉 VOCs项目，要从源头加强控制，使用低、无VOCs含量的原辅材料，加强废气收集，安装高效防治设施。城市建成区内原则上不再新上含喷涂生产线的工业项目（重大项目经市政府同意后实行“一事一议”）；城市建成区内不得新建VOCs年排放量在100千克以上的工业项目（集中喷涂中心项目除外）。城市建成区内新、改、扩建及现有服务业类涉VOCs项目，如汽车维修、 加油站等，应依法进行环境影响评价并严格按照环评要求落实污染防治措施。在饮用水水源地保护区及居民区、医院、学校、科研、行政办公、文物保护区等环境敏感区域建设涉VOCs项目，应当按照有关规定从严控制。</w:t>
                  </w:r>
                </w:p>
              </w:tc>
              <w:tc>
                <w:tcPr>
                  <w:tcW w:w="1228" w:type="pct"/>
                  <w:vAlign w:val="center"/>
                </w:tcPr>
                <w:p>
                  <w:pPr>
                    <w:spacing w:line="320" w:lineRule="exact"/>
                    <w:rPr>
                      <w:color w:val="000000"/>
                      <w:szCs w:val="21"/>
                    </w:rPr>
                  </w:pPr>
                  <w:r>
                    <w:rPr>
                      <w:color w:val="000000"/>
                      <w:szCs w:val="21"/>
                    </w:rPr>
                    <w:t>本项目位于偃师</w:t>
                  </w:r>
                  <w:r>
                    <w:rPr>
                      <w:rFonts w:hint="eastAsia"/>
                      <w:color w:val="000000"/>
                      <w:szCs w:val="21"/>
                      <w:lang w:val="en-US" w:eastAsia="zh-CN"/>
                    </w:rPr>
                    <w:t>区</w:t>
                  </w:r>
                  <w:r>
                    <w:rPr>
                      <w:color w:val="000000"/>
                      <w:szCs w:val="21"/>
                    </w:rPr>
                    <w:t>高龙镇，</w:t>
                  </w:r>
                  <w:r>
                    <w:rPr>
                      <w:rFonts w:hint="eastAsia"/>
                      <w:bCs/>
                      <w:color w:val="000000"/>
                    </w:rPr>
                    <w:t>位于高龙镇工业区，</w:t>
                  </w:r>
                  <w:r>
                    <w:rPr>
                      <w:color w:val="000000"/>
                      <w:szCs w:val="21"/>
                    </w:rPr>
                    <w:t>属于城市规划区外</w:t>
                  </w:r>
                  <w:r>
                    <w:rPr>
                      <w:rFonts w:hint="eastAsia"/>
                      <w:color w:val="000000"/>
                      <w:szCs w:val="21"/>
                    </w:rPr>
                    <w:t>。</w:t>
                  </w:r>
                  <w:r>
                    <w:rPr>
                      <w:color w:val="000000"/>
                      <w:szCs w:val="21"/>
                    </w:rPr>
                    <w:t>本项目属于新建项目，</w:t>
                  </w:r>
                  <w:r>
                    <w:rPr>
                      <w:rFonts w:hint="eastAsia"/>
                      <w:color w:val="000000"/>
                      <w:szCs w:val="21"/>
                    </w:rPr>
                    <w:t>不属于高</w:t>
                  </w:r>
                  <w:r>
                    <w:rPr>
                      <w:color w:val="000000"/>
                      <w:szCs w:val="21"/>
                    </w:rPr>
                    <w:t>VOCs排放建设项目</w:t>
                  </w:r>
                  <w:r>
                    <w:rPr>
                      <w:rFonts w:hint="eastAsia"/>
                      <w:color w:val="000000"/>
                      <w:szCs w:val="21"/>
                    </w:rPr>
                    <w:t>，</w:t>
                  </w:r>
                  <w:r>
                    <w:rPr>
                      <w:color w:val="000000"/>
                      <w:szCs w:val="21"/>
                    </w:rPr>
                    <w:t>VOCs排放量为</w:t>
                  </w:r>
                  <w:r>
                    <w:rPr>
                      <w:rFonts w:hint="eastAsia"/>
                      <w:color w:val="000000"/>
                      <w:szCs w:val="21"/>
                    </w:rPr>
                    <w:t>0.00</w:t>
                  </w:r>
                  <w:r>
                    <w:rPr>
                      <w:rFonts w:hint="eastAsia"/>
                      <w:color w:val="000000"/>
                      <w:szCs w:val="21"/>
                      <w:lang w:val="en-US" w:eastAsia="zh-CN"/>
                    </w:rPr>
                    <w:t>95</w:t>
                  </w:r>
                  <w:r>
                    <w:rPr>
                      <w:color w:val="000000"/>
                      <w:szCs w:val="21"/>
                    </w:rPr>
                    <w:t>t/a，小于100kg</w:t>
                  </w:r>
                  <w:r>
                    <w:rPr>
                      <w:rFonts w:hint="eastAsia"/>
                      <w:color w:val="000000"/>
                      <w:szCs w:val="21"/>
                    </w:rPr>
                    <w:t>，</w:t>
                  </w:r>
                  <w:r>
                    <w:rPr>
                      <w:color w:val="000000"/>
                      <w:szCs w:val="21"/>
                    </w:rPr>
                    <w:t>实行等量削减替代</w:t>
                  </w:r>
                  <w:r>
                    <w:rPr>
                      <w:rFonts w:hint="eastAsia"/>
                      <w:color w:val="000000"/>
                      <w:szCs w:val="21"/>
                    </w:rPr>
                    <w:t>。</w:t>
                  </w:r>
                </w:p>
              </w:tc>
              <w:tc>
                <w:tcPr>
                  <w:tcW w:w="588" w:type="pct"/>
                  <w:vAlign w:val="center"/>
                </w:tcPr>
                <w:p>
                  <w:pPr>
                    <w:spacing w:line="320" w:lineRule="exact"/>
                    <w:jc w:val="center"/>
                    <w:rPr>
                      <w:color w:val="000000"/>
                      <w:szCs w:val="21"/>
                    </w:rPr>
                  </w:pPr>
                  <w:r>
                    <w:rPr>
                      <w:color w:val="000000"/>
                      <w:szCs w:val="21"/>
                    </w:rPr>
                    <w:t>相符</w:t>
                  </w:r>
                </w:p>
              </w:tc>
            </w:tr>
          </w:tbl>
          <w:p>
            <w:pPr>
              <w:autoSpaceDE w:val="0"/>
              <w:autoSpaceDN w:val="0"/>
              <w:adjustRightInd w:val="0"/>
              <w:snapToGrid w:val="0"/>
              <w:spacing w:line="460" w:lineRule="exact"/>
              <w:ind w:firstLine="480" w:firstLineChars="200"/>
              <w:rPr>
                <w:color w:val="000000"/>
                <w:kern w:val="0"/>
                <w:sz w:val="24"/>
              </w:rPr>
            </w:pPr>
            <w:r>
              <w:rPr>
                <w:bCs/>
                <w:color w:val="000000"/>
                <w:sz w:val="24"/>
              </w:rPr>
              <w:t>由上表可知</w:t>
            </w:r>
            <w:r>
              <w:rPr>
                <w:color w:val="000000"/>
                <w:kern w:val="0"/>
                <w:sz w:val="24"/>
              </w:rPr>
              <w:t>，项目的建设符合《偃师市2021年挥发性有机物治理专项方案》（偃环攻坚办〔2021〕5 号）的有关规定。</w:t>
            </w:r>
          </w:p>
          <w:p>
            <w:pPr>
              <w:spacing w:line="460" w:lineRule="exact"/>
              <w:ind w:firstLine="482" w:firstLineChars="200"/>
              <w:rPr>
                <w:b/>
                <w:color w:val="000000"/>
                <w:sz w:val="24"/>
              </w:rPr>
            </w:pPr>
            <w:r>
              <w:rPr>
                <w:rFonts w:hint="eastAsia"/>
                <w:b/>
                <w:color w:val="000000"/>
                <w:sz w:val="24"/>
              </w:rPr>
              <w:t>8</w:t>
            </w:r>
            <w:r>
              <w:rPr>
                <w:b/>
                <w:color w:val="000000"/>
                <w:sz w:val="24"/>
              </w:rPr>
              <w:t>、与《工业炉窑大气污染综合治理方案》（环大气〔2019〕56号）相符性分析</w:t>
            </w:r>
          </w:p>
          <w:p>
            <w:pPr>
              <w:spacing w:line="460" w:lineRule="exact"/>
              <w:ind w:firstLine="480" w:firstLineChars="200"/>
              <w:rPr>
                <w:bCs/>
                <w:color w:val="000000"/>
                <w:sz w:val="24"/>
                <w:szCs w:val="20"/>
              </w:rPr>
            </w:pPr>
            <w:r>
              <w:rPr>
                <w:color w:val="000000"/>
                <w:sz w:val="24"/>
              </w:rPr>
              <w:t>本项目与之相符性分析详见下表。</w:t>
            </w:r>
          </w:p>
          <w:p>
            <w:pPr>
              <w:pStyle w:val="6"/>
              <w:numPr>
                <w:ilvl w:val="0"/>
                <w:numId w:val="0"/>
              </w:numPr>
              <w:ind w:left="420" w:leftChars="200"/>
              <w:rPr>
                <w:color w:val="000000"/>
              </w:rPr>
            </w:pPr>
            <w:r>
              <w:rPr>
                <w:rFonts w:hint="eastAsia"/>
                <w:color w:val="000000"/>
              </w:rPr>
              <w:t xml:space="preserve">表5     </w:t>
            </w:r>
            <w:r>
              <w:rPr>
                <w:color w:val="000000"/>
              </w:rPr>
              <w:t xml:space="preserve">   项目与环大气〔2019〕56号相符性分析</w:t>
            </w:r>
            <w:r>
              <w:rPr>
                <w:rFonts w:hint="eastAsia"/>
                <w:color w:val="000000"/>
              </w:rPr>
              <w:t>一览表</w:t>
            </w:r>
          </w:p>
          <w:tbl>
            <w:tblPr>
              <w:tblStyle w:val="19"/>
              <w:tblW w:w="497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46"/>
              <w:gridCol w:w="4196"/>
              <w:gridCol w:w="2085"/>
              <w:gridCol w:w="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3141" w:type="pct"/>
                  <w:gridSpan w:val="2"/>
                  <w:vAlign w:val="center"/>
                </w:tcPr>
                <w:p>
                  <w:pPr>
                    <w:spacing w:line="320" w:lineRule="exact"/>
                    <w:jc w:val="center"/>
                    <w:rPr>
                      <w:bCs/>
                      <w:color w:val="000000"/>
                      <w:szCs w:val="21"/>
                    </w:rPr>
                  </w:pPr>
                  <w:r>
                    <w:rPr>
                      <w:bCs/>
                      <w:color w:val="000000"/>
                      <w:szCs w:val="21"/>
                    </w:rPr>
                    <w:t>文件要求</w:t>
                  </w:r>
                </w:p>
              </w:tc>
              <w:tc>
                <w:tcPr>
                  <w:tcW w:w="1299" w:type="pct"/>
                  <w:vAlign w:val="center"/>
                </w:tcPr>
                <w:p>
                  <w:pPr>
                    <w:spacing w:line="320" w:lineRule="exact"/>
                    <w:jc w:val="center"/>
                    <w:rPr>
                      <w:bCs/>
                      <w:color w:val="000000"/>
                      <w:szCs w:val="21"/>
                    </w:rPr>
                  </w:pPr>
                  <w:r>
                    <w:rPr>
                      <w:color w:val="000000"/>
                      <w:szCs w:val="21"/>
                    </w:rPr>
                    <w:t>项目情况</w:t>
                  </w:r>
                </w:p>
              </w:tc>
              <w:tc>
                <w:tcPr>
                  <w:tcW w:w="559" w:type="pct"/>
                  <w:vAlign w:val="center"/>
                </w:tcPr>
                <w:p>
                  <w:pPr>
                    <w:spacing w:line="320" w:lineRule="exact"/>
                    <w:jc w:val="center"/>
                    <w:rPr>
                      <w:bCs/>
                      <w:color w:val="000000"/>
                      <w:szCs w:val="21"/>
                    </w:rPr>
                  </w:pPr>
                  <w:r>
                    <w:rPr>
                      <w:bCs/>
                      <w:color w:val="000000"/>
                      <w:szCs w:val="21"/>
                    </w:rPr>
                    <w:t>相符性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jc w:val="center"/>
              </w:trPr>
              <w:tc>
                <w:tcPr>
                  <w:tcW w:w="527" w:type="pct"/>
                  <w:vAlign w:val="center"/>
                </w:tcPr>
                <w:p>
                  <w:pPr>
                    <w:spacing w:line="320" w:lineRule="exact"/>
                    <w:jc w:val="center"/>
                    <w:rPr>
                      <w:bCs/>
                      <w:color w:val="000000"/>
                      <w:szCs w:val="21"/>
                    </w:rPr>
                  </w:pPr>
                  <w:r>
                    <w:rPr>
                      <w:bCs/>
                      <w:color w:val="000000"/>
                      <w:szCs w:val="21"/>
                    </w:rPr>
                    <w:t>（一）加大产业结构调整力度</w:t>
                  </w:r>
                </w:p>
              </w:tc>
              <w:tc>
                <w:tcPr>
                  <w:tcW w:w="2614" w:type="pct"/>
                  <w:vAlign w:val="center"/>
                </w:tcPr>
                <w:p>
                  <w:pPr>
                    <w:spacing w:line="320" w:lineRule="exact"/>
                    <w:rPr>
                      <w:bCs/>
                      <w:color w:val="000000"/>
                      <w:szCs w:val="21"/>
                    </w:rPr>
                  </w:pPr>
                  <w:r>
                    <w:rPr>
                      <w:bCs/>
                      <w:color w:val="000000"/>
                      <w:szCs w:val="21"/>
                    </w:rPr>
                    <w:t>严格建设项目环境准入：新建涉工业炉窑的建设项目，原则上要入园区，配套建设高效环保治理设施。重点区域严格控制涉工业炉窑建设项目，严禁新增钢铁、焦化、电解铝、铸造、水泥和平板玻璃等产能。</w:t>
                  </w:r>
                </w:p>
              </w:tc>
              <w:tc>
                <w:tcPr>
                  <w:tcW w:w="1299" w:type="pct"/>
                  <w:vAlign w:val="center"/>
                </w:tcPr>
                <w:p>
                  <w:pPr>
                    <w:spacing w:line="320" w:lineRule="exact"/>
                    <w:rPr>
                      <w:bCs/>
                      <w:color w:val="000000"/>
                      <w:szCs w:val="21"/>
                    </w:rPr>
                  </w:pPr>
                  <w:r>
                    <w:rPr>
                      <w:color w:val="000000"/>
                      <w:szCs w:val="21"/>
                    </w:rPr>
                    <w:t>本项目位于偃师</w:t>
                  </w:r>
                  <w:r>
                    <w:rPr>
                      <w:rFonts w:hint="eastAsia"/>
                      <w:color w:val="000000"/>
                      <w:szCs w:val="21"/>
                      <w:lang w:val="en-US" w:eastAsia="zh-CN"/>
                    </w:rPr>
                    <w:t>区</w:t>
                  </w:r>
                  <w:r>
                    <w:rPr>
                      <w:color w:val="000000"/>
                      <w:szCs w:val="21"/>
                    </w:rPr>
                    <w:t>高龙镇</w:t>
                  </w:r>
                  <w:r>
                    <w:rPr>
                      <w:rFonts w:hint="eastAsia"/>
                      <w:color w:val="000000"/>
                      <w:szCs w:val="21"/>
                    </w:rPr>
                    <w:t>大屯村，</w:t>
                  </w:r>
                  <w:r>
                    <w:rPr>
                      <w:rFonts w:hint="eastAsia"/>
                      <w:b w:val="0"/>
                      <w:bCs/>
                      <w:color w:val="000000"/>
                      <w:u w:val="none"/>
                    </w:rPr>
                    <w:t>位于高龙镇工业</w:t>
                  </w:r>
                  <w:r>
                    <w:rPr>
                      <w:rFonts w:hint="eastAsia"/>
                      <w:b w:val="0"/>
                      <w:bCs/>
                      <w:color w:val="000000"/>
                      <w:u w:val="none"/>
                      <w:lang w:val="en-US" w:eastAsia="zh-CN"/>
                    </w:rPr>
                    <w:t>园</w:t>
                  </w:r>
                  <w:r>
                    <w:rPr>
                      <w:rFonts w:hint="eastAsia"/>
                      <w:b w:val="0"/>
                      <w:bCs/>
                      <w:color w:val="000000"/>
                      <w:u w:val="none"/>
                    </w:rPr>
                    <w:t>区</w:t>
                  </w:r>
                  <w:r>
                    <w:rPr>
                      <w:rFonts w:hint="eastAsia"/>
                      <w:b w:val="0"/>
                      <w:bCs/>
                      <w:color w:val="000000"/>
                      <w:u w:val="none"/>
                      <w:lang w:val="en-US" w:eastAsia="zh-CN"/>
                    </w:rPr>
                    <w:t>内</w:t>
                  </w:r>
                  <w:r>
                    <w:rPr>
                      <w:rFonts w:hint="eastAsia"/>
                      <w:b w:val="0"/>
                      <w:bCs/>
                      <w:color w:val="000000"/>
                      <w:u w:val="none"/>
                    </w:rPr>
                    <w:t>，</w:t>
                  </w:r>
                  <w:r>
                    <w:rPr>
                      <w:rFonts w:hint="eastAsia" w:hAnsi="宋体"/>
                      <w:b w:val="0"/>
                      <w:bCs/>
                      <w:szCs w:val="21"/>
                      <w:u w:val="none"/>
                    </w:rPr>
                    <w:t>偃师市高龙镇人民政府同意该项目入驻并进行建设</w:t>
                  </w:r>
                  <w:r>
                    <w:rPr>
                      <w:rFonts w:hint="eastAsia" w:hAnsi="宋体"/>
                      <w:b w:val="0"/>
                      <w:bCs/>
                      <w:szCs w:val="21"/>
                      <w:u w:val="none"/>
                      <w:lang w:eastAsia="zh-CN"/>
                    </w:rPr>
                    <w:t>，</w:t>
                  </w:r>
                  <w:r>
                    <w:rPr>
                      <w:rFonts w:hint="eastAsia"/>
                      <w:szCs w:val="21"/>
                    </w:rPr>
                    <w:t>本项目</w:t>
                  </w:r>
                  <w:r>
                    <w:rPr>
                      <w:color w:val="000000"/>
                    </w:rPr>
                    <w:t>固化工序</w:t>
                  </w:r>
                  <w:r>
                    <w:rPr>
                      <w:rFonts w:hint="eastAsia"/>
                      <w:color w:val="000000"/>
                    </w:rPr>
                    <w:t>在固化室内进行</w:t>
                  </w:r>
                  <w:r>
                    <w:rPr>
                      <w:rFonts w:hint="eastAsia"/>
                      <w:szCs w:val="21"/>
                    </w:rPr>
                    <w:t>，进出口处设置集气罩，减少无组织排放，烘干固化有机废气经集气罩收集后再经</w:t>
                  </w:r>
                  <w:r>
                    <w:rPr>
                      <w:rFonts w:hint="eastAsia"/>
                      <w:color w:val="000000"/>
                    </w:rPr>
                    <w:t>“UV光氧+活性炭吸附</w:t>
                  </w:r>
                  <w:r>
                    <w:rPr>
                      <w:rFonts w:hint="eastAsia"/>
                      <w:kern w:val="0"/>
                      <w:szCs w:val="21"/>
                    </w:rPr>
                    <w:t>装置</w:t>
                  </w:r>
                  <w:r>
                    <w:rPr>
                      <w:rFonts w:hint="eastAsia"/>
                      <w:color w:val="000000"/>
                    </w:rPr>
                    <w:t>”</w:t>
                  </w:r>
                  <w:r>
                    <w:rPr>
                      <w:rFonts w:hint="eastAsia"/>
                      <w:szCs w:val="21"/>
                    </w:rPr>
                    <w:t>处理后</w:t>
                  </w:r>
                  <w:r>
                    <w:rPr>
                      <w:szCs w:val="21"/>
                    </w:rPr>
                    <w:t>15m</w:t>
                  </w:r>
                  <w:r>
                    <w:rPr>
                      <w:rFonts w:hint="eastAsia"/>
                      <w:szCs w:val="21"/>
                    </w:rPr>
                    <w:t>排气筒达标排放。</w:t>
                  </w:r>
                </w:p>
              </w:tc>
              <w:tc>
                <w:tcPr>
                  <w:tcW w:w="559" w:type="pct"/>
                  <w:vAlign w:val="center"/>
                </w:tcPr>
                <w:p>
                  <w:pPr>
                    <w:spacing w:line="320" w:lineRule="exact"/>
                    <w:jc w:val="center"/>
                    <w:rPr>
                      <w:bCs/>
                      <w:color w:val="000000"/>
                      <w:szCs w:val="21"/>
                    </w:rPr>
                  </w:pPr>
                  <w:r>
                    <w:rPr>
                      <w:bCs/>
                      <w:color w:val="000000"/>
                      <w:szCs w:val="21"/>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27" w:type="pct"/>
                  <w:vAlign w:val="center"/>
                </w:tcPr>
                <w:p>
                  <w:pPr>
                    <w:spacing w:line="320" w:lineRule="exact"/>
                    <w:jc w:val="center"/>
                    <w:rPr>
                      <w:bCs/>
                      <w:color w:val="000000"/>
                      <w:szCs w:val="21"/>
                    </w:rPr>
                  </w:pPr>
                  <w:r>
                    <w:rPr>
                      <w:rFonts w:hint="eastAsia"/>
                      <w:bCs/>
                      <w:color w:val="000000"/>
                      <w:szCs w:val="21"/>
                    </w:rPr>
                    <w:t>（二）加快燃料清洁低碳化替代</w:t>
                  </w:r>
                </w:p>
              </w:tc>
              <w:tc>
                <w:tcPr>
                  <w:tcW w:w="2614" w:type="pct"/>
                  <w:vAlign w:val="center"/>
                </w:tcPr>
                <w:p>
                  <w:pPr>
                    <w:spacing w:line="320" w:lineRule="exact"/>
                    <w:rPr>
                      <w:bCs/>
                      <w:color w:val="000000"/>
                      <w:szCs w:val="21"/>
                    </w:rPr>
                  </w:pPr>
                  <w:r>
                    <w:rPr>
                      <w:rFonts w:hint="eastAsia"/>
                      <w:bCs/>
                      <w:color w:val="000000"/>
                      <w:szCs w:val="21"/>
                    </w:rPr>
                    <w:t>对以煤、石油焦、渣油、重油等为燃料的工业炉窑，加快使用清洁低碳能源以及利用工厂余热、电厂热力等进行替代。重点区域禁止掺烧高硫石油焦（硫含量大于3%）。玻璃行业全面禁止掺烧高硫石油焦。</w:t>
                  </w:r>
                </w:p>
              </w:tc>
              <w:tc>
                <w:tcPr>
                  <w:tcW w:w="1299" w:type="pct"/>
                  <w:vAlign w:val="center"/>
                </w:tcPr>
                <w:p>
                  <w:pPr>
                    <w:spacing w:line="320" w:lineRule="exact"/>
                    <w:rPr>
                      <w:bCs/>
                      <w:color w:val="000000"/>
                    </w:rPr>
                  </w:pPr>
                  <w:r>
                    <w:rPr>
                      <w:rFonts w:hint="eastAsia"/>
                      <w:szCs w:val="21"/>
                    </w:rPr>
                    <w:t>本项目烘干采用清洁能源电能，不涉及煤、石油焦、渣油、重油等为燃料。</w:t>
                  </w:r>
                </w:p>
              </w:tc>
              <w:tc>
                <w:tcPr>
                  <w:tcW w:w="559" w:type="pct"/>
                  <w:vAlign w:val="center"/>
                </w:tcPr>
                <w:p>
                  <w:pPr>
                    <w:spacing w:line="320" w:lineRule="exact"/>
                    <w:jc w:val="center"/>
                    <w:rPr>
                      <w:bCs/>
                      <w:color w:val="000000"/>
                      <w:szCs w:val="21"/>
                    </w:rPr>
                  </w:pPr>
                  <w:r>
                    <w:rPr>
                      <w:bCs/>
                      <w:color w:val="000000"/>
                      <w:szCs w:val="21"/>
                    </w:rPr>
                    <w:t>相符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527" w:type="pct"/>
                  <w:vAlign w:val="center"/>
                </w:tcPr>
                <w:p>
                  <w:pPr>
                    <w:spacing w:line="320" w:lineRule="exact"/>
                    <w:jc w:val="center"/>
                    <w:rPr>
                      <w:bCs/>
                      <w:color w:val="000000"/>
                      <w:szCs w:val="21"/>
                    </w:rPr>
                  </w:pPr>
                  <w:r>
                    <w:rPr>
                      <w:rFonts w:hint="eastAsia"/>
                      <w:bCs/>
                      <w:color w:val="000000"/>
                      <w:szCs w:val="21"/>
                    </w:rPr>
                    <w:t>（三）实施污染深度治理</w:t>
                  </w:r>
                </w:p>
              </w:tc>
              <w:tc>
                <w:tcPr>
                  <w:tcW w:w="2614" w:type="pct"/>
                  <w:vAlign w:val="center"/>
                </w:tcPr>
                <w:p>
                  <w:pPr>
                    <w:spacing w:line="320" w:lineRule="exact"/>
                    <w:rPr>
                      <w:bCs/>
                      <w:color w:val="000000"/>
                      <w:szCs w:val="21"/>
                    </w:rPr>
                  </w:pPr>
                  <w:r>
                    <w:rPr>
                      <w:rFonts w:hint="eastAsia"/>
                      <w:bCs/>
                      <w:color w:val="000000"/>
                      <w:szCs w:val="21"/>
                    </w:rPr>
                    <w:t>全面加强无组织排放管理。严格控制工业炉窑生产工艺过程及相关物料储存、输送等无组织排放，在保障生产安全的前提下，采取密闭、封闭等有效措施，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1299" w:type="pct"/>
                  <w:vAlign w:val="center"/>
                </w:tcPr>
                <w:p>
                  <w:pPr>
                    <w:spacing w:line="320" w:lineRule="exact"/>
                    <w:rPr>
                      <w:bCs/>
                      <w:color w:val="000000"/>
                    </w:rPr>
                  </w:pPr>
                  <w:r>
                    <w:rPr>
                      <w:rFonts w:hint="eastAsia"/>
                      <w:szCs w:val="21"/>
                    </w:rPr>
                    <w:t>本项目固化工序设置在专门密闭区域内，并在固化室进、出口处设置集气罩，减少废气无组织排放；生产过程中产尘点上方均设置集气罩引入除尘器；粉状物料袋装密闭储存。</w:t>
                  </w:r>
                </w:p>
              </w:tc>
              <w:tc>
                <w:tcPr>
                  <w:tcW w:w="559" w:type="pct"/>
                  <w:vAlign w:val="center"/>
                </w:tcPr>
                <w:p>
                  <w:pPr>
                    <w:spacing w:line="320" w:lineRule="exact"/>
                    <w:jc w:val="center"/>
                    <w:rPr>
                      <w:bCs/>
                      <w:color w:val="000000"/>
                      <w:szCs w:val="21"/>
                    </w:rPr>
                  </w:pPr>
                  <w:r>
                    <w:rPr>
                      <w:rFonts w:hint="eastAsia"/>
                      <w:bCs/>
                      <w:color w:val="000000"/>
                      <w:szCs w:val="21"/>
                    </w:rPr>
                    <w:t>相符</w:t>
                  </w:r>
                </w:p>
              </w:tc>
            </w:tr>
          </w:tbl>
          <w:p>
            <w:pPr>
              <w:spacing w:line="460" w:lineRule="exact"/>
              <w:ind w:firstLine="480" w:firstLineChars="200"/>
              <w:rPr>
                <w:bCs/>
                <w:color w:val="000000"/>
                <w:sz w:val="24"/>
              </w:rPr>
            </w:pPr>
            <w:r>
              <w:rPr>
                <w:bCs/>
                <w:color w:val="000000"/>
                <w:sz w:val="24"/>
              </w:rPr>
              <w:t>由上表可知，项目的建设符合《工业炉窑大气污染综合治理方案》（环大气〔2019〕56号）的相关要求</w:t>
            </w:r>
            <w:r>
              <w:rPr>
                <w:rFonts w:hint="eastAsia"/>
                <w:bCs/>
                <w:color w:val="000000"/>
                <w:sz w:val="24"/>
              </w:rPr>
              <w:t>。</w:t>
            </w:r>
          </w:p>
          <w:p>
            <w:pPr>
              <w:autoSpaceDE w:val="0"/>
              <w:autoSpaceDN w:val="0"/>
              <w:adjustRightInd w:val="0"/>
              <w:snapToGrid w:val="0"/>
              <w:spacing w:line="460" w:lineRule="exact"/>
              <w:ind w:firstLine="482" w:firstLineChars="200"/>
              <w:rPr>
                <w:b/>
                <w:bCs/>
                <w:color w:val="000000"/>
                <w:kern w:val="0"/>
                <w:sz w:val="24"/>
              </w:rPr>
            </w:pPr>
            <w:r>
              <w:rPr>
                <w:rFonts w:hint="eastAsia"/>
                <w:b/>
                <w:bCs/>
                <w:color w:val="000000"/>
                <w:kern w:val="0"/>
                <w:sz w:val="24"/>
              </w:rPr>
              <w:t>9、项目与《洛阳市2020年工业污染治理专项方案》（洛环攻坚办〔2020〕14 号）相符性分析</w:t>
            </w:r>
          </w:p>
          <w:p>
            <w:pPr>
              <w:spacing w:line="460" w:lineRule="exact"/>
              <w:ind w:firstLine="480" w:firstLineChars="200"/>
              <w:rPr>
                <w:bCs/>
                <w:color w:val="000000"/>
                <w:sz w:val="24"/>
                <w:szCs w:val="20"/>
              </w:rPr>
            </w:pPr>
            <w:r>
              <w:rPr>
                <w:color w:val="000000"/>
                <w:sz w:val="24"/>
              </w:rPr>
              <w:t>本项目与之相符性分析详见下表。</w:t>
            </w:r>
          </w:p>
          <w:p>
            <w:pPr>
              <w:pStyle w:val="6"/>
              <w:numPr>
                <w:ilvl w:val="0"/>
                <w:numId w:val="0"/>
              </w:numPr>
              <w:ind w:left="420" w:leftChars="200"/>
            </w:pPr>
            <w:r>
              <w:rPr>
                <w:rFonts w:hint="eastAsia"/>
                <w:color w:val="000000"/>
              </w:rPr>
              <w:t xml:space="preserve">表6   </w:t>
            </w:r>
            <w:r>
              <w:rPr>
                <w:color w:val="000000"/>
              </w:rPr>
              <w:t xml:space="preserve"> 项目与</w:t>
            </w:r>
            <w:r>
              <w:rPr>
                <w:rFonts w:hint="eastAsia"/>
                <w:bCs/>
                <w:color w:val="000000"/>
              </w:rPr>
              <w:t>洛环攻坚办〔2020〕14 号</w:t>
            </w:r>
            <w:r>
              <w:rPr>
                <w:color w:val="000000"/>
              </w:rPr>
              <w:t>相符性分析</w:t>
            </w:r>
            <w:r>
              <w:rPr>
                <w:rFonts w:hint="eastAsia"/>
                <w:color w:val="000000"/>
              </w:rPr>
              <w:t>一览表</w:t>
            </w:r>
          </w:p>
          <w:tbl>
            <w:tblPr>
              <w:tblStyle w:val="1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4193"/>
              <w:gridCol w:w="2091"/>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3100" w:type="pct"/>
                  <w:gridSpan w:val="2"/>
                  <w:vAlign w:val="center"/>
                </w:tcPr>
                <w:p>
                  <w:pPr>
                    <w:spacing w:line="320" w:lineRule="exact"/>
                    <w:jc w:val="center"/>
                    <w:rPr>
                      <w:color w:val="000000"/>
                      <w:szCs w:val="21"/>
                    </w:rPr>
                  </w:pPr>
                  <w:r>
                    <w:rPr>
                      <w:color w:val="000000"/>
                      <w:szCs w:val="21"/>
                    </w:rPr>
                    <w:t>文件要求</w:t>
                  </w:r>
                </w:p>
              </w:tc>
              <w:tc>
                <w:tcPr>
                  <w:tcW w:w="1310" w:type="pct"/>
                  <w:vAlign w:val="center"/>
                </w:tcPr>
                <w:p>
                  <w:pPr>
                    <w:spacing w:line="320" w:lineRule="exact"/>
                    <w:jc w:val="center"/>
                    <w:rPr>
                      <w:color w:val="000000"/>
                      <w:szCs w:val="21"/>
                    </w:rPr>
                  </w:pPr>
                  <w:r>
                    <w:rPr>
                      <w:color w:val="000000"/>
                      <w:szCs w:val="21"/>
                    </w:rPr>
                    <w:t>项目情况</w:t>
                  </w:r>
                </w:p>
              </w:tc>
              <w:tc>
                <w:tcPr>
                  <w:tcW w:w="589" w:type="pct"/>
                  <w:vAlign w:val="center"/>
                </w:tcPr>
                <w:p>
                  <w:pPr>
                    <w:spacing w:line="320" w:lineRule="exact"/>
                    <w:jc w:val="center"/>
                    <w:rPr>
                      <w:color w:val="000000"/>
                      <w:szCs w:val="21"/>
                    </w:rPr>
                  </w:pPr>
                  <w:r>
                    <w:rPr>
                      <w:color w:val="000000"/>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485" w:type="pct"/>
                  <w:vAlign w:val="center"/>
                </w:tcPr>
                <w:p>
                  <w:pPr>
                    <w:spacing w:line="320" w:lineRule="exact"/>
                    <w:jc w:val="center"/>
                    <w:rPr>
                      <w:color w:val="000000"/>
                      <w:szCs w:val="21"/>
                    </w:rPr>
                  </w:pPr>
                  <w:r>
                    <w:rPr>
                      <w:bCs/>
                      <w:color w:val="000000"/>
                      <w:szCs w:val="21"/>
                    </w:rPr>
                    <w:t>（一）</w:t>
                  </w:r>
                  <w:r>
                    <w:rPr>
                      <w:rFonts w:hint="eastAsia"/>
                      <w:bCs/>
                      <w:color w:val="000000"/>
                      <w:szCs w:val="21"/>
                    </w:rPr>
                    <w:t>污染治理任务</w:t>
                  </w:r>
                </w:p>
              </w:tc>
              <w:tc>
                <w:tcPr>
                  <w:tcW w:w="2614" w:type="pct"/>
                  <w:vAlign w:val="center"/>
                </w:tcPr>
                <w:p>
                  <w:pPr>
                    <w:spacing w:line="320" w:lineRule="exact"/>
                    <w:rPr>
                      <w:color w:val="000000"/>
                      <w:szCs w:val="21"/>
                    </w:rPr>
                  </w:pPr>
                  <w:r>
                    <w:rPr>
                      <w:rFonts w:hint="eastAsia"/>
                      <w:bCs/>
                      <w:color w:val="000000"/>
                      <w:szCs w:val="21"/>
                    </w:rPr>
                    <w:t>工业焊接烟气无组织排放治理。全市机械加工、装备制造、钢构加工、钢制家具制造、锻造等凡排放工业焊接烟气的企业或工艺（不包括临时施工焊接烟气）淘汰移动式焊接烟气收集净化设施，进行工艺改造和整合，建设固定点位焊接烟气收集净化设施，配套建设袋式除尘器，颗粒物排放浓度不高于10毫克/立方米。</w:t>
                  </w:r>
                </w:p>
              </w:tc>
              <w:tc>
                <w:tcPr>
                  <w:tcW w:w="1310" w:type="pct"/>
                  <w:vAlign w:val="center"/>
                </w:tcPr>
                <w:p>
                  <w:pPr>
                    <w:spacing w:line="320" w:lineRule="exact"/>
                    <w:rPr>
                      <w:color w:val="000000"/>
                      <w:szCs w:val="21"/>
                    </w:rPr>
                  </w:pPr>
                  <w:r>
                    <w:rPr>
                      <w:rFonts w:hint="eastAsia"/>
                      <w:bCs/>
                      <w:color w:val="000000"/>
                      <w:szCs w:val="21"/>
                    </w:rPr>
                    <w:t>本项目为金属家具制造业，属于钢制家具制造企业，焊接工位在车间内二次密闭，工位上方设置集气，废气经收集引入袋式除尘器处理后</w:t>
                  </w:r>
                  <w:r>
                    <w:rPr>
                      <w:rFonts w:hint="eastAsia"/>
                      <w:color w:val="000000"/>
                      <w:kern w:val="0"/>
                      <w:szCs w:val="21"/>
                      <w:lang w:val="zh-CN"/>
                    </w:rPr>
                    <w:t>由1根15m高排气筒排放</w:t>
                  </w:r>
                  <w:r>
                    <w:rPr>
                      <w:rFonts w:hint="eastAsia"/>
                      <w:bCs/>
                      <w:color w:val="000000"/>
                      <w:szCs w:val="21"/>
                    </w:rPr>
                    <w:t>，</w:t>
                  </w:r>
                  <w:r>
                    <w:rPr>
                      <w:rFonts w:hint="eastAsia"/>
                      <w:color w:val="000000"/>
                      <w:kern w:val="0"/>
                      <w:szCs w:val="21"/>
                      <w:lang w:val="zh-CN"/>
                    </w:rPr>
                    <w:t>其</w:t>
                  </w:r>
                  <w:r>
                    <w:rPr>
                      <w:rFonts w:hint="eastAsia"/>
                      <w:bCs/>
                      <w:color w:val="000000"/>
                      <w:szCs w:val="21"/>
                    </w:rPr>
                    <w:t>颗粒物排放浓度小于</w:t>
                  </w:r>
                  <w:r>
                    <w:rPr>
                      <w:bCs/>
                      <w:color w:val="000000"/>
                      <w:szCs w:val="21"/>
                    </w:rPr>
                    <w:t>10mg/m</w:t>
                  </w:r>
                  <w:r>
                    <w:rPr>
                      <w:bCs/>
                      <w:color w:val="000000"/>
                      <w:szCs w:val="21"/>
                      <w:vertAlign w:val="superscript"/>
                    </w:rPr>
                    <w:t>3</w:t>
                  </w:r>
                  <w:r>
                    <w:rPr>
                      <w:rFonts w:hint="eastAsia"/>
                      <w:bCs/>
                      <w:color w:val="000000"/>
                      <w:szCs w:val="21"/>
                    </w:rPr>
                    <w:t>。</w:t>
                  </w:r>
                </w:p>
              </w:tc>
              <w:tc>
                <w:tcPr>
                  <w:tcW w:w="589" w:type="pct"/>
                  <w:vAlign w:val="center"/>
                </w:tcPr>
                <w:p>
                  <w:pPr>
                    <w:spacing w:line="320" w:lineRule="exact"/>
                    <w:jc w:val="center"/>
                    <w:rPr>
                      <w:color w:val="000000"/>
                      <w:szCs w:val="21"/>
                    </w:rPr>
                  </w:pPr>
                  <w:r>
                    <w:rPr>
                      <w:rFonts w:hint="eastAsia"/>
                      <w:bCs/>
                      <w:color w:val="000000"/>
                      <w:szCs w:val="21"/>
                    </w:rPr>
                    <w:t>相符</w:t>
                  </w:r>
                </w:p>
              </w:tc>
            </w:tr>
          </w:tbl>
          <w:p>
            <w:pPr>
              <w:autoSpaceDE w:val="0"/>
              <w:autoSpaceDN w:val="0"/>
              <w:adjustRightInd w:val="0"/>
              <w:snapToGrid w:val="0"/>
              <w:spacing w:line="460" w:lineRule="exact"/>
              <w:ind w:firstLine="480" w:firstLineChars="200"/>
              <w:rPr>
                <w:color w:val="000000"/>
                <w:kern w:val="0"/>
                <w:sz w:val="24"/>
              </w:rPr>
            </w:pPr>
            <w:r>
              <w:rPr>
                <w:bCs/>
                <w:color w:val="000000"/>
                <w:sz w:val="24"/>
              </w:rPr>
              <w:t>由上表可知</w:t>
            </w:r>
            <w:r>
              <w:rPr>
                <w:rFonts w:hint="eastAsia"/>
                <w:color w:val="000000"/>
                <w:kern w:val="0"/>
                <w:sz w:val="24"/>
              </w:rPr>
              <w:t>，项目的建设符合《洛阳市2020年工业污染治理专项方案》（洛环攻坚办〔2020〕14 号）文件要求。</w:t>
            </w:r>
          </w:p>
          <w:p>
            <w:pPr>
              <w:autoSpaceDE w:val="0"/>
              <w:autoSpaceDN w:val="0"/>
              <w:adjustRightInd w:val="0"/>
              <w:snapToGrid w:val="0"/>
              <w:spacing w:line="460" w:lineRule="exact"/>
              <w:ind w:firstLine="482" w:firstLineChars="200"/>
              <w:rPr>
                <w:b/>
                <w:bCs/>
                <w:color w:val="000000"/>
                <w:kern w:val="0"/>
                <w:sz w:val="24"/>
              </w:rPr>
            </w:pPr>
            <w:r>
              <w:rPr>
                <w:rFonts w:hint="eastAsia"/>
                <w:b/>
                <w:bCs/>
                <w:color w:val="000000"/>
                <w:kern w:val="0"/>
                <w:sz w:val="24"/>
              </w:rPr>
              <w:t>10、项目与《工业涂装工序挥发性有机物污染防治技术规范》（DB41/T 1946—2020）相符性分析</w:t>
            </w:r>
          </w:p>
          <w:p>
            <w:pPr>
              <w:spacing w:line="460" w:lineRule="exact"/>
              <w:ind w:firstLine="480" w:firstLineChars="200"/>
              <w:rPr>
                <w:color w:val="000000"/>
                <w:sz w:val="24"/>
                <w:szCs w:val="20"/>
              </w:rPr>
            </w:pPr>
            <w:r>
              <w:rPr>
                <w:color w:val="000000"/>
                <w:sz w:val="24"/>
              </w:rPr>
              <w:t>本项目与之相符性分析详见下表。</w:t>
            </w:r>
          </w:p>
          <w:p>
            <w:pPr>
              <w:pStyle w:val="6"/>
              <w:numPr>
                <w:ilvl w:val="0"/>
                <w:numId w:val="0"/>
              </w:numPr>
              <w:ind w:left="420" w:leftChars="200"/>
              <w:rPr>
                <w:bCs/>
              </w:rPr>
            </w:pPr>
            <w:r>
              <w:rPr>
                <w:rFonts w:hint="eastAsia"/>
                <w:bCs/>
                <w:color w:val="000000"/>
              </w:rPr>
              <w:t xml:space="preserve">表7   </w:t>
            </w:r>
            <w:r>
              <w:rPr>
                <w:bCs/>
                <w:color w:val="000000"/>
              </w:rPr>
              <w:t xml:space="preserve"> 项目与</w:t>
            </w:r>
            <w:r>
              <w:rPr>
                <w:rFonts w:hint="eastAsia"/>
                <w:bCs/>
                <w:color w:val="000000"/>
              </w:rPr>
              <w:t>《工业涂装工序挥发性有机物污染防治技术规范》</w:t>
            </w:r>
            <w:r>
              <w:rPr>
                <w:bCs/>
                <w:color w:val="000000"/>
              </w:rPr>
              <w:t>相符性分析</w:t>
            </w:r>
            <w:r>
              <w:rPr>
                <w:rFonts w:hint="eastAsia"/>
                <w:bCs/>
                <w:color w:val="000000"/>
              </w:rPr>
              <w:t>一览表</w:t>
            </w:r>
          </w:p>
          <w:tbl>
            <w:tblPr>
              <w:tblStyle w:val="1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0"/>
              <w:gridCol w:w="4528"/>
              <w:gridCol w:w="2112"/>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3101" w:type="pct"/>
                  <w:gridSpan w:val="2"/>
                  <w:vAlign w:val="center"/>
                </w:tcPr>
                <w:p>
                  <w:pPr>
                    <w:spacing w:line="320" w:lineRule="exact"/>
                    <w:jc w:val="center"/>
                    <w:rPr>
                      <w:color w:val="000000"/>
                      <w:szCs w:val="21"/>
                    </w:rPr>
                  </w:pPr>
                  <w:r>
                    <w:rPr>
                      <w:color w:val="000000"/>
                      <w:szCs w:val="21"/>
                    </w:rPr>
                    <w:t>文件要求</w:t>
                  </w:r>
                </w:p>
              </w:tc>
              <w:tc>
                <w:tcPr>
                  <w:tcW w:w="1310" w:type="pct"/>
                  <w:vAlign w:val="center"/>
                </w:tcPr>
                <w:p>
                  <w:pPr>
                    <w:spacing w:line="320" w:lineRule="exact"/>
                    <w:jc w:val="center"/>
                    <w:rPr>
                      <w:color w:val="000000"/>
                      <w:szCs w:val="21"/>
                    </w:rPr>
                  </w:pPr>
                  <w:r>
                    <w:rPr>
                      <w:color w:val="000000"/>
                      <w:szCs w:val="21"/>
                    </w:rPr>
                    <w:t>项目情况</w:t>
                  </w:r>
                </w:p>
              </w:tc>
              <w:tc>
                <w:tcPr>
                  <w:tcW w:w="588" w:type="pct"/>
                  <w:vAlign w:val="center"/>
                </w:tcPr>
                <w:p>
                  <w:pPr>
                    <w:spacing w:line="320" w:lineRule="exact"/>
                    <w:jc w:val="center"/>
                    <w:rPr>
                      <w:color w:val="000000"/>
                      <w:szCs w:val="21"/>
                    </w:rPr>
                  </w:pPr>
                  <w:r>
                    <w:rPr>
                      <w:color w:val="000000"/>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92" w:type="pct"/>
                  <w:vAlign w:val="center"/>
                </w:tcPr>
                <w:p>
                  <w:pPr>
                    <w:widowControl/>
                    <w:spacing w:line="320" w:lineRule="exact"/>
                    <w:jc w:val="center"/>
                    <w:rPr>
                      <w:szCs w:val="21"/>
                    </w:rPr>
                  </w:pPr>
                  <w:r>
                    <w:rPr>
                      <w:rFonts w:hint="eastAsia"/>
                      <w:szCs w:val="21"/>
                    </w:rPr>
                    <w:t>总体</w:t>
                  </w:r>
                </w:p>
                <w:p>
                  <w:pPr>
                    <w:widowControl/>
                    <w:spacing w:line="320" w:lineRule="exact"/>
                    <w:jc w:val="center"/>
                    <w:rPr>
                      <w:color w:val="000000"/>
                      <w:szCs w:val="21"/>
                    </w:rPr>
                  </w:pPr>
                  <w:r>
                    <w:rPr>
                      <w:rFonts w:hint="eastAsia"/>
                      <w:szCs w:val="21"/>
                    </w:rPr>
                    <w:t>要求</w:t>
                  </w:r>
                </w:p>
              </w:tc>
              <w:tc>
                <w:tcPr>
                  <w:tcW w:w="2808" w:type="pct"/>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新建企业原则上应进入园区，并符合规划及政策要求，涂装工序的设置应满足环境防护距离要求。坚持源头控制、过程管理、末端治理和环境管理相结合并防止二次污染的全过程</w:t>
                  </w:r>
                  <w:r>
                    <w:rPr>
                      <w:szCs w:val="21"/>
                    </w:rPr>
                    <w:t xml:space="preserve">VOCs </w:t>
                  </w:r>
                  <w:r>
                    <w:rPr>
                      <w:rFonts w:hint="eastAsia"/>
                      <w:szCs w:val="21"/>
                    </w:rPr>
                    <w:t>综合防治原则。</w:t>
                  </w:r>
                  <w:r>
                    <w:rPr>
                      <w:szCs w:val="21"/>
                    </w:rPr>
                    <w:t xml:space="preserve">VOCs </w:t>
                  </w:r>
                  <w:r>
                    <w:rPr>
                      <w:rFonts w:hint="eastAsia"/>
                      <w:szCs w:val="21"/>
                    </w:rPr>
                    <w:t>污染治理应满足达标排放、总量控制要求。涂装工序企业集中的工业园区、产业集聚区宜建设集中喷涂中心，配备高效废气处理设施。活性炭使用量大的工业园区和产业集聚区建设区域活性炭再生基地、集中回收、再利用。</w:t>
                  </w:r>
                </w:p>
              </w:tc>
              <w:tc>
                <w:tcPr>
                  <w:tcW w:w="1310" w:type="pct"/>
                  <w:vAlign w:val="center"/>
                </w:tcPr>
                <w:p>
                  <w:pPr>
                    <w:autoSpaceDE w:val="0"/>
                    <w:autoSpaceDN w:val="0"/>
                    <w:adjustRightInd w:val="0"/>
                    <w:snapToGrid w:val="0"/>
                    <w:spacing w:line="320" w:lineRule="exact"/>
                    <w:ind w:left="-90" w:leftChars="-43"/>
                    <w:rPr>
                      <w:color w:val="000000"/>
                      <w:szCs w:val="21"/>
                    </w:rPr>
                  </w:pPr>
                  <w:r>
                    <w:rPr>
                      <w:rFonts w:hint="eastAsia"/>
                      <w:szCs w:val="21"/>
                    </w:rPr>
                    <w:t>本项目位于偃师</w:t>
                  </w:r>
                  <w:r>
                    <w:rPr>
                      <w:rFonts w:hint="eastAsia"/>
                      <w:szCs w:val="21"/>
                      <w:lang w:val="en-US" w:eastAsia="zh-CN"/>
                    </w:rPr>
                    <w:t>区</w:t>
                  </w:r>
                  <w:r>
                    <w:rPr>
                      <w:rFonts w:hint="eastAsia"/>
                      <w:szCs w:val="21"/>
                    </w:rPr>
                    <w:t>高龙镇大屯村，位于高龙镇工业区内；固化废气经</w:t>
                  </w:r>
                  <w:r>
                    <w:rPr>
                      <w:rFonts w:hint="eastAsia"/>
                      <w:kern w:val="0"/>
                      <w:szCs w:val="21"/>
                    </w:rPr>
                    <w:t>UV光氧</w:t>
                  </w:r>
                  <w:r>
                    <w:rPr>
                      <w:kern w:val="0"/>
                      <w:szCs w:val="21"/>
                    </w:rPr>
                    <w:t>+</w:t>
                  </w:r>
                  <w:r>
                    <w:rPr>
                      <w:rFonts w:hint="eastAsia"/>
                      <w:kern w:val="0"/>
                      <w:szCs w:val="21"/>
                    </w:rPr>
                    <w:t>活性炭吸附装置</w:t>
                  </w:r>
                  <w:r>
                    <w:rPr>
                      <w:rFonts w:hint="eastAsia"/>
                      <w:szCs w:val="21"/>
                    </w:rPr>
                    <w:t>处理后达标排放，非甲烷总烃排放浓度满足《河南省工业涂装工序挥发性有机物排放标准》</w:t>
                  </w:r>
                  <w:r>
                    <w:rPr>
                      <w:szCs w:val="21"/>
                      <w:shd w:val="clear" w:color="auto" w:fill="FFFFFF"/>
                    </w:rPr>
                    <w:t>DB41/ 1951-2020</w:t>
                  </w:r>
                  <w:r>
                    <w:rPr>
                      <w:rFonts w:hint="eastAsia"/>
                      <w:szCs w:val="21"/>
                    </w:rPr>
                    <w:t>涂装工序的其他行业—非甲烷总烃排放浓度</w:t>
                  </w:r>
                  <w:r>
                    <w:rPr>
                      <w:szCs w:val="21"/>
                    </w:rPr>
                    <w:t>50mg/m</w:t>
                  </w:r>
                  <w:r>
                    <w:rPr>
                      <w:szCs w:val="21"/>
                      <w:vertAlign w:val="superscript"/>
                    </w:rPr>
                    <w:t>3</w:t>
                  </w:r>
                  <w:r>
                    <w:rPr>
                      <w:rFonts w:hint="eastAsia"/>
                      <w:szCs w:val="21"/>
                    </w:rPr>
                    <w:t>。</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470" w:type="dxa"/>
                  <w:vMerge w:val="restart"/>
                  <w:vAlign w:val="center"/>
                </w:tcPr>
                <w:p>
                  <w:pPr>
                    <w:widowControl/>
                    <w:spacing w:line="320" w:lineRule="exact"/>
                    <w:jc w:val="center"/>
                    <w:rPr>
                      <w:szCs w:val="21"/>
                    </w:rPr>
                  </w:pPr>
                  <w:r>
                    <w:rPr>
                      <w:rFonts w:hint="eastAsia"/>
                      <w:szCs w:val="21"/>
                    </w:rPr>
                    <w:t>源头</w:t>
                  </w:r>
                </w:p>
                <w:p>
                  <w:pPr>
                    <w:widowControl/>
                    <w:spacing w:line="320" w:lineRule="exact"/>
                    <w:jc w:val="center"/>
                    <w:rPr>
                      <w:color w:val="000000"/>
                      <w:szCs w:val="21"/>
                    </w:rPr>
                  </w:pPr>
                  <w:r>
                    <w:rPr>
                      <w:rFonts w:hint="eastAsia"/>
                      <w:szCs w:val="21"/>
                    </w:rPr>
                    <w:t>控制</w:t>
                  </w:r>
                </w:p>
              </w:tc>
              <w:tc>
                <w:tcPr>
                  <w:tcW w:w="4528"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涂料选择：强化源头替代，宜选用粉末、水性、高固份等低</w:t>
                  </w:r>
                  <w:r>
                    <w:rPr>
                      <w:szCs w:val="21"/>
                    </w:rPr>
                    <w:t>VOCs</w:t>
                  </w:r>
                  <w:r>
                    <w:rPr>
                      <w:rFonts w:hint="eastAsia"/>
                      <w:szCs w:val="21"/>
                    </w:rPr>
                    <w:t>含量涂料，以及低</w:t>
                  </w:r>
                  <w:r>
                    <w:rPr>
                      <w:szCs w:val="21"/>
                    </w:rPr>
                    <w:t>VOCs</w:t>
                  </w:r>
                  <w:r>
                    <w:rPr>
                      <w:rFonts w:hint="eastAsia"/>
                      <w:szCs w:val="21"/>
                    </w:rPr>
                    <w:t>含量、低反应活性的清洗剂、替代溶剂型涂料、清洗剂。使用的低</w:t>
                  </w:r>
                  <w:r>
                    <w:rPr>
                      <w:szCs w:val="21"/>
                    </w:rPr>
                    <w:t>VOCs</w:t>
                  </w:r>
                  <w:r>
                    <w:rPr>
                      <w:rFonts w:hint="eastAsia"/>
                      <w:szCs w:val="21"/>
                    </w:rPr>
                    <w:t>含量的原辅材料应符合相关标准要求。</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本项目固体粉末涂料采用低</w:t>
                  </w:r>
                  <w:r>
                    <w:rPr>
                      <w:szCs w:val="21"/>
                    </w:rPr>
                    <w:t>VOCs</w:t>
                  </w:r>
                  <w:r>
                    <w:rPr>
                      <w:rFonts w:hint="eastAsia"/>
                      <w:szCs w:val="21"/>
                    </w:rPr>
                    <w:t>含量涂料，符合相关标准要求。</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470" w:type="dxa"/>
                  <w:vMerge w:val="continue"/>
                  <w:vAlign w:val="center"/>
                </w:tcPr>
                <w:p>
                  <w:pPr>
                    <w:widowControl/>
                    <w:spacing w:line="320" w:lineRule="exact"/>
                    <w:jc w:val="center"/>
                  </w:pPr>
                </w:p>
              </w:tc>
              <w:tc>
                <w:tcPr>
                  <w:tcW w:w="4528"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涂装工艺设备的选择：推广紧凑式涂装工艺，减少涂覆、烘干次数。采用高效涂装设备，提高涂覆效率。采用静电喷涂、高压无气喷涂、辊涂等技术，减少空气喷涂的应用：推广自动化、智能化喷涂替代人工喷涂。</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本项目采用静电喷涂工艺。</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470" w:type="dxa"/>
                  <w:vMerge w:val="restart"/>
                  <w:vAlign w:val="center"/>
                </w:tcPr>
                <w:p>
                  <w:pPr>
                    <w:widowControl/>
                    <w:spacing w:line="320" w:lineRule="exact"/>
                    <w:jc w:val="center"/>
                    <w:rPr>
                      <w:szCs w:val="21"/>
                    </w:rPr>
                  </w:pPr>
                  <w:r>
                    <w:rPr>
                      <w:rFonts w:hint="eastAsia"/>
                      <w:szCs w:val="21"/>
                    </w:rPr>
                    <w:t>过程</w:t>
                  </w:r>
                </w:p>
                <w:p>
                  <w:pPr>
                    <w:widowControl/>
                    <w:spacing w:line="320" w:lineRule="exact"/>
                    <w:jc w:val="center"/>
                    <w:rPr>
                      <w:color w:val="000000"/>
                      <w:szCs w:val="21"/>
                    </w:rPr>
                  </w:pPr>
                  <w:r>
                    <w:rPr>
                      <w:rFonts w:hint="eastAsia"/>
                      <w:szCs w:val="21"/>
                    </w:rPr>
                    <w:t>管理</w:t>
                  </w:r>
                </w:p>
              </w:tc>
              <w:tc>
                <w:tcPr>
                  <w:tcW w:w="4528"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储存过程：涉</w:t>
                  </w:r>
                  <w:r>
                    <w:rPr>
                      <w:szCs w:val="21"/>
                    </w:rPr>
                    <w:t>VOCs</w:t>
                  </w:r>
                  <w:r>
                    <w:rPr>
                      <w:rFonts w:hint="eastAsia"/>
                      <w:szCs w:val="21"/>
                    </w:rPr>
                    <w:t>原辅材料应储存在密闭容器内，并存放于封闭空间。确保原料储存过程中容器加盖、封口、无破损、无泄漏，保持密闭。</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本项目涂料为袋装，储存在密闭车间内，定期专人检查防止破损泄露。</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470" w:type="dxa"/>
                  <w:vMerge w:val="continue"/>
                  <w:vAlign w:val="center"/>
                </w:tcPr>
                <w:p>
                  <w:pPr>
                    <w:widowControl/>
                    <w:spacing w:line="320" w:lineRule="exact"/>
                    <w:jc w:val="center"/>
                  </w:pPr>
                </w:p>
              </w:tc>
              <w:tc>
                <w:tcPr>
                  <w:tcW w:w="4528"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调配过程：涉</w:t>
                  </w:r>
                  <w:r>
                    <w:rPr>
                      <w:szCs w:val="21"/>
                    </w:rPr>
                    <w:t>VOCs</w:t>
                  </w:r>
                  <w:r>
                    <w:rPr>
                      <w:rFonts w:hint="eastAsia"/>
                      <w:szCs w:val="21"/>
                    </w:rPr>
                    <w:t>原辅材料的调配应在密闭装置或者封闭空间内进行，计算、搅拌、调配过程产生的废气应收集处理。</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本项目粉末涂料无调配、搅拌工序。</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470" w:type="dxa"/>
                  <w:vMerge w:val="continue"/>
                  <w:vAlign w:val="center"/>
                </w:tcPr>
                <w:p>
                  <w:pPr>
                    <w:widowControl/>
                    <w:spacing w:line="320" w:lineRule="exact"/>
                    <w:jc w:val="center"/>
                    <w:rPr>
                      <w:color w:val="000000"/>
                      <w:szCs w:val="21"/>
                    </w:rPr>
                  </w:pPr>
                </w:p>
              </w:tc>
              <w:tc>
                <w:tcPr>
                  <w:tcW w:w="4528"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输送过程：</w:t>
                  </w:r>
                  <w:r>
                    <w:rPr>
                      <w:szCs w:val="21"/>
                    </w:rPr>
                    <w:t>VOCs</w:t>
                  </w:r>
                  <w:r>
                    <w:rPr>
                      <w:rFonts w:hint="eastAsia"/>
                      <w:szCs w:val="21"/>
                    </w:rPr>
                    <w:t>原辅材料应采用密闭管道或者采用密闭容器输送。</w:t>
                  </w:r>
                  <w:r>
                    <w:rPr>
                      <w:szCs w:val="21"/>
                    </w:rPr>
                    <w:t>VOCs</w:t>
                  </w:r>
                  <w:r>
                    <w:rPr>
                      <w:rFonts w:hint="eastAsia"/>
                      <w:szCs w:val="21"/>
                    </w:rPr>
                    <w:t>原辅材料在储存、调配、输送过程中一旦发现泄露，应及时恢复和处置。</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本项目粉末涂料至喷粉间内粉室，经密闭管道输送至喷枪。</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470" w:type="dxa"/>
                  <w:vMerge w:val="continue"/>
                  <w:vAlign w:val="center"/>
                </w:tcPr>
                <w:p>
                  <w:pPr>
                    <w:widowControl/>
                    <w:spacing w:line="320" w:lineRule="exact"/>
                    <w:jc w:val="center"/>
                    <w:rPr>
                      <w:color w:val="000000"/>
                      <w:szCs w:val="21"/>
                    </w:rPr>
                  </w:pPr>
                </w:p>
              </w:tc>
              <w:tc>
                <w:tcPr>
                  <w:tcW w:w="4528"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涂装过程：喷枪选择：根据涂装对象大小和形状选择合适的喷枪，平面状大型被涂物可选用大型喷枪，涂装对象小、凹凸不规则或局部涂装作业时宜使用小型喷枪，涂料用量少的情况下宜使用重力式喷枪。</w:t>
                  </w:r>
                  <w:r>
                    <w:rPr>
                      <w:szCs w:val="21"/>
                    </w:rPr>
                    <w:t xml:space="preserve"> </w:t>
                  </w:r>
                  <w:r>
                    <w:rPr>
                      <w:rFonts w:hint="eastAsia"/>
                      <w:szCs w:val="21"/>
                    </w:rPr>
                    <w:t>喷涤操作：降低喷枪压力和喷涂速军并保持平简，喷枪应与被涂面垂直，喷涂距离</w:t>
                  </w:r>
                  <w:r>
                    <w:rPr>
                      <w:szCs w:val="21"/>
                    </w:rPr>
                    <w:t xml:space="preserve">15cm-20cm, </w:t>
                  </w:r>
                  <w:r>
                    <w:rPr>
                      <w:rFonts w:hint="eastAsia"/>
                      <w:szCs w:val="21"/>
                    </w:rPr>
                    <w:t>喷枪运行速度宜</w:t>
                  </w:r>
                  <w:r>
                    <w:rPr>
                      <w:szCs w:val="21"/>
                    </w:rPr>
                    <w:t>0. 4m/s-0. 7m/s</w:t>
                  </w:r>
                  <w:r>
                    <w:rPr>
                      <w:rFonts w:hint="eastAsia"/>
                      <w:szCs w:val="21"/>
                    </w:rPr>
                    <w:t>。换色作业：准确控制换色涂料用量，缩短换色时问，按照从浅到深的顺序涂装，类似颜色涂装宜持续作业、批量完成。装备设施：涂履、流平、干燥等作业应在封闭空间内操作，保持门窗为常闭状态，废气收集排至</w:t>
                  </w:r>
                  <w:r>
                    <w:rPr>
                      <w:szCs w:val="21"/>
                    </w:rPr>
                    <w:t>VOCs</w:t>
                  </w:r>
                  <w:r>
                    <w:rPr>
                      <w:rFonts w:hint="eastAsia"/>
                      <w:szCs w:val="21"/>
                    </w:rPr>
                    <w:t>处理设施，无法在封闭空间内操作的，应采取局部废气收集措施，废气收集排至</w:t>
                  </w:r>
                  <w:r>
                    <w:rPr>
                      <w:szCs w:val="21"/>
                    </w:rPr>
                    <w:t xml:space="preserve">VOCs </w:t>
                  </w:r>
                  <w:r>
                    <w:rPr>
                      <w:rFonts w:hint="eastAsia"/>
                      <w:szCs w:val="21"/>
                    </w:rPr>
                    <w:t>处理设施。涂料回收，对于涂料可回收的喷涂工艺及设备，应配备涂料回收装置，回收的涂料循环利用。</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本项目采用小型喷枪，喷粉过程在喷粉间内进行，喷粉及烘干在车间内进行二次密闭。</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470" w:type="dxa"/>
                  <w:vMerge w:val="continue"/>
                  <w:vAlign w:val="center"/>
                </w:tcPr>
                <w:p>
                  <w:pPr>
                    <w:widowControl/>
                    <w:spacing w:line="320" w:lineRule="exact"/>
                    <w:jc w:val="center"/>
                    <w:rPr>
                      <w:color w:val="000000"/>
                      <w:szCs w:val="21"/>
                    </w:rPr>
                  </w:pPr>
                </w:p>
              </w:tc>
              <w:tc>
                <w:tcPr>
                  <w:tcW w:w="4528"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清洗过程：合理控制有机清洗剂用量：集中清洗应在装置或封闭空间内进行，清洗过程产生的</w:t>
                  </w:r>
                  <w:r>
                    <w:rPr>
                      <w:szCs w:val="21"/>
                    </w:rPr>
                    <w:t>VOCs</w:t>
                  </w:r>
                  <w:r>
                    <w:rPr>
                      <w:rFonts w:hint="eastAsia"/>
                      <w:szCs w:val="21"/>
                    </w:rPr>
                    <w:t>废气应收集处理。使用后的有机清洗剂应放入专门容器，回收储存。清洗完成后，含有机清洗剂的废抹布等应放入专用容器，减少无组织排放。</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本项目采用抹布蘸取磷化液擦拭工件去除表面油污及锈渣，擦拭后抹布存放于封闭的收集桶内；定期更换的废抹布及废手套暂存于危废间收集桶内，委托有资质单位进行处置。</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470" w:type="dxa"/>
                  <w:vMerge w:val="restart"/>
                  <w:vAlign w:val="center"/>
                </w:tcPr>
                <w:p>
                  <w:pPr>
                    <w:widowControl/>
                    <w:spacing w:line="320" w:lineRule="exact"/>
                    <w:rPr>
                      <w:szCs w:val="21"/>
                    </w:rPr>
                  </w:pPr>
                  <w:r>
                    <w:rPr>
                      <w:rFonts w:hint="eastAsia"/>
                      <w:szCs w:val="21"/>
                    </w:rPr>
                    <w:t>末端</w:t>
                  </w:r>
                </w:p>
                <w:p>
                  <w:pPr>
                    <w:widowControl/>
                    <w:spacing w:line="320" w:lineRule="exact"/>
                    <w:rPr>
                      <w:color w:val="000000"/>
                      <w:szCs w:val="21"/>
                    </w:rPr>
                  </w:pPr>
                  <w:r>
                    <w:rPr>
                      <w:rFonts w:hint="eastAsia"/>
                      <w:szCs w:val="21"/>
                    </w:rPr>
                    <w:t>治理</w:t>
                  </w:r>
                </w:p>
              </w:tc>
              <w:tc>
                <w:tcPr>
                  <w:tcW w:w="4528" w:type="dxa"/>
                  <w:vAlign w:val="center"/>
                </w:tcPr>
                <w:p>
                  <w:pPr>
                    <w:autoSpaceDE w:val="0"/>
                    <w:autoSpaceDN w:val="0"/>
                    <w:adjustRightInd w:val="0"/>
                    <w:snapToGrid w:val="0"/>
                    <w:spacing w:line="320" w:lineRule="exact"/>
                    <w:ind w:left="-90" w:leftChars="-43"/>
                    <w:rPr>
                      <w:color w:val="000000"/>
                      <w:szCs w:val="21"/>
                    </w:rPr>
                  </w:pPr>
                  <w:r>
                    <w:rPr>
                      <w:rFonts w:hint="eastAsia"/>
                      <w:szCs w:val="21"/>
                    </w:rPr>
                    <w:t>排放控制要求：收集的废气中非甲烷总烃初始排放速率大于</w:t>
                  </w:r>
                  <w:r>
                    <w:rPr>
                      <w:szCs w:val="21"/>
                    </w:rPr>
                    <w:t>2kg</w:t>
                  </w:r>
                  <w:r>
                    <w:rPr>
                      <w:rFonts w:hint="eastAsia"/>
                      <w:szCs w:val="21"/>
                    </w:rPr>
                    <w:t>/</w:t>
                  </w:r>
                  <w:r>
                    <w:rPr>
                      <w:szCs w:val="21"/>
                    </w:rPr>
                    <w:t>h</w:t>
                  </w:r>
                  <w:r>
                    <w:rPr>
                      <w:rFonts w:hint="eastAsia"/>
                      <w:szCs w:val="21"/>
                    </w:rPr>
                    <w:t>，配置的</w:t>
                  </w:r>
                  <w:r>
                    <w:rPr>
                      <w:szCs w:val="21"/>
                    </w:rPr>
                    <w:t xml:space="preserve"> VOCs </w:t>
                  </w:r>
                  <w:r>
                    <w:rPr>
                      <w:rFonts w:hint="eastAsia"/>
                      <w:szCs w:val="21"/>
                    </w:rPr>
                    <w:t>处理设施处理效率不低厂</w:t>
                  </w:r>
                  <w:r>
                    <w:rPr>
                      <w:szCs w:val="21"/>
                    </w:rPr>
                    <w:t>80%</w:t>
                  </w:r>
                  <w:r>
                    <w:rPr>
                      <w:rFonts w:hint="eastAsia"/>
                      <w:szCs w:val="21"/>
                    </w:rPr>
                    <w:t>。工业涂装工序</w:t>
                  </w:r>
                  <w:r>
                    <w:rPr>
                      <w:szCs w:val="21"/>
                    </w:rPr>
                    <w:t>VOCs</w:t>
                  </w:r>
                  <w:r>
                    <w:rPr>
                      <w:rFonts w:hint="eastAsia"/>
                      <w:szCs w:val="21"/>
                    </w:rPr>
                    <w:t>排放应符合</w:t>
                  </w:r>
                  <w:r>
                    <w:rPr>
                      <w:szCs w:val="21"/>
                    </w:rPr>
                    <w:t>GB 37822, GB 16297</w:t>
                  </w:r>
                  <w:r>
                    <w:rPr>
                      <w:rFonts w:hint="eastAsia"/>
                      <w:szCs w:val="21"/>
                    </w:rPr>
                    <w:t>或相关行业、地方排放标准的规定。</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本项目收集的有机废气初始排放速率小于</w:t>
                  </w:r>
                  <w:r>
                    <w:rPr>
                      <w:szCs w:val="21"/>
                    </w:rPr>
                    <w:t>2kg</w:t>
                  </w:r>
                  <w:r>
                    <w:rPr>
                      <w:rFonts w:hint="eastAsia"/>
                      <w:szCs w:val="21"/>
                    </w:rPr>
                    <w:t>/</w:t>
                  </w:r>
                  <w:r>
                    <w:rPr>
                      <w:szCs w:val="21"/>
                    </w:rPr>
                    <w:t>h</w:t>
                  </w:r>
                  <w:r>
                    <w:rPr>
                      <w:rFonts w:hint="eastAsia"/>
                      <w:szCs w:val="21"/>
                    </w:rPr>
                    <w:t>，固化过程含非甲烷总烃有机废气经UV光氧</w:t>
                  </w:r>
                  <w:r>
                    <w:rPr>
                      <w:szCs w:val="21"/>
                    </w:rPr>
                    <w:t>+</w:t>
                  </w:r>
                  <w:r>
                    <w:rPr>
                      <w:rFonts w:hint="eastAsia"/>
                      <w:szCs w:val="21"/>
                    </w:rPr>
                    <w:t>活性炭吸附装置进行处理后排放，处理为效率82.5</w:t>
                  </w:r>
                  <w:r>
                    <w:rPr>
                      <w:szCs w:val="21"/>
                    </w:rPr>
                    <w:t>%</w:t>
                  </w:r>
                  <w:r>
                    <w:rPr>
                      <w:rFonts w:hint="eastAsia"/>
                      <w:szCs w:val="21"/>
                    </w:rPr>
                    <w:t>。</w:t>
                  </w:r>
                  <w:r>
                    <w:rPr>
                      <w:szCs w:val="21"/>
                    </w:rPr>
                    <w:t>VOCs</w:t>
                  </w:r>
                  <w:r>
                    <w:rPr>
                      <w:rFonts w:hint="eastAsia"/>
                      <w:szCs w:val="21"/>
                    </w:rPr>
                    <w:t>排放满足《河南省工业涂装工序挥发性有机物排放标准》</w:t>
                  </w:r>
                  <w:r>
                    <w:rPr>
                      <w:szCs w:val="21"/>
                      <w:shd w:val="clear" w:color="auto" w:fill="FFFFFF"/>
                    </w:rPr>
                    <w:t>DB41/ 1951-2020</w:t>
                  </w:r>
                  <w:r>
                    <w:rPr>
                      <w:rFonts w:hint="eastAsia"/>
                      <w:szCs w:val="21"/>
                    </w:rPr>
                    <w:t>涂装工序的其他行业—非甲烷总烃排放浓度</w:t>
                  </w:r>
                  <w:r>
                    <w:rPr>
                      <w:szCs w:val="21"/>
                    </w:rPr>
                    <w:t>50mg/m</w:t>
                  </w:r>
                  <w:r>
                    <w:rPr>
                      <w:szCs w:val="21"/>
                      <w:vertAlign w:val="superscript"/>
                    </w:rPr>
                    <w:t>3</w:t>
                  </w:r>
                  <w:r>
                    <w:rPr>
                      <w:rFonts w:hint="eastAsia"/>
                      <w:szCs w:val="21"/>
                    </w:rPr>
                    <w:t>。</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470" w:type="dxa"/>
                  <w:vMerge w:val="continue"/>
                  <w:vAlign w:val="center"/>
                </w:tcPr>
                <w:p>
                  <w:pPr>
                    <w:widowControl/>
                    <w:spacing w:line="320" w:lineRule="exact"/>
                  </w:pPr>
                </w:p>
              </w:tc>
              <w:tc>
                <w:tcPr>
                  <w:tcW w:w="4528" w:type="dxa"/>
                  <w:vAlign w:val="center"/>
                </w:tcPr>
                <w:p>
                  <w:pPr>
                    <w:autoSpaceDE w:val="0"/>
                    <w:autoSpaceDN w:val="0"/>
                    <w:adjustRightInd w:val="0"/>
                    <w:snapToGrid w:val="0"/>
                    <w:spacing w:line="320" w:lineRule="exact"/>
                    <w:ind w:left="-90" w:leftChars="-43"/>
                    <w:rPr>
                      <w:color w:val="000000"/>
                      <w:szCs w:val="21"/>
                    </w:rPr>
                  </w:pPr>
                  <w:r>
                    <w:rPr>
                      <w:rFonts w:hint="eastAsia"/>
                      <w:szCs w:val="21"/>
                    </w:rPr>
                    <w:t>废气收集：企业应设置高效废气收集系统，考虑生产工艺、操作方式、废气性质、处理方法等因素，对</w:t>
                  </w:r>
                  <w:r>
                    <w:rPr>
                      <w:szCs w:val="21"/>
                    </w:rPr>
                    <w:t>VOCs</w:t>
                  </w:r>
                  <w:r>
                    <w:rPr>
                      <w:rFonts w:hint="eastAsia"/>
                      <w:szCs w:val="21"/>
                    </w:rPr>
                    <w:t>废气进行分类收集。</w:t>
                  </w:r>
                  <w:r>
                    <w:rPr>
                      <w:szCs w:val="21"/>
                    </w:rPr>
                    <w:t xml:space="preserve"> </w:t>
                  </w:r>
                  <w:r>
                    <w:rPr>
                      <w:rFonts w:hint="eastAsia"/>
                      <w:szCs w:val="21"/>
                    </w:rPr>
                    <w:t>喷涂、晾干、调配、流平废气宜收集后合并处理、采用溶剂型涂料时，其烘干废气宜单独收集处理。废气收集系统采用封闭空间的，除行业有特殊要求外，应保持微负压状态，并按</w:t>
                  </w:r>
                  <w:r>
                    <w:rPr>
                      <w:szCs w:val="21"/>
                    </w:rPr>
                    <w:t>G8-14443.G8-14444</w:t>
                  </w:r>
                  <w:r>
                    <w:rPr>
                      <w:rFonts w:hint="eastAsia"/>
                      <w:szCs w:val="21"/>
                    </w:rPr>
                    <w:t>合理设置通风量。</w:t>
                  </w:r>
                </w:p>
              </w:tc>
              <w:tc>
                <w:tcPr>
                  <w:tcW w:w="2112" w:type="dxa"/>
                  <w:vAlign w:val="center"/>
                </w:tcPr>
                <w:p>
                  <w:pPr>
                    <w:autoSpaceDE w:val="0"/>
                    <w:autoSpaceDN w:val="0"/>
                    <w:adjustRightInd w:val="0"/>
                    <w:snapToGrid w:val="0"/>
                    <w:spacing w:line="320" w:lineRule="exact"/>
                    <w:ind w:left="-90" w:leftChars="-43"/>
                    <w:jc w:val="left"/>
                    <w:rPr>
                      <w:color w:val="000000"/>
                      <w:szCs w:val="21"/>
                    </w:rPr>
                  </w:pPr>
                  <w:r>
                    <w:rPr>
                      <w:rFonts w:hint="eastAsia"/>
                      <w:szCs w:val="21"/>
                    </w:rPr>
                    <w:t>本项目固化废气进行收集后引至废气处理设施，喷涂及烘干区在车间内进行二次密闭。喷粉粉尘经旋风</w:t>
                  </w:r>
                  <w:r>
                    <w:rPr>
                      <w:szCs w:val="21"/>
                    </w:rPr>
                    <w:t>+</w:t>
                  </w:r>
                  <w:r>
                    <w:rPr>
                      <w:rFonts w:hint="eastAsia"/>
                      <w:szCs w:val="21"/>
                    </w:rPr>
                    <w:t>滤筒二级除尘设施处理后由</w:t>
                  </w:r>
                  <w:r>
                    <w:rPr>
                      <w:szCs w:val="21"/>
                    </w:rPr>
                    <w:t>15m</w:t>
                  </w:r>
                  <w:r>
                    <w:rPr>
                      <w:rFonts w:hint="eastAsia"/>
                      <w:szCs w:val="21"/>
                    </w:rPr>
                    <w:t>排气筒达标排放。</w:t>
                  </w:r>
                </w:p>
              </w:tc>
              <w:tc>
                <w:tcPr>
                  <w:tcW w:w="588" w:type="pct"/>
                  <w:vAlign w:val="center"/>
                </w:tcPr>
                <w:p>
                  <w:pPr>
                    <w:spacing w:line="320" w:lineRule="exact"/>
                    <w:jc w:val="center"/>
                    <w:rPr>
                      <w:color w:val="000000"/>
                      <w:szCs w:val="21"/>
                    </w:rPr>
                  </w:pPr>
                  <w:r>
                    <w:rPr>
                      <w:rFonts w:hint="eastAsia"/>
                      <w:color w:val="000000"/>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470" w:type="dxa"/>
                  <w:vMerge w:val="continue"/>
                  <w:vAlign w:val="center"/>
                </w:tcPr>
                <w:p>
                  <w:pPr>
                    <w:widowControl/>
                    <w:spacing w:line="320" w:lineRule="exact"/>
                    <w:jc w:val="center"/>
                    <w:rPr>
                      <w:color w:val="000000"/>
                      <w:szCs w:val="21"/>
                    </w:rPr>
                  </w:pPr>
                </w:p>
              </w:tc>
              <w:tc>
                <w:tcPr>
                  <w:tcW w:w="4528" w:type="dxa"/>
                  <w:vAlign w:val="center"/>
                </w:tcPr>
                <w:p>
                  <w:pPr>
                    <w:autoSpaceDE w:val="0"/>
                    <w:autoSpaceDN w:val="0"/>
                    <w:adjustRightInd w:val="0"/>
                    <w:snapToGrid w:val="0"/>
                    <w:spacing w:line="320" w:lineRule="exact"/>
                    <w:ind w:left="-90" w:leftChars="-43"/>
                    <w:rPr>
                      <w:szCs w:val="21"/>
                    </w:rPr>
                  </w:pPr>
                  <w:r>
                    <w:rPr>
                      <w:rFonts w:hint="eastAsia"/>
                      <w:szCs w:val="21"/>
                    </w:rPr>
                    <w:t>废气处理：水性涂料及低</w:t>
                  </w:r>
                  <w:r>
                    <w:rPr>
                      <w:szCs w:val="21"/>
                    </w:rPr>
                    <w:t>VOCs</w:t>
                  </w:r>
                  <w:r>
                    <w:rPr>
                      <w:rFonts w:hint="eastAsia"/>
                      <w:szCs w:val="21"/>
                    </w:rPr>
                    <w:t>含量溶剂型涂料：</w:t>
                  </w:r>
                </w:p>
                <w:p>
                  <w:pPr>
                    <w:autoSpaceDE w:val="0"/>
                    <w:autoSpaceDN w:val="0"/>
                    <w:adjustRightInd w:val="0"/>
                    <w:snapToGrid w:val="0"/>
                    <w:spacing w:line="320" w:lineRule="exact"/>
                    <w:ind w:left="-90" w:leftChars="-43"/>
                    <w:rPr>
                      <w:szCs w:val="21"/>
                    </w:rPr>
                  </w:pPr>
                  <w:r>
                    <w:rPr>
                      <w:rFonts w:hint="eastAsia"/>
                      <w:szCs w:val="21"/>
                    </w:rPr>
                    <w:t>喷涂流平废气：可采用的处理工艺为湿式除尘或干式过滤</w:t>
                  </w:r>
                  <w:r>
                    <w:rPr>
                      <w:szCs w:val="21"/>
                    </w:rPr>
                    <w:t>+</w:t>
                  </w:r>
                  <w:r>
                    <w:rPr>
                      <w:rFonts w:hint="eastAsia"/>
                      <w:szCs w:val="21"/>
                    </w:rPr>
                    <w:t>吸附，典型处理技术路线湿式除尘器或干式过滤</w:t>
                  </w:r>
                  <w:r>
                    <w:rPr>
                      <w:szCs w:val="21"/>
                    </w:rPr>
                    <w:t>+</w:t>
                  </w:r>
                  <w:r>
                    <w:rPr>
                      <w:rFonts w:hint="eastAsia"/>
                      <w:szCs w:val="21"/>
                    </w:rPr>
                    <w:t>活性炭吸附。技术适用条件：适用于小规模工业涂装工序的漆雾、较低浓度的</w:t>
                  </w:r>
                  <w:r>
                    <w:rPr>
                      <w:szCs w:val="21"/>
                    </w:rPr>
                    <w:t>VOCs</w:t>
                  </w:r>
                  <w:r>
                    <w:rPr>
                      <w:rFonts w:hint="eastAsia"/>
                      <w:szCs w:val="21"/>
                    </w:rPr>
                    <w:t>废气处理，后期维护需定期清理、更换过滤材料，定期更换或再生活性炭。</w:t>
                  </w:r>
                </w:p>
                <w:p>
                  <w:pPr>
                    <w:autoSpaceDE w:val="0"/>
                    <w:autoSpaceDN w:val="0"/>
                    <w:adjustRightInd w:val="0"/>
                    <w:snapToGrid w:val="0"/>
                    <w:spacing w:line="320" w:lineRule="exact"/>
                    <w:ind w:left="-90" w:leftChars="-43"/>
                    <w:rPr>
                      <w:color w:val="000000"/>
                      <w:szCs w:val="21"/>
                    </w:rPr>
                  </w:pPr>
                  <w:r>
                    <w:rPr>
                      <w:rFonts w:hint="eastAsia"/>
                      <w:szCs w:val="21"/>
                    </w:rPr>
                    <w:t>烘干废气：可采用的处理工艺为降温</w:t>
                  </w:r>
                  <w:r>
                    <w:rPr>
                      <w:szCs w:val="21"/>
                    </w:rPr>
                    <w:t>+</w:t>
                  </w:r>
                  <w:r>
                    <w:rPr>
                      <w:rFonts w:hint="eastAsia"/>
                      <w:szCs w:val="21"/>
                    </w:rPr>
                    <w:t>吸附，典型处理技术路线降温</w:t>
                  </w:r>
                  <w:r>
                    <w:rPr>
                      <w:szCs w:val="21"/>
                    </w:rPr>
                    <w:t>+</w:t>
                  </w:r>
                  <w:r>
                    <w:rPr>
                      <w:rFonts w:hint="eastAsia"/>
                      <w:szCs w:val="21"/>
                    </w:rPr>
                    <w:t>活性炭吸附。技术适用条件：适用于小规模工业涂装工序较低浓度的</w:t>
                  </w:r>
                  <w:r>
                    <w:rPr>
                      <w:szCs w:val="21"/>
                    </w:rPr>
                    <w:t>VOCs</w:t>
                  </w:r>
                  <w:r>
                    <w:rPr>
                      <w:rFonts w:hint="eastAsia"/>
                      <w:szCs w:val="21"/>
                    </w:rPr>
                    <w:t>废气处理，后期维护需定期清理、更换过滤材料，定期更换或再生活性炭。</w:t>
                  </w:r>
                </w:p>
              </w:tc>
              <w:tc>
                <w:tcPr>
                  <w:tcW w:w="2112" w:type="dxa"/>
                  <w:vAlign w:val="center"/>
                </w:tcPr>
                <w:p>
                  <w:pPr>
                    <w:autoSpaceDE w:val="0"/>
                    <w:autoSpaceDN w:val="0"/>
                    <w:adjustRightInd w:val="0"/>
                    <w:snapToGrid w:val="0"/>
                    <w:spacing w:line="320" w:lineRule="exact"/>
                    <w:ind w:left="-90" w:leftChars="-43"/>
                    <w:jc w:val="left"/>
                    <w:rPr>
                      <w:szCs w:val="21"/>
                    </w:rPr>
                  </w:pPr>
                  <w:r>
                    <w:rPr>
                      <w:rFonts w:hint="eastAsia"/>
                      <w:szCs w:val="21"/>
                    </w:rPr>
                    <w:t>本项目采用固体粉末涂料，喷涂过程产生的废气为颗粒物经旋风</w:t>
                  </w:r>
                  <w:r>
                    <w:rPr>
                      <w:szCs w:val="21"/>
                    </w:rPr>
                    <w:t>+</w:t>
                  </w:r>
                  <w:r>
                    <w:rPr>
                      <w:rFonts w:hint="eastAsia"/>
                      <w:szCs w:val="21"/>
                    </w:rPr>
                    <w:t>滤筒二级除尘设施处理后</w:t>
                  </w:r>
                  <w:r>
                    <w:rPr>
                      <w:szCs w:val="21"/>
                    </w:rPr>
                    <w:t>15m</w:t>
                  </w:r>
                  <w:r>
                    <w:rPr>
                      <w:rFonts w:hint="eastAsia"/>
                      <w:szCs w:val="21"/>
                    </w:rPr>
                    <w:t>排气筒达标排放；</w:t>
                  </w:r>
                </w:p>
                <w:p>
                  <w:pPr>
                    <w:autoSpaceDE w:val="0"/>
                    <w:autoSpaceDN w:val="0"/>
                    <w:adjustRightInd w:val="0"/>
                    <w:snapToGrid w:val="0"/>
                    <w:spacing w:line="320" w:lineRule="exact"/>
                    <w:ind w:left="-90" w:leftChars="-43"/>
                    <w:jc w:val="left"/>
                    <w:rPr>
                      <w:color w:val="000000"/>
                      <w:szCs w:val="21"/>
                    </w:rPr>
                  </w:pPr>
                  <w:r>
                    <w:rPr>
                      <w:rFonts w:hint="eastAsia"/>
                      <w:szCs w:val="21"/>
                    </w:rPr>
                    <w:t>固化过程产生的有机废气处理设施采用</w:t>
                  </w:r>
                  <w:r>
                    <w:rPr>
                      <w:rFonts w:hint="eastAsia"/>
                      <w:kern w:val="0"/>
                      <w:szCs w:val="21"/>
                    </w:rPr>
                    <w:t>UV光氧</w:t>
                  </w:r>
                  <w:r>
                    <w:rPr>
                      <w:kern w:val="0"/>
                      <w:szCs w:val="21"/>
                    </w:rPr>
                    <w:t>+</w:t>
                  </w:r>
                  <w:r>
                    <w:rPr>
                      <w:rFonts w:hint="eastAsia"/>
                      <w:kern w:val="0"/>
                      <w:szCs w:val="21"/>
                    </w:rPr>
                    <w:t>活性炭吸附装置处理</w:t>
                  </w:r>
                  <w:r>
                    <w:rPr>
                      <w:rFonts w:hint="eastAsia"/>
                      <w:szCs w:val="21"/>
                    </w:rPr>
                    <w:t>，废活性炭定期更换。</w:t>
                  </w:r>
                </w:p>
              </w:tc>
              <w:tc>
                <w:tcPr>
                  <w:tcW w:w="588" w:type="pct"/>
                  <w:vAlign w:val="center"/>
                </w:tcPr>
                <w:p>
                  <w:pPr>
                    <w:spacing w:line="320" w:lineRule="exact"/>
                    <w:jc w:val="center"/>
                    <w:rPr>
                      <w:color w:val="000000"/>
                      <w:szCs w:val="21"/>
                    </w:rPr>
                  </w:pPr>
                  <w:r>
                    <w:rPr>
                      <w:rFonts w:hint="eastAsia"/>
                      <w:color w:val="000000"/>
                      <w:szCs w:val="21"/>
                    </w:rPr>
                    <w:t>相符</w:t>
                  </w:r>
                </w:p>
              </w:tc>
            </w:tr>
          </w:tbl>
          <w:p>
            <w:pPr>
              <w:autoSpaceDE w:val="0"/>
              <w:autoSpaceDN w:val="0"/>
              <w:adjustRightInd w:val="0"/>
              <w:snapToGrid w:val="0"/>
              <w:spacing w:line="460" w:lineRule="exact"/>
              <w:ind w:firstLine="480" w:firstLineChars="200"/>
              <w:rPr>
                <w:color w:val="000000"/>
                <w:kern w:val="0"/>
                <w:sz w:val="24"/>
              </w:rPr>
            </w:pPr>
            <w:r>
              <w:rPr>
                <w:color w:val="000000"/>
                <w:sz w:val="24"/>
              </w:rPr>
              <w:t>由上表可知</w:t>
            </w:r>
            <w:r>
              <w:rPr>
                <w:rFonts w:hint="eastAsia"/>
                <w:color w:val="000000"/>
                <w:kern w:val="0"/>
                <w:sz w:val="24"/>
              </w:rPr>
              <w:t>，项目的建设符合《工业涂装工序挥发性有机物污染防治技术规范》（DB41/T 1946—2020）文件要求。</w:t>
            </w:r>
          </w:p>
          <w:p>
            <w:pPr>
              <w:autoSpaceDE w:val="0"/>
              <w:autoSpaceDN w:val="0"/>
              <w:adjustRightInd w:val="0"/>
              <w:snapToGrid w:val="0"/>
              <w:spacing w:line="460" w:lineRule="exact"/>
              <w:ind w:firstLine="482" w:firstLineChars="200"/>
              <w:rPr>
                <w:b/>
                <w:bCs/>
                <w:color w:val="000000" w:themeColor="text1"/>
                <w:kern w:val="0"/>
                <w:sz w:val="24"/>
                <w:u w:val="single"/>
                <w14:textFill>
                  <w14:solidFill>
                    <w14:schemeClr w14:val="tx1"/>
                  </w14:solidFill>
                </w14:textFill>
              </w:rPr>
            </w:pPr>
            <w:r>
              <w:rPr>
                <w:rFonts w:hint="eastAsia"/>
                <w:b/>
                <w:bCs/>
                <w:color w:val="000000" w:themeColor="text1"/>
                <w:kern w:val="0"/>
                <w:sz w:val="24"/>
                <w:u w:val="single"/>
                <w:lang w:val="en-US" w:eastAsia="zh-CN"/>
                <w14:textFill>
                  <w14:solidFill>
                    <w14:schemeClr w14:val="tx1"/>
                  </w14:solidFill>
                </w14:textFill>
              </w:rPr>
              <w:t>11</w:t>
            </w:r>
            <w:r>
              <w:rPr>
                <w:rFonts w:hint="eastAsia"/>
                <w:b/>
                <w:bCs/>
                <w:color w:val="000000" w:themeColor="text1"/>
                <w:kern w:val="0"/>
                <w:sz w:val="24"/>
                <w:u w:val="single"/>
                <w14:textFill>
                  <w14:solidFill>
                    <w14:schemeClr w14:val="tx1"/>
                  </w14:solidFill>
                </w14:textFill>
              </w:rPr>
              <w:t>、项目与《</w:t>
            </w:r>
            <w:r>
              <w:rPr>
                <w:rFonts w:hint="eastAsia"/>
                <w:b/>
                <w:bCs/>
                <w:color w:val="000000" w:themeColor="text1"/>
                <w:kern w:val="0"/>
                <w:sz w:val="24"/>
                <w:u w:val="single"/>
                <w:lang w:eastAsia="zh-CN"/>
                <w14:textFill>
                  <w14:solidFill>
                    <w14:schemeClr w14:val="tx1"/>
                  </w14:solidFill>
                </w14:textFill>
              </w:rPr>
              <w:t>偃师市</w:t>
            </w:r>
            <w:r>
              <w:rPr>
                <w:rFonts w:hint="eastAsia"/>
                <w:b/>
                <w:bCs/>
                <w:color w:val="000000" w:themeColor="text1"/>
                <w:kern w:val="0"/>
                <w:sz w:val="24"/>
                <w:u w:val="single"/>
                <w14:textFill>
                  <w14:solidFill>
                    <w14:schemeClr w14:val="tx1"/>
                  </w14:solidFill>
                </w14:textFill>
              </w:rPr>
              <w:t>钢制家具行业规范标准（试行）》（偃政办〔2019〕10号）相符性分析</w:t>
            </w:r>
          </w:p>
          <w:p>
            <w:pPr>
              <w:spacing w:line="460" w:lineRule="exact"/>
              <w:ind w:firstLine="482" w:firstLineChars="200"/>
              <w:rPr>
                <w:b/>
                <w:bCs/>
                <w:color w:val="000000" w:themeColor="text1"/>
                <w:sz w:val="24"/>
                <w:szCs w:val="20"/>
                <w:u w:val="single"/>
                <w14:textFill>
                  <w14:solidFill>
                    <w14:schemeClr w14:val="tx1"/>
                  </w14:solidFill>
                </w14:textFill>
              </w:rPr>
            </w:pPr>
            <w:r>
              <w:rPr>
                <w:b/>
                <w:bCs/>
                <w:color w:val="000000" w:themeColor="text1"/>
                <w:sz w:val="24"/>
                <w:u w:val="single"/>
                <w14:textFill>
                  <w14:solidFill>
                    <w14:schemeClr w14:val="tx1"/>
                  </w14:solidFill>
                </w14:textFill>
              </w:rPr>
              <w:t>本项目与之相符性分析详见下表。</w:t>
            </w:r>
          </w:p>
          <w:p>
            <w:pPr>
              <w:pStyle w:val="6"/>
              <w:numPr>
                <w:ilvl w:val="0"/>
                <w:numId w:val="0"/>
              </w:numPr>
              <w:ind w:left="420" w:leftChars="200"/>
              <w:rPr>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表</w:t>
            </w:r>
            <w:r>
              <w:rPr>
                <w:rFonts w:hint="eastAsia"/>
                <w:b/>
                <w:bCs/>
                <w:color w:val="000000" w:themeColor="text1"/>
                <w:u w:val="single"/>
                <w:lang w:val="en-US" w:eastAsia="zh-CN"/>
                <w14:textFill>
                  <w14:solidFill>
                    <w14:schemeClr w14:val="tx1"/>
                  </w14:solidFill>
                </w14:textFill>
              </w:rPr>
              <w:t>8</w:t>
            </w:r>
            <w:r>
              <w:rPr>
                <w:rFonts w:hint="eastAsia"/>
                <w:b/>
                <w:bCs/>
                <w:color w:val="000000" w:themeColor="text1"/>
                <w:u w:val="single"/>
                <w14:textFill>
                  <w14:solidFill>
                    <w14:schemeClr w14:val="tx1"/>
                  </w14:solidFill>
                </w14:textFill>
              </w:rPr>
              <w:t xml:space="preserve">   </w:t>
            </w:r>
            <w:r>
              <w:rPr>
                <w:b/>
                <w:bCs/>
                <w:color w:val="000000" w:themeColor="text1"/>
                <w:u w:val="single"/>
                <w14:textFill>
                  <w14:solidFill>
                    <w14:schemeClr w14:val="tx1"/>
                  </w14:solidFill>
                </w14:textFill>
              </w:rPr>
              <w:t xml:space="preserve"> 项目与</w:t>
            </w:r>
            <w:r>
              <w:rPr>
                <w:rFonts w:hint="eastAsia"/>
                <w:b/>
                <w:bCs/>
                <w:color w:val="000000" w:themeColor="text1"/>
                <w:kern w:val="0"/>
                <w:sz w:val="24"/>
                <w:u w:val="single"/>
                <w14:textFill>
                  <w14:solidFill>
                    <w14:schemeClr w14:val="tx1"/>
                  </w14:solidFill>
                </w14:textFill>
              </w:rPr>
              <w:t>偃政办〔2019〕10号</w:t>
            </w:r>
            <w:r>
              <w:rPr>
                <w:b/>
                <w:bCs/>
                <w:color w:val="000000" w:themeColor="text1"/>
                <w:u w:val="single"/>
                <w14:textFill>
                  <w14:solidFill>
                    <w14:schemeClr w14:val="tx1"/>
                  </w14:solidFill>
                </w14:textFill>
              </w:rPr>
              <w:t>相符性分析</w:t>
            </w:r>
            <w:r>
              <w:rPr>
                <w:rFonts w:hint="eastAsia"/>
                <w:b/>
                <w:bCs/>
                <w:color w:val="000000" w:themeColor="text1"/>
                <w:u w:val="single"/>
                <w14:textFill>
                  <w14:solidFill>
                    <w14:schemeClr w14:val="tx1"/>
                  </w14:solidFill>
                </w14:textFill>
              </w:rPr>
              <w:t>一览表</w:t>
            </w:r>
          </w:p>
          <w:tbl>
            <w:tblPr>
              <w:tblStyle w:val="1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2"/>
              <w:gridCol w:w="3732"/>
              <w:gridCol w:w="2596"/>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2800" w:type="pct"/>
                  <w:gridSpan w:val="2"/>
                  <w:vAlign w:val="center"/>
                </w:tcPr>
                <w:p>
                  <w:pPr>
                    <w:spacing w:line="320" w:lineRule="exact"/>
                    <w:jc w:val="center"/>
                    <w:rPr>
                      <w:b/>
                      <w:bCs/>
                      <w:color w:val="000000" w:themeColor="text1"/>
                      <w:szCs w:val="21"/>
                      <w:u w:val="single"/>
                      <w14:textFill>
                        <w14:solidFill>
                          <w14:schemeClr w14:val="tx1"/>
                        </w14:solidFill>
                      </w14:textFill>
                    </w:rPr>
                  </w:pPr>
                  <w:r>
                    <w:rPr>
                      <w:b/>
                      <w:bCs/>
                      <w:color w:val="000000" w:themeColor="text1"/>
                      <w:szCs w:val="21"/>
                      <w:u w:val="single"/>
                      <w14:textFill>
                        <w14:solidFill>
                          <w14:schemeClr w14:val="tx1"/>
                        </w14:solidFill>
                      </w14:textFill>
                    </w:rPr>
                    <w:t>文件要求</w:t>
                  </w:r>
                </w:p>
              </w:tc>
              <w:tc>
                <w:tcPr>
                  <w:tcW w:w="1610" w:type="pct"/>
                  <w:vAlign w:val="center"/>
                </w:tcPr>
                <w:p>
                  <w:pPr>
                    <w:spacing w:line="320" w:lineRule="exact"/>
                    <w:jc w:val="center"/>
                    <w:rPr>
                      <w:b/>
                      <w:bCs/>
                      <w:color w:val="000000" w:themeColor="text1"/>
                      <w:szCs w:val="21"/>
                      <w:u w:val="single"/>
                      <w14:textFill>
                        <w14:solidFill>
                          <w14:schemeClr w14:val="tx1"/>
                        </w14:solidFill>
                      </w14:textFill>
                    </w:rPr>
                  </w:pPr>
                  <w:r>
                    <w:rPr>
                      <w:b/>
                      <w:bCs/>
                      <w:color w:val="000000" w:themeColor="text1"/>
                      <w:szCs w:val="21"/>
                      <w:u w:val="single"/>
                      <w14:textFill>
                        <w14:solidFill>
                          <w14:schemeClr w14:val="tx1"/>
                        </w14:solidFill>
                      </w14:textFill>
                    </w:rPr>
                    <w:t>项目情况</w:t>
                  </w:r>
                </w:p>
              </w:tc>
              <w:tc>
                <w:tcPr>
                  <w:tcW w:w="588" w:type="pct"/>
                  <w:vAlign w:val="center"/>
                </w:tcPr>
                <w:p>
                  <w:pPr>
                    <w:spacing w:line="320" w:lineRule="exact"/>
                    <w:jc w:val="center"/>
                    <w:rPr>
                      <w:b/>
                      <w:bCs/>
                      <w:color w:val="000000" w:themeColor="text1"/>
                      <w:szCs w:val="21"/>
                      <w:u w:val="single"/>
                      <w14:textFill>
                        <w14:solidFill>
                          <w14:schemeClr w14:val="tx1"/>
                        </w14:solidFill>
                      </w14:textFill>
                    </w:rPr>
                  </w:pPr>
                  <w:r>
                    <w:rPr>
                      <w:b/>
                      <w:bCs/>
                      <w:color w:val="000000" w:themeColor="text1"/>
                      <w:szCs w:val="21"/>
                      <w:u w:val="single"/>
                      <w14:textFill>
                        <w14:solidFill>
                          <w14:schemeClr w14:val="tx1"/>
                        </w14:solidFill>
                      </w14:textFill>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485" w:type="pct"/>
                  <w:vAlign w:val="center"/>
                </w:tcPr>
                <w:p>
                  <w:pPr>
                    <w:spacing w:line="320" w:lineRule="exact"/>
                    <w:jc w:val="center"/>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一、建设条件和生产布局</w:t>
                  </w:r>
                </w:p>
              </w:tc>
              <w:tc>
                <w:tcPr>
                  <w:tcW w:w="2315" w:type="pct"/>
                  <w:vAlign w:val="center"/>
                </w:tcPr>
                <w:p>
                  <w:pPr>
                    <w:spacing w:line="320" w:lineRule="exact"/>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一）新建和扩建钢制办公家具项目应符合国家产业政策和我市产业规划，统筹资源、能源、环境、物流和市场等因素，合理布局，优化产业产品结构，逐步进入园区，提高生产集中度。项目选址应符合城市（城镇或村庄）总体发展规划、土地利用总体规划、土地供应政策和土地使用标准的规定。</w:t>
                  </w:r>
                </w:p>
                <w:p>
                  <w:pPr>
                    <w:spacing w:line="320" w:lineRule="exact"/>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（二）严禁在风景名胜区、生态保护区、自然和文化遗产保护区、饮用水源保护区、城市建成区和非工业规划区等区域内新建钢制办公家具项目。</w:t>
                  </w:r>
                </w:p>
                <w:p>
                  <w:pPr>
                    <w:spacing w:line="320" w:lineRule="exact"/>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（三）钢制办公家具厂区布局要符合《工业企业总平面设计规范》</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GB50187</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、《工业企业设计卫生标准》</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GBZ1</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的要求。</w:t>
                  </w:r>
                </w:p>
                <w:p>
                  <w:pPr>
                    <w:spacing w:line="320" w:lineRule="exact"/>
                    <w:rPr>
                      <w:b/>
                      <w:bCs/>
                      <w:color w:val="000000" w:themeColor="text1"/>
                      <w:szCs w:val="21"/>
                      <w:u w:val="single"/>
                      <w14:textFill>
                        <w14:solidFill>
                          <w14:schemeClr w14:val="tx1"/>
                        </w14:solidFill>
                      </w14:textFill>
                    </w:rPr>
                  </w:pPr>
                </w:p>
              </w:tc>
              <w:tc>
                <w:tcPr>
                  <w:tcW w:w="1610" w:type="pct"/>
                  <w:vAlign w:val="center"/>
                </w:tcPr>
                <w:p>
                  <w:pPr>
                    <w:spacing w:line="320" w:lineRule="exact"/>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14:textFill>
                        <w14:solidFill>
                          <w14:schemeClr w14:val="tx1"/>
                        </w14:solidFill>
                      </w14:textFill>
                    </w:rPr>
                    <w:t>本项目为金属家具制造业，位于高龙镇工业</w:t>
                  </w:r>
                  <w:r>
                    <w:rPr>
                      <w:rFonts w:hint="eastAsia"/>
                      <w:b/>
                      <w:bCs/>
                      <w:color w:val="000000" w:themeColor="text1"/>
                      <w:szCs w:val="21"/>
                      <w:u w:val="single"/>
                      <w:lang w:val="en-US" w:eastAsia="zh-CN"/>
                      <w14:textFill>
                        <w14:solidFill>
                          <w14:schemeClr w14:val="tx1"/>
                        </w14:solidFill>
                      </w14:textFill>
                    </w:rPr>
                    <w:t>园</w:t>
                  </w:r>
                  <w:r>
                    <w:rPr>
                      <w:rFonts w:hint="eastAsia"/>
                      <w:b/>
                      <w:bCs/>
                      <w:color w:val="000000" w:themeColor="text1"/>
                      <w:szCs w:val="21"/>
                      <w:u w:val="single"/>
                      <w14:textFill>
                        <w14:solidFill>
                          <w14:schemeClr w14:val="tx1"/>
                        </w14:solidFill>
                      </w14:textFill>
                    </w:rPr>
                    <w:t>区</w:t>
                  </w:r>
                  <w:r>
                    <w:rPr>
                      <w:rFonts w:hint="eastAsia"/>
                      <w:b/>
                      <w:bCs/>
                      <w:color w:val="000000" w:themeColor="text1"/>
                      <w:szCs w:val="21"/>
                      <w:u w:val="single"/>
                      <w:lang w:val="en-US" w:eastAsia="zh-CN"/>
                      <w14:textFill>
                        <w14:solidFill>
                          <w14:schemeClr w14:val="tx1"/>
                        </w14:solidFill>
                      </w14:textFill>
                    </w:rPr>
                    <w:t>内</w:t>
                  </w:r>
                  <w:r>
                    <w:rPr>
                      <w:rFonts w:hint="eastAsia"/>
                      <w:b/>
                      <w:bCs/>
                      <w:color w:val="000000" w:themeColor="text1"/>
                      <w:szCs w:val="21"/>
                      <w:u w:val="single"/>
                      <w14:textFill>
                        <w14:solidFill>
                          <w14:schemeClr w14:val="tx1"/>
                        </w14:solidFill>
                      </w14:textFill>
                    </w:rPr>
                    <w:t>，项目用地为工业用地，符合土地利用总体规划。根据偃师市规划局出具的文件乡字第（2012）002号（附件5），项目用地符合城乡规划要求</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lang w:val="en-US" w:eastAsia="zh-CN"/>
                      <w14:textFill>
                        <w14:solidFill>
                          <w14:schemeClr w14:val="tx1"/>
                        </w14:solidFill>
                      </w14:textFill>
                    </w:rPr>
                    <w:t>本项目不在</w:t>
                  </w:r>
                  <w:r>
                    <w:rPr>
                      <w:rFonts w:hint="eastAsia"/>
                      <w:b/>
                      <w:bCs/>
                      <w:color w:val="000000" w:themeColor="text1"/>
                      <w:szCs w:val="21"/>
                      <w:u w:val="single"/>
                      <w14:textFill>
                        <w14:solidFill>
                          <w14:schemeClr w14:val="tx1"/>
                        </w14:solidFill>
                      </w14:textFill>
                    </w:rPr>
                    <w:t>在风景名胜区、生态保护区、自然和文化遗产保护区、饮用水源保护区、城市建成区和非工业规划区</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lang w:val="en-US" w:eastAsia="zh-CN"/>
                      <w14:textFill>
                        <w14:solidFill>
                          <w14:schemeClr w14:val="tx1"/>
                        </w14:solidFill>
                      </w14:textFill>
                    </w:rPr>
                    <w:t>厂区布局符合要求。</w:t>
                  </w:r>
                </w:p>
              </w:tc>
              <w:tc>
                <w:tcPr>
                  <w:tcW w:w="588" w:type="pct"/>
                  <w:vAlign w:val="center"/>
                </w:tcPr>
                <w:p>
                  <w:pPr>
                    <w:spacing w:line="320" w:lineRule="exact"/>
                    <w:jc w:val="center"/>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485" w:type="pct"/>
                  <w:vAlign w:val="center"/>
                </w:tcPr>
                <w:p>
                  <w:pPr>
                    <w:spacing w:line="320" w:lineRule="exact"/>
                    <w:jc w:val="center"/>
                    <w:rPr>
                      <w:rFonts w:hint="eastAsia"/>
                      <w:b/>
                      <w:bCs/>
                      <w:color w:val="000000" w:themeColor="text1"/>
                      <w:szCs w:val="21"/>
                      <w:u w:val="single"/>
                      <w14:textFill>
                        <w14:solidFill>
                          <w14:schemeClr w14:val="tx1"/>
                        </w14:solidFill>
                      </w14:textFill>
                    </w:rPr>
                  </w:pPr>
                  <w:r>
                    <w:rPr>
                      <w:rFonts w:hint="eastAsia" w:ascii="Times New Roman" w:hAnsi="Times New Roman" w:cs="Times New Roman"/>
                      <w:b/>
                      <w:bCs/>
                      <w:color w:val="000000" w:themeColor="text1"/>
                      <w:szCs w:val="21"/>
                      <w:u w:val="single"/>
                      <w14:textFill>
                        <w14:solidFill>
                          <w14:schemeClr w14:val="tx1"/>
                        </w14:solidFill>
                      </w14:textFill>
                    </w:rPr>
                    <w:t>二、工艺与装备</w:t>
                  </w:r>
                </w:p>
              </w:tc>
              <w:tc>
                <w:tcPr>
                  <w:tcW w:w="2315" w:type="pct"/>
                  <w:vAlign w:val="center"/>
                </w:tcPr>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（一）采用《产业结构调整指导目录》鼓励类工艺和装备，使用列入《节能机电设备</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产品</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推荐目录》的产品或能效标准达到1级的机电设备。</w:t>
                  </w:r>
                </w:p>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（二）不</w:t>
                  </w:r>
                  <w:r>
                    <w:rPr>
                      <w:rFonts w:hint="eastAsia"/>
                      <w:b/>
                      <w:bCs/>
                      <w:color w:val="000000" w:themeColor="text1"/>
                      <w:szCs w:val="21"/>
                      <w:u w:val="single"/>
                      <w:lang w:eastAsia="zh-CN"/>
                      <w14:textFill>
                        <w14:solidFill>
                          <w14:schemeClr w14:val="tx1"/>
                        </w14:solidFill>
                      </w14:textFill>
                    </w:rPr>
                    <w:t>得</w:t>
                  </w:r>
                  <w:r>
                    <w:rPr>
                      <w:rFonts w:hint="eastAsia"/>
                      <w:b/>
                      <w:bCs/>
                      <w:color w:val="000000" w:themeColor="text1"/>
                      <w:szCs w:val="21"/>
                      <w:u w:val="single"/>
                      <w14:textFill>
                        <w14:solidFill>
                          <w14:schemeClr w14:val="tx1"/>
                        </w14:solidFill>
                      </w14:textFill>
                    </w:rPr>
                    <w:t>采用《部分工业行业淘汰落后生产工艺装备和产品指导目录》《高耗能落后机电设备</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产品</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淘汰目录》等明令淘汰、限制的工艺和装备。</w:t>
                  </w:r>
                </w:p>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（三）使用本质安全的技术和装备，安全设备符合国家标准或行业标准，全面提升企业管理信息化、生产自动化水平。</w:t>
                  </w:r>
                </w:p>
              </w:tc>
              <w:tc>
                <w:tcPr>
                  <w:tcW w:w="1610" w:type="pct"/>
                  <w:vAlign w:val="center"/>
                </w:tcPr>
                <w:p>
                  <w:pPr>
                    <w:spacing w:line="320" w:lineRule="exact"/>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本项目所采用工艺与设备属于</w:t>
                  </w:r>
                  <w:r>
                    <w:rPr>
                      <w:rFonts w:hint="eastAsia"/>
                      <w:b/>
                      <w:bCs/>
                      <w:color w:val="000000" w:themeColor="text1"/>
                      <w:szCs w:val="21"/>
                      <w:u w:val="single"/>
                      <w14:textFill>
                        <w14:solidFill>
                          <w14:schemeClr w14:val="tx1"/>
                        </w14:solidFill>
                      </w14:textFill>
                    </w:rPr>
                    <w:t>《产业结构调整指导目录》鼓励类工艺和装备</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lang w:val="en-US" w:eastAsia="zh-CN"/>
                      <w14:textFill>
                        <w14:solidFill>
                          <w14:schemeClr w14:val="tx1"/>
                        </w14:solidFill>
                      </w14:textFill>
                    </w:rPr>
                    <w:t>均不在《河南省部分工业行业淘汰落后生产工艺装备和产品目录》、《高耗能落后机电设备(产品)淘汰目录》第一批、第二批、第三批和第四批范围内，所使用设备</w:t>
                  </w:r>
                  <w:r>
                    <w:rPr>
                      <w:rFonts w:hint="eastAsia"/>
                      <w:b/>
                      <w:bCs/>
                      <w:color w:val="000000" w:themeColor="text1"/>
                      <w:szCs w:val="21"/>
                      <w:u w:val="single"/>
                      <w14:textFill>
                        <w14:solidFill>
                          <w14:schemeClr w14:val="tx1"/>
                        </w14:solidFill>
                      </w14:textFill>
                    </w:rPr>
                    <w:t>符合国家标准或行业标准</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lang w:val="en-US" w:eastAsia="zh-CN"/>
                      <w14:textFill>
                        <w14:solidFill>
                          <w14:schemeClr w14:val="tx1"/>
                        </w14:solidFill>
                      </w14:textFill>
                    </w:rPr>
                    <w:t>项目建成后将不断提升</w:t>
                  </w:r>
                  <w:r>
                    <w:rPr>
                      <w:rFonts w:hint="eastAsia"/>
                      <w:b/>
                      <w:bCs/>
                      <w:color w:val="000000" w:themeColor="text1"/>
                      <w:szCs w:val="21"/>
                      <w:u w:val="single"/>
                      <w14:textFill>
                        <w14:solidFill>
                          <w14:schemeClr w14:val="tx1"/>
                        </w14:solidFill>
                      </w14:textFill>
                    </w:rPr>
                    <w:t>企业管理信息化、生产自动化水平。</w:t>
                  </w:r>
                </w:p>
              </w:tc>
              <w:tc>
                <w:tcPr>
                  <w:tcW w:w="588" w:type="pct"/>
                  <w:vAlign w:val="center"/>
                </w:tcPr>
                <w:p>
                  <w:pPr>
                    <w:spacing w:line="320" w:lineRule="exact"/>
                    <w:jc w:val="center"/>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485" w:type="pct"/>
                  <w:vAlign w:val="center"/>
                </w:tcPr>
                <w:p>
                  <w:pPr>
                    <w:spacing w:line="320" w:lineRule="exact"/>
                    <w:jc w:val="center"/>
                    <w:rPr>
                      <w:rFonts w:hint="eastAsia" w:ascii="Times New Roman" w:hAnsi="Times New Roman" w:cs="Times New Roman"/>
                      <w:b/>
                      <w:bCs/>
                      <w:color w:val="000000" w:themeColor="text1"/>
                      <w:szCs w:val="21"/>
                      <w:u w:val="single"/>
                      <w14:textFill>
                        <w14:solidFill>
                          <w14:schemeClr w14:val="tx1"/>
                        </w14:solidFill>
                      </w14:textFill>
                    </w:rPr>
                  </w:pPr>
                  <w:r>
                    <w:rPr>
                      <w:rFonts w:hint="eastAsia" w:ascii="Times New Roman" w:hAnsi="Times New Roman" w:cs="Times New Roman"/>
                      <w:b/>
                      <w:bCs/>
                      <w:color w:val="000000" w:themeColor="text1"/>
                      <w:szCs w:val="21"/>
                      <w:u w:val="single"/>
                      <w14:textFill>
                        <w14:solidFill>
                          <w14:schemeClr w14:val="tx1"/>
                        </w14:solidFill>
                      </w14:textFill>
                    </w:rPr>
                    <w:t>三、质量管理</w:t>
                  </w:r>
                </w:p>
              </w:tc>
              <w:tc>
                <w:tcPr>
                  <w:tcW w:w="2315" w:type="pct"/>
                  <w:vAlign w:val="center"/>
                </w:tcPr>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1</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焊接烟尘：采取工位集中布置，在工位上设置集气罩，集气罩的投影面积大于工作台面，集气效率及风量以设备、设施满负荷运行时没有烟尘外溢为准。收集后废气经袋式除尘器，除尘器设计除尘效率大于95%,处理达标后通过不低于</w:t>
                  </w:r>
                  <w:r>
                    <w:rPr>
                      <w:rFonts w:hint="eastAsia"/>
                      <w:b/>
                      <w:bCs/>
                      <w:color w:val="000000" w:themeColor="text1"/>
                      <w:szCs w:val="21"/>
                      <w:u w:val="single"/>
                      <w:lang w:eastAsia="zh-CN"/>
                      <w14:textFill>
                        <w14:solidFill>
                          <w14:schemeClr w14:val="tx1"/>
                        </w14:solidFill>
                      </w14:textFill>
                    </w:rPr>
                    <w:t>15米高</w:t>
                  </w:r>
                  <w:r>
                    <w:rPr>
                      <w:rFonts w:hint="eastAsia"/>
                      <w:b/>
                      <w:bCs/>
                      <w:color w:val="000000" w:themeColor="text1"/>
                      <w:szCs w:val="21"/>
                      <w:u w:val="single"/>
                      <w14:textFill>
                        <w14:solidFill>
                          <w14:schemeClr w14:val="tx1"/>
                        </w14:solidFill>
                      </w14:textFill>
                    </w:rPr>
                    <w:t>排气筒排放，污染物排放应满足《大气污染物综合排放标准》（GB16297-1996）二级标准。</w:t>
                  </w:r>
                </w:p>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3</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喷粉间粉尘：喷粉室内整体（含进出口区域）要形成负压，杜绝粉尘外溢。喷粉室顶部（含轨道）、自动喷枪设备要密闭到位，在喷粉室上部及扩大封闭区域的顶部分别设置集气管提高集气效率，集气效率及风量以设备、设施满负荷运行时没有粉尘外溢为准。收集后废气经旋风除尘器+袋式除尘器或滤筒除尘器二级除尘器（经两级除尘器后的设计总除尘效率大于98%），处理后由不低于</w:t>
                  </w:r>
                  <w:r>
                    <w:rPr>
                      <w:rFonts w:hint="eastAsia"/>
                      <w:b/>
                      <w:bCs/>
                      <w:color w:val="000000" w:themeColor="text1"/>
                      <w:szCs w:val="21"/>
                      <w:u w:val="single"/>
                      <w:lang w:eastAsia="zh-CN"/>
                      <w14:textFill>
                        <w14:solidFill>
                          <w14:schemeClr w14:val="tx1"/>
                        </w14:solidFill>
                      </w14:textFill>
                    </w:rPr>
                    <w:t>15米</w:t>
                  </w:r>
                  <w:r>
                    <w:rPr>
                      <w:rFonts w:hint="eastAsia"/>
                      <w:b/>
                      <w:bCs/>
                      <w:color w:val="000000" w:themeColor="text1"/>
                      <w:szCs w:val="21"/>
                      <w:u w:val="single"/>
                      <w14:textFill>
                        <w14:solidFill>
                          <w14:schemeClr w14:val="tx1"/>
                        </w14:solidFill>
                      </w14:textFill>
                    </w:rPr>
                    <w:t>高排气筒排放；污染物排放应满足《大气污染物综合排放标准》（GB16297-1996）二级标准。</w:t>
                  </w:r>
                </w:p>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4</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激光切割粉尘：采取有效废气收集方式，集气效率及风量以设备、设施满负荷运行时没有烟尘外溢为准。收集后废气经袋式除尘器处理</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袋式除尘器设计除尘效率大于95%</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,处理后由不低于</w:t>
                  </w:r>
                  <w:r>
                    <w:rPr>
                      <w:rFonts w:hint="eastAsia"/>
                      <w:b/>
                      <w:bCs/>
                      <w:color w:val="000000" w:themeColor="text1"/>
                      <w:szCs w:val="21"/>
                      <w:u w:val="single"/>
                      <w:lang w:eastAsia="zh-CN"/>
                      <w14:textFill>
                        <w14:solidFill>
                          <w14:schemeClr w14:val="tx1"/>
                        </w14:solidFill>
                      </w14:textFill>
                    </w:rPr>
                    <w:t>15米</w:t>
                  </w:r>
                  <w:r>
                    <w:rPr>
                      <w:rFonts w:hint="eastAsia"/>
                      <w:b/>
                      <w:bCs/>
                      <w:color w:val="000000" w:themeColor="text1"/>
                      <w:szCs w:val="21"/>
                      <w:u w:val="single"/>
                      <w14:textFill>
                        <w14:solidFill>
                          <w14:schemeClr w14:val="tx1"/>
                        </w14:solidFill>
                      </w14:textFill>
                    </w:rPr>
                    <w:t>高排气筒排放；污染物排放应满足《大气污染物综合排放标准》（GB16297-1996）二级标准。</w:t>
                  </w:r>
                </w:p>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5</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烘干固化产生的废气</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含非甲烷总烃</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w:t>
                  </w:r>
                </w:p>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（1）烘干房废气：采用烘房出口上方设置集气罩，集气罩宽度与单侧门同宽，长度应大于烘房安置集气罩侧长度，集气效率及风量以设备、设施满负荷运行时没有烟尘外溢为准。</w:t>
                  </w:r>
                </w:p>
                <w:p>
                  <w:pPr>
                    <w:spacing w:line="320" w:lineRule="exact"/>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（3）非甲烷总烃废气处理：采用吸附、吸收或焚烧方式处理。采用吸附、吸收方法处理的应明确吸附吸收介质的更换周期</w:t>
                  </w:r>
                  <w:r>
                    <w:rPr>
                      <w:rFonts w:hint="eastAsia"/>
                      <w:b/>
                      <w:bCs/>
                      <w:color w:val="000000" w:themeColor="text1"/>
                      <w:szCs w:val="21"/>
                      <w:u w:val="single"/>
                      <w:lang w:eastAsia="zh-CN"/>
                      <w14:textFill>
                        <w14:solidFill>
                          <w14:schemeClr w14:val="tx1"/>
                        </w14:solidFill>
                      </w14:textFill>
                    </w:rPr>
                    <w:t>，</w:t>
                  </w:r>
                  <w:r>
                    <w:rPr>
                      <w:rFonts w:hint="eastAsia"/>
                      <w:b/>
                      <w:bCs/>
                      <w:color w:val="000000" w:themeColor="text1"/>
                      <w:szCs w:val="21"/>
                      <w:u w:val="single"/>
                      <w14:textFill>
                        <w14:solidFill>
                          <w14:schemeClr w14:val="tx1"/>
                        </w14:solidFill>
                      </w14:textFill>
                    </w:rPr>
                    <w:t>确保污染物去除效率不低于80%，非甲烷总烃满足《关于全省开展工业企业挥发性有机物专项治理工作中排放建议值的通知》（豫环攻坚办〔2017〕162号）表面涂装业挥发性有机物排放建议值（非甲烷总烃排放浓度60</w:t>
                  </w:r>
                  <w:r>
                    <w:rPr>
                      <w:rFonts w:hint="eastAsia"/>
                      <w:b/>
                      <w:bCs/>
                      <w:color w:val="000000" w:themeColor="text1"/>
                      <w:szCs w:val="21"/>
                      <w:u w:val="single"/>
                      <w:lang w:eastAsia="zh-CN"/>
                      <w14:textFill>
                        <w14:solidFill>
                          <w14:schemeClr w14:val="tx1"/>
                        </w14:solidFill>
                      </w14:textFill>
                    </w:rPr>
                    <w:t>毫克</w:t>
                  </w:r>
                  <w:r>
                    <w:rPr>
                      <w:rFonts w:hint="eastAsia"/>
                      <w:b/>
                      <w:bCs/>
                      <w:color w:val="000000" w:themeColor="text1"/>
                      <w:szCs w:val="21"/>
                      <w:u w:val="single"/>
                      <w14:textFill>
                        <w14:solidFill>
                          <w14:schemeClr w14:val="tx1"/>
                        </w14:solidFill>
                      </w14:textFill>
                    </w:rPr>
                    <w:t>/</w:t>
                  </w:r>
                  <w:r>
                    <w:rPr>
                      <w:rFonts w:hint="eastAsia"/>
                      <w:b/>
                      <w:bCs/>
                      <w:color w:val="000000" w:themeColor="text1"/>
                      <w:szCs w:val="21"/>
                      <w:u w:val="single"/>
                      <w:lang w:eastAsia="zh-CN"/>
                      <w14:textFill>
                        <w14:solidFill>
                          <w14:schemeClr w14:val="tx1"/>
                        </w14:solidFill>
                      </w14:textFill>
                    </w:rPr>
                    <w:t>立方米</w:t>
                  </w:r>
                  <w:r>
                    <w:rPr>
                      <w:rFonts w:hint="eastAsia"/>
                      <w:b/>
                      <w:bCs/>
                      <w:color w:val="000000" w:themeColor="text1"/>
                      <w:szCs w:val="21"/>
                      <w:u w:val="single"/>
                      <w14:textFill>
                        <w14:solidFill>
                          <w14:schemeClr w14:val="tx1"/>
                        </w14:solidFill>
                      </w14:textFill>
                    </w:rPr>
                    <w:t>）的要求。废气应通过不低于</w:t>
                  </w:r>
                  <w:r>
                    <w:rPr>
                      <w:rFonts w:hint="eastAsia"/>
                      <w:b/>
                      <w:bCs/>
                      <w:color w:val="000000" w:themeColor="text1"/>
                      <w:szCs w:val="21"/>
                      <w:u w:val="single"/>
                      <w:lang w:eastAsia="zh-CN"/>
                      <w14:textFill>
                        <w14:solidFill>
                          <w14:schemeClr w14:val="tx1"/>
                        </w14:solidFill>
                      </w14:textFill>
                    </w:rPr>
                    <w:t>15米高</w:t>
                  </w:r>
                  <w:r>
                    <w:rPr>
                      <w:rFonts w:hint="eastAsia"/>
                      <w:b/>
                      <w:bCs/>
                      <w:color w:val="000000" w:themeColor="text1"/>
                      <w:szCs w:val="21"/>
                      <w:u w:val="single"/>
                      <w14:textFill>
                        <w14:solidFill>
                          <w14:schemeClr w14:val="tx1"/>
                        </w14:solidFill>
                      </w14:textFill>
                    </w:rPr>
                    <w:t>排气筒排放。</w:t>
                  </w:r>
                </w:p>
              </w:tc>
              <w:tc>
                <w:tcPr>
                  <w:tcW w:w="1610" w:type="pct"/>
                  <w:vAlign w:val="center"/>
                </w:tcPr>
                <w:p>
                  <w:pPr>
                    <w:spacing w:line="320" w:lineRule="exact"/>
                    <w:rPr>
                      <w:rFonts w:hint="eastAsia"/>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本项目焊接工位二次密闭，在工位上放射至集气罩，</w:t>
                  </w:r>
                  <w:r>
                    <w:rPr>
                      <w:rFonts w:hint="eastAsia"/>
                      <w:b/>
                      <w:bCs/>
                      <w:color w:val="000000" w:themeColor="text1"/>
                      <w:szCs w:val="21"/>
                      <w:u w:val="single"/>
                      <w14:textFill>
                        <w14:solidFill>
                          <w14:schemeClr w14:val="tx1"/>
                        </w14:solidFill>
                      </w14:textFill>
                    </w:rPr>
                    <w:t>集气罩的投影面积大于工作台</w:t>
                  </w:r>
                  <w:r>
                    <w:rPr>
                      <w:rFonts w:hint="eastAsia"/>
                      <w:b/>
                      <w:bCs/>
                      <w:color w:val="000000" w:themeColor="text1"/>
                      <w:szCs w:val="21"/>
                      <w:u w:val="single"/>
                      <w:lang w:val="en-US" w:eastAsia="zh-CN"/>
                      <w14:textFill>
                        <w14:solidFill>
                          <w14:schemeClr w14:val="tx1"/>
                        </w14:solidFill>
                      </w14:textFill>
                    </w:rPr>
                    <w:t>面，废气经收集引入袋式除尘器处理后由1根15m高排气筒排放，除尘器净化效率为99%，经处理后其颗粒物排放</w:t>
                  </w:r>
                  <w:r>
                    <w:rPr>
                      <w:rFonts w:hint="eastAsia"/>
                      <w:b/>
                      <w:bCs/>
                      <w:color w:val="000000" w:themeColor="text1"/>
                      <w:szCs w:val="21"/>
                      <w:u w:val="single"/>
                      <w14:textFill>
                        <w14:solidFill>
                          <w14:schemeClr w14:val="tx1"/>
                        </w14:solidFill>
                      </w14:textFill>
                    </w:rPr>
                    <w:t>满足《大气污染物综合排放标准》（GB16297-1996）二级标准</w:t>
                  </w:r>
                  <w:r>
                    <w:rPr>
                      <w:rFonts w:hint="eastAsia"/>
                      <w:b/>
                      <w:bCs/>
                      <w:color w:val="000000" w:themeColor="text1"/>
                      <w:szCs w:val="21"/>
                      <w:u w:val="single"/>
                      <w:lang w:val="en-US" w:eastAsia="zh-CN"/>
                      <w14:textFill>
                        <w14:solidFill>
                          <w14:schemeClr w14:val="tx1"/>
                        </w14:solidFill>
                      </w14:textFill>
                    </w:rPr>
                    <w:t>；</w:t>
                  </w:r>
                </w:p>
                <w:p>
                  <w:pPr>
                    <w:spacing w:line="320" w:lineRule="exact"/>
                    <w:rPr>
                      <w:rFonts w:hint="eastAsia"/>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本项目喷粉室内，通过风机产生负压，废气</w:t>
                  </w:r>
                  <w:r>
                    <w:rPr>
                      <w:rFonts w:hint="eastAsia" w:eastAsia="宋体"/>
                      <w:b/>
                      <w:bCs/>
                      <w:color w:val="000000" w:themeColor="text1"/>
                      <w:szCs w:val="21"/>
                      <w:u w:val="single"/>
                      <w:lang w:val="en-US" w:eastAsia="zh-CN"/>
                      <w14:textFill>
                        <w14:solidFill>
                          <w14:schemeClr w14:val="tx1"/>
                        </w14:solidFill>
                      </w14:textFill>
                    </w:rPr>
                    <w:t>经1套旋风除尘+滤筒二级除尘设施处理后由15m高排气筒排放</w:t>
                  </w:r>
                  <w:r>
                    <w:rPr>
                      <w:rFonts w:hint="eastAsia"/>
                      <w:b/>
                      <w:bCs/>
                      <w:color w:val="000000" w:themeColor="text1"/>
                      <w:szCs w:val="21"/>
                      <w:u w:val="single"/>
                      <w:lang w:val="en-US" w:eastAsia="zh-CN"/>
                      <w14:textFill>
                        <w14:solidFill>
                          <w14:schemeClr w14:val="tx1"/>
                        </w14:solidFill>
                      </w14:textFill>
                    </w:rPr>
                    <w:t>，二级除尘对颗粒物总去除效率为98.5%，经净化处理后污染物</w:t>
                  </w:r>
                  <w:r>
                    <w:rPr>
                      <w:rFonts w:hint="eastAsia"/>
                      <w:b/>
                      <w:bCs/>
                      <w:color w:val="000000" w:themeColor="text1"/>
                      <w:szCs w:val="21"/>
                      <w:u w:val="single"/>
                      <w14:textFill>
                        <w14:solidFill>
                          <w14:schemeClr w14:val="tx1"/>
                        </w14:solidFill>
                      </w14:textFill>
                    </w:rPr>
                    <w:t>满足《大气污染物综合排放标准》（GB16297-1996）二级标准</w:t>
                  </w:r>
                  <w:r>
                    <w:rPr>
                      <w:rFonts w:hint="eastAsia"/>
                      <w:b/>
                      <w:bCs/>
                      <w:color w:val="000000" w:themeColor="text1"/>
                      <w:szCs w:val="21"/>
                      <w:u w:val="single"/>
                      <w:lang w:eastAsia="zh-CN"/>
                      <w14:textFill>
                        <w14:solidFill>
                          <w14:schemeClr w14:val="tx1"/>
                        </w14:solidFill>
                      </w14:textFill>
                    </w:rPr>
                    <w:t>；</w:t>
                  </w:r>
                </w:p>
                <w:p>
                  <w:pPr>
                    <w:spacing w:line="320" w:lineRule="exact"/>
                    <w:rPr>
                      <w:rFonts w:hint="eastAsia"/>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本项目在切割机上方设置集气罩，废气经收集引入袋式除尘器处理后与焊接粉尘共用1根15m高排气筒排放，除尘器净化效率为99%，经处理后其颗粒物排放</w:t>
                  </w:r>
                  <w:r>
                    <w:rPr>
                      <w:rFonts w:hint="eastAsia"/>
                      <w:b/>
                      <w:bCs/>
                      <w:color w:val="000000" w:themeColor="text1"/>
                      <w:szCs w:val="21"/>
                      <w:u w:val="single"/>
                      <w14:textFill>
                        <w14:solidFill>
                          <w14:schemeClr w14:val="tx1"/>
                        </w14:solidFill>
                      </w14:textFill>
                    </w:rPr>
                    <w:t>满足《大气污染物综合排放标准》（GB16297-1996）二级标准</w:t>
                  </w:r>
                  <w:r>
                    <w:rPr>
                      <w:rFonts w:hint="eastAsia"/>
                      <w:b/>
                      <w:bCs/>
                      <w:color w:val="000000" w:themeColor="text1"/>
                      <w:szCs w:val="21"/>
                      <w:u w:val="single"/>
                      <w:lang w:val="en-US" w:eastAsia="zh-CN"/>
                      <w14:textFill>
                        <w14:solidFill>
                          <w14:schemeClr w14:val="tx1"/>
                        </w14:solidFill>
                      </w14:textFill>
                    </w:rPr>
                    <w:t>；</w:t>
                  </w:r>
                </w:p>
                <w:p>
                  <w:pPr>
                    <w:spacing w:line="320" w:lineRule="exact"/>
                    <w:rPr>
                      <w:rFonts w:hint="eastAsia"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本项目设置一个电加热烘干房，在烘干房进出口上方设置集气罩，将有机废气引入1套UV光氧+活性炭吸附装置处理后与喷塑粉尘共用1根15m高排气筒排放，污染物去除效率为82.5%，经净化处理后</w:t>
                  </w:r>
                  <w:r>
                    <w:rPr>
                      <w:rFonts w:hint="eastAsia"/>
                      <w:b/>
                      <w:bCs/>
                      <w:color w:val="000000" w:themeColor="text1"/>
                      <w:szCs w:val="21"/>
                      <w:u w:val="single"/>
                      <w14:textFill>
                        <w14:solidFill>
                          <w14:schemeClr w14:val="tx1"/>
                        </w14:solidFill>
                      </w14:textFill>
                    </w:rPr>
                    <w:t>非甲烷总烃满足《关于全省开展工业企业挥发性有机物专项治理工作中排放建议值的通知》（豫环攻坚办〔2017〕162号）表面涂装业挥发性有机物排放建议值（非甲烷总烃排放浓度60</w:t>
                  </w:r>
                  <w:r>
                    <w:rPr>
                      <w:rFonts w:hint="eastAsia"/>
                      <w:b/>
                      <w:bCs/>
                      <w:color w:val="000000" w:themeColor="text1"/>
                      <w:szCs w:val="21"/>
                      <w:u w:val="single"/>
                      <w:lang w:eastAsia="zh-CN"/>
                      <w14:textFill>
                        <w14:solidFill>
                          <w14:schemeClr w14:val="tx1"/>
                        </w14:solidFill>
                      </w14:textFill>
                    </w:rPr>
                    <w:t>毫克</w:t>
                  </w:r>
                  <w:r>
                    <w:rPr>
                      <w:rFonts w:hint="eastAsia"/>
                      <w:b/>
                      <w:bCs/>
                      <w:color w:val="000000" w:themeColor="text1"/>
                      <w:szCs w:val="21"/>
                      <w:u w:val="single"/>
                      <w14:textFill>
                        <w14:solidFill>
                          <w14:schemeClr w14:val="tx1"/>
                        </w14:solidFill>
                      </w14:textFill>
                    </w:rPr>
                    <w:t>/</w:t>
                  </w:r>
                  <w:r>
                    <w:rPr>
                      <w:rFonts w:hint="eastAsia"/>
                      <w:b/>
                      <w:bCs/>
                      <w:color w:val="000000" w:themeColor="text1"/>
                      <w:szCs w:val="21"/>
                      <w:u w:val="single"/>
                      <w:lang w:eastAsia="zh-CN"/>
                      <w14:textFill>
                        <w14:solidFill>
                          <w14:schemeClr w14:val="tx1"/>
                        </w14:solidFill>
                      </w14:textFill>
                    </w:rPr>
                    <w:t>立方米</w:t>
                  </w:r>
                  <w:r>
                    <w:rPr>
                      <w:rFonts w:hint="eastAsia"/>
                      <w:b/>
                      <w:bCs/>
                      <w:color w:val="000000" w:themeColor="text1"/>
                      <w:szCs w:val="21"/>
                      <w:u w:val="single"/>
                      <w14:textFill>
                        <w14:solidFill>
                          <w14:schemeClr w14:val="tx1"/>
                        </w14:solidFill>
                      </w14:textFill>
                    </w:rPr>
                    <w:t>）的要求</w:t>
                  </w:r>
                  <w:r>
                    <w:rPr>
                      <w:rFonts w:hint="eastAsia"/>
                      <w:b/>
                      <w:bCs/>
                      <w:color w:val="000000" w:themeColor="text1"/>
                      <w:szCs w:val="21"/>
                      <w:u w:val="single"/>
                      <w:lang w:eastAsia="zh-CN"/>
                      <w14:textFill>
                        <w14:solidFill>
                          <w14:schemeClr w14:val="tx1"/>
                        </w14:solidFill>
                      </w14:textFill>
                    </w:rPr>
                    <w:t>。</w:t>
                  </w:r>
                </w:p>
              </w:tc>
              <w:tc>
                <w:tcPr>
                  <w:tcW w:w="588" w:type="pct"/>
                  <w:vAlign w:val="center"/>
                </w:tcPr>
                <w:p>
                  <w:pPr>
                    <w:spacing w:line="320" w:lineRule="exact"/>
                    <w:jc w:val="center"/>
                    <w:rPr>
                      <w:rFonts w:hint="eastAsia"/>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相符</w:t>
                  </w:r>
                </w:p>
              </w:tc>
            </w:tr>
          </w:tbl>
          <w:p>
            <w:pPr>
              <w:autoSpaceDE w:val="0"/>
              <w:autoSpaceDN w:val="0"/>
              <w:adjustRightInd w:val="0"/>
              <w:snapToGrid w:val="0"/>
              <w:spacing w:line="460" w:lineRule="exact"/>
              <w:ind w:firstLine="482" w:firstLineChars="200"/>
              <w:rPr>
                <w:b/>
                <w:bCs/>
                <w:color w:val="000000" w:themeColor="text1"/>
                <w:kern w:val="0"/>
                <w:sz w:val="24"/>
                <w:u w:val="single"/>
                <w14:textFill>
                  <w14:solidFill>
                    <w14:schemeClr w14:val="tx1"/>
                  </w14:solidFill>
                </w14:textFill>
              </w:rPr>
            </w:pPr>
            <w:r>
              <w:rPr>
                <w:b/>
                <w:bCs/>
                <w:color w:val="000000" w:themeColor="text1"/>
                <w:sz w:val="24"/>
                <w:u w:val="single"/>
                <w14:textFill>
                  <w14:solidFill>
                    <w14:schemeClr w14:val="tx1"/>
                  </w14:solidFill>
                </w14:textFill>
              </w:rPr>
              <w:t>由上表可知</w:t>
            </w:r>
            <w:r>
              <w:rPr>
                <w:rFonts w:hint="eastAsia"/>
                <w:b/>
                <w:bCs/>
                <w:color w:val="000000" w:themeColor="text1"/>
                <w:kern w:val="0"/>
                <w:sz w:val="24"/>
                <w:u w:val="single"/>
                <w14:textFill>
                  <w14:solidFill>
                    <w14:schemeClr w14:val="tx1"/>
                  </w14:solidFill>
                </w14:textFill>
              </w:rPr>
              <w:t>，项目的建设符合《</w:t>
            </w:r>
            <w:r>
              <w:rPr>
                <w:rFonts w:hint="eastAsia"/>
                <w:b/>
                <w:bCs/>
                <w:color w:val="000000" w:themeColor="text1"/>
                <w:kern w:val="0"/>
                <w:sz w:val="24"/>
                <w:u w:val="single"/>
                <w:lang w:eastAsia="zh-CN"/>
                <w14:textFill>
                  <w14:solidFill>
                    <w14:schemeClr w14:val="tx1"/>
                  </w14:solidFill>
                </w14:textFill>
              </w:rPr>
              <w:t>偃师市</w:t>
            </w:r>
            <w:r>
              <w:rPr>
                <w:rFonts w:hint="eastAsia"/>
                <w:b/>
                <w:bCs/>
                <w:color w:val="000000" w:themeColor="text1"/>
                <w:kern w:val="0"/>
                <w:sz w:val="24"/>
                <w:u w:val="single"/>
                <w14:textFill>
                  <w14:solidFill>
                    <w14:schemeClr w14:val="tx1"/>
                  </w14:solidFill>
                </w14:textFill>
              </w:rPr>
              <w:t>钢制家具行业规范标准（试行）》（偃政办〔2019〕10号）文件要求。</w:t>
            </w:r>
          </w:p>
          <w:p>
            <w:pPr>
              <w:autoSpaceDE w:val="0"/>
              <w:autoSpaceDN w:val="0"/>
              <w:adjustRightInd w:val="0"/>
              <w:snapToGrid w:val="0"/>
              <w:spacing w:line="460" w:lineRule="exact"/>
              <w:ind w:firstLine="480" w:firstLineChars="200"/>
              <w:rPr>
                <w:color w:val="000000"/>
                <w:kern w:val="0"/>
                <w:sz w:val="24"/>
              </w:rPr>
            </w:pPr>
          </w:p>
          <w:p>
            <w:pPr>
              <w:autoSpaceDE w:val="0"/>
              <w:autoSpaceDN w:val="0"/>
              <w:adjustRightInd w:val="0"/>
              <w:snapToGrid w:val="0"/>
              <w:spacing w:line="460" w:lineRule="exact"/>
              <w:ind w:firstLine="480" w:firstLineChars="200"/>
              <w:rPr>
                <w:color w:val="000000"/>
                <w:kern w:val="0"/>
                <w:sz w:val="24"/>
              </w:rPr>
            </w:pPr>
          </w:p>
          <w:p>
            <w:pPr>
              <w:autoSpaceDE w:val="0"/>
              <w:autoSpaceDN w:val="0"/>
              <w:adjustRightInd w:val="0"/>
              <w:snapToGrid w:val="0"/>
              <w:spacing w:line="460" w:lineRule="exact"/>
              <w:ind w:firstLine="480" w:firstLineChars="200"/>
              <w:rPr>
                <w:color w:val="000000"/>
                <w:kern w:val="0"/>
                <w:sz w:val="24"/>
              </w:rPr>
            </w:pPr>
          </w:p>
          <w:p>
            <w:pPr>
              <w:autoSpaceDE w:val="0"/>
              <w:autoSpaceDN w:val="0"/>
              <w:adjustRightInd w:val="0"/>
              <w:snapToGrid w:val="0"/>
              <w:spacing w:line="460" w:lineRule="exact"/>
              <w:ind w:firstLine="480" w:firstLineChars="200"/>
              <w:rPr>
                <w:color w:val="000000"/>
                <w:kern w:val="0"/>
                <w:sz w:val="24"/>
              </w:rPr>
            </w:pPr>
          </w:p>
          <w:p>
            <w:pPr>
              <w:autoSpaceDE w:val="0"/>
              <w:autoSpaceDN w:val="0"/>
              <w:adjustRightInd w:val="0"/>
              <w:snapToGrid w:val="0"/>
              <w:spacing w:line="460" w:lineRule="exact"/>
              <w:rPr>
                <w:color w:val="000000"/>
                <w:kern w:val="0"/>
                <w:sz w:val="24"/>
              </w:rPr>
            </w:pPr>
          </w:p>
          <w:p>
            <w:pPr>
              <w:autoSpaceDE w:val="0"/>
              <w:autoSpaceDN w:val="0"/>
              <w:adjustRightInd w:val="0"/>
              <w:snapToGrid w:val="0"/>
              <w:spacing w:line="460" w:lineRule="exact"/>
              <w:ind w:firstLine="480" w:firstLineChars="200"/>
              <w:rPr>
                <w:sz w:val="24"/>
              </w:rPr>
            </w:pPr>
          </w:p>
        </w:tc>
      </w:tr>
    </w:tbl>
    <w:p>
      <w:pPr>
        <w:spacing w:line="360" w:lineRule="auto"/>
        <w:rPr>
          <w:rFonts w:eastAsia="黑体"/>
          <w:sz w:val="30"/>
        </w:rPr>
        <w:sectPr>
          <w:footerReference r:id="rId3" w:type="default"/>
          <w:pgSz w:w="11906" w:h="16838"/>
          <w:pgMar w:top="1134" w:right="1417" w:bottom="1134" w:left="1417" w:header="851" w:footer="1077" w:gutter="0"/>
          <w:pgNumType w:fmt="numberInDash" w:start="1"/>
          <w:cols w:space="720" w:num="1"/>
          <w:docGrid w:linePitch="312" w:charSpace="0"/>
        </w:sectPr>
      </w:pPr>
    </w:p>
    <w:p>
      <w:pPr>
        <w:spacing w:before="120" w:beforeLines="50" w:after="120" w:afterLines="50"/>
        <w:outlineLvl w:val="0"/>
        <w:rPr>
          <w:rFonts w:eastAsia="黑体"/>
          <w:b/>
          <w:bCs/>
          <w:sz w:val="30"/>
          <w:szCs w:val="30"/>
        </w:rPr>
      </w:pPr>
      <w:r>
        <w:rPr>
          <w:rFonts w:eastAsia="黑体"/>
          <w:b/>
          <w:bCs/>
          <w:sz w:val="30"/>
          <w:szCs w:val="30"/>
        </w:rPr>
        <w:t>二、建设项目工程分析</w:t>
      </w:r>
    </w:p>
    <w:tbl>
      <w:tblPr>
        <w:tblStyle w:val="1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52" w:hRule="atLeast"/>
          <w:jc w:val="center"/>
        </w:trPr>
        <w:tc>
          <w:tcPr>
            <w:tcW w:w="400" w:type="pct"/>
            <w:vAlign w:val="center"/>
          </w:tcPr>
          <w:p>
            <w:pPr>
              <w:pStyle w:val="16"/>
              <w:adjustRightInd w:val="0"/>
              <w:snapToGrid w:val="0"/>
              <w:spacing w:before="0" w:beforeAutospacing="0" w:after="0" w:afterAutospacing="0" w:line="400" w:lineRule="exact"/>
              <w:jc w:val="center"/>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Cs w:val="24"/>
                <w14:textFill>
                  <w14:solidFill>
                    <w14:schemeClr w14:val="tx1"/>
                  </w14:solidFill>
                </w14:textFill>
              </w:rPr>
              <w:t>建设内容</w:t>
            </w:r>
          </w:p>
        </w:tc>
        <w:tc>
          <w:tcPr>
            <w:tcW w:w="4542" w:type="pct"/>
          </w:tcPr>
          <w:p>
            <w:pPr>
              <w:tabs>
                <w:tab w:val="left" w:pos="1260"/>
              </w:tabs>
              <w:autoSpaceDE w:val="0"/>
              <w:autoSpaceDN w:val="0"/>
              <w:adjustRightInd w:val="0"/>
              <w:snapToGrid w:val="0"/>
              <w:spacing w:line="460" w:lineRule="exact"/>
              <w:ind w:firstLine="450" w:firstLineChars="200"/>
              <w:rPr>
                <w:b/>
                <w:color w:val="000000" w:themeColor="text1"/>
                <w:spacing w:val="-8"/>
                <w:sz w:val="24"/>
                <w14:textFill>
                  <w14:solidFill>
                    <w14:schemeClr w14:val="tx1"/>
                  </w14:solidFill>
                </w14:textFill>
              </w:rPr>
            </w:pPr>
            <w:r>
              <w:rPr>
                <w:b/>
                <w:color w:val="000000" w:themeColor="text1"/>
                <w:spacing w:val="-8"/>
                <w:sz w:val="24"/>
                <w14:textFill>
                  <w14:solidFill>
                    <w14:schemeClr w14:val="tx1"/>
                  </w14:solidFill>
                </w14:textFill>
              </w:rPr>
              <w:t>1、项目由来</w:t>
            </w:r>
          </w:p>
          <w:p>
            <w:pPr>
              <w:autoSpaceDE w:val="0"/>
              <w:autoSpaceDN w:val="0"/>
              <w:adjustRightInd w:val="0"/>
              <w:snapToGrid w:val="0"/>
              <w:spacing w:line="460" w:lineRule="exact"/>
              <w:ind w:firstLine="480" w:firstLineChars="200"/>
              <w:rPr>
                <w:color w:val="000000" w:themeColor="text1"/>
                <w:sz w:val="24"/>
                <w:shd w:val="clear" w:color="auto" w:fill="FFFFFF"/>
                <w14:textFill>
                  <w14:solidFill>
                    <w14:schemeClr w14:val="tx1"/>
                  </w14:solidFill>
                </w14:textFill>
              </w:rPr>
            </w:pPr>
            <w:r>
              <w:rPr>
                <w:rFonts w:hint="eastAsia"/>
                <w:color w:val="000000" w:themeColor="text1"/>
                <w:sz w:val="24"/>
                <w:shd w:val="clear" w:color="auto" w:fill="FFFFFF"/>
                <w14:textFill>
                  <w14:solidFill>
                    <w14:schemeClr w14:val="tx1"/>
                  </w14:solidFill>
                </w14:textFill>
              </w:rPr>
              <w:t>随着经济的发展，市场对钢制办公家具的需求越来越大，为顺应市场需求，河南达恒科技有限公司投</w:t>
            </w:r>
            <w:r>
              <w:rPr>
                <w:rFonts w:hint="eastAsia"/>
                <w:color w:val="000000" w:themeColor="text1"/>
                <w:sz w:val="24"/>
                <w14:textFill>
                  <w14:solidFill>
                    <w14:schemeClr w14:val="tx1"/>
                  </w14:solidFill>
                </w14:textFill>
              </w:rPr>
              <w:t>资</w:t>
            </w:r>
            <w:r>
              <w:rPr>
                <w:rFonts w:hint="eastAsia"/>
                <w:color w:val="000000" w:themeColor="text1"/>
                <w:sz w:val="24"/>
                <w:lang w:val="en-US" w:eastAsia="zh-CN"/>
                <w14:textFill>
                  <w14:solidFill>
                    <w14:schemeClr w14:val="tx1"/>
                  </w14:solidFill>
                </w14:textFill>
              </w:rPr>
              <w:t>50</w:t>
            </w:r>
            <w:r>
              <w:rPr>
                <w:rFonts w:hint="eastAsia"/>
                <w:color w:val="000000" w:themeColor="text1"/>
                <w:sz w:val="24"/>
                <w14:textFill>
                  <w14:solidFill>
                    <w14:schemeClr w14:val="tx1"/>
                  </w14:solidFill>
                </w14:textFill>
              </w:rPr>
              <w:t>万元建设年产1万套</w:t>
            </w:r>
            <w:r>
              <w:rPr>
                <w:rFonts w:hint="eastAsia"/>
                <w:color w:val="000000" w:themeColor="text1"/>
                <w:sz w:val="24"/>
                <w:shd w:val="clear" w:color="auto" w:fill="FFFFFF"/>
                <w14:textFill>
                  <w14:solidFill>
                    <w14:schemeClr w14:val="tx1"/>
                  </w14:solidFill>
                </w14:textFill>
              </w:rPr>
              <w:t>办公家具项目，本项目建成后，市场前景良好。</w:t>
            </w:r>
          </w:p>
          <w:p>
            <w:pPr>
              <w:autoSpaceDE w:val="0"/>
              <w:autoSpaceDN w:val="0"/>
              <w:adjustRightInd w:val="0"/>
              <w:snapToGrid w:val="0"/>
              <w:spacing w:line="460" w:lineRule="exact"/>
              <w:ind w:firstLine="480" w:firstLineChars="200"/>
              <w:rPr>
                <w:color w:val="000000" w:themeColor="text1"/>
                <w:sz w:val="24"/>
                <w:highlight w:val="yellow"/>
                <w14:textFill>
                  <w14:solidFill>
                    <w14:schemeClr w14:val="tx1"/>
                  </w14:solidFill>
                </w14:textFill>
              </w:rPr>
            </w:pPr>
            <w:r>
              <w:rPr>
                <w:rFonts w:hint="eastAsia"/>
                <w:color w:val="000000" w:themeColor="text1"/>
                <w:sz w:val="24"/>
                <w:shd w:val="clear" w:color="auto" w:fill="FFFFFF"/>
                <w14:textFill>
                  <w14:solidFill>
                    <w14:schemeClr w14:val="tx1"/>
                  </w14:solidFill>
                </w14:textFill>
              </w:rPr>
              <w:t>经查阅《产业结构调整指导目录》（2019年本），</w:t>
            </w:r>
            <w:r>
              <w:rPr>
                <w:color w:val="000000" w:themeColor="text1"/>
                <w:sz w:val="24"/>
                <w14:textFill>
                  <w14:solidFill>
                    <w14:schemeClr w14:val="tx1"/>
                  </w14:solidFill>
                </w14:textFill>
              </w:rPr>
              <w:t>本项目不在鼓励类、限制类和淘汰类项目之列，为允许建设项目，符合国家产业政策。</w:t>
            </w: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项目已</w:t>
            </w:r>
            <w:r>
              <w:rPr>
                <w:rFonts w:hint="eastAsia"/>
                <w:color w:val="000000" w:themeColor="text1"/>
                <w:sz w:val="24"/>
                <w14:textFill>
                  <w14:solidFill>
                    <w14:schemeClr w14:val="tx1"/>
                  </w14:solidFill>
                </w14:textFill>
              </w:rPr>
              <w:t>于2022年1月19日在洛阳市偃师</w:t>
            </w:r>
            <w:r>
              <w:rPr>
                <w:rFonts w:hint="eastAsia"/>
                <w:color w:val="000000" w:themeColor="text1"/>
                <w:sz w:val="24"/>
                <w:lang w:val="en-US" w:eastAsia="zh-CN"/>
                <w14:textFill>
                  <w14:solidFill>
                    <w14:schemeClr w14:val="tx1"/>
                  </w14:solidFill>
                </w14:textFill>
              </w:rPr>
              <w:t>区</w:t>
            </w:r>
            <w:r>
              <w:rPr>
                <w:rFonts w:hint="eastAsia"/>
                <w:color w:val="000000" w:themeColor="text1"/>
                <w:sz w:val="24"/>
                <w14:textFill>
                  <w14:solidFill>
                    <w14:schemeClr w14:val="tx1"/>
                  </w14:solidFill>
                </w14:textFill>
              </w:rPr>
              <w:t>发展和改革委员会进行</w:t>
            </w:r>
            <w:r>
              <w:rPr>
                <w:color w:val="000000" w:themeColor="text1"/>
                <w:sz w:val="24"/>
                <w14:textFill>
                  <w14:solidFill>
                    <w14:schemeClr w14:val="tx1"/>
                  </w14:solidFill>
                </w14:textFill>
              </w:rPr>
              <w:t>备案，</w:t>
            </w:r>
            <w:r>
              <w:rPr>
                <w:rFonts w:hint="eastAsia"/>
                <w:color w:val="000000" w:themeColor="text1"/>
                <w:sz w:val="24"/>
                <w14:textFill>
                  <w14:solidFill>
                    <w14:schemeClr w14:val="tx1"/>
                  </w14:solidFill>
                </w14:textFill>
              </w:rPr>
              <w:t>项目代码</w:t>
            </w:r>
            <w:r>
              <w:rPr>
                <w:color w:val="000000" w:themeColor="text1"/>
                <w:sz w:val="24"/>
                <w14:textFill>
                  <w14:solidFill>
                    <w14:schemeClr w14:val="tx1"/>
                  </w14:solidFill>
                </w14:textFill>
              </w:rPr>
              <w:t>为</w:t>
            </w:r>
            <w:r>
              <w:rPr>
                <w:rFonts w:hint="eastAsia"/>
                <w:color w:val="000000" w:themeColor="text1"/>
                <w:sz w:val="24"/>
                <w14:textFill>
                  <w14:solidFill>
                    <w14:schemeClr w14:val="tx1"/>
                  </w14:solidFill>
                </w14:textFill>
              </w:rPr>
              <w:t>2201-410381-04-01-609892</w:t>
            </w:r>
            <w:r>
              <w:rPr>
                <w:color w:val="000000" w:themeColor="text1"/>
                <w:sz w:val="24"/>
                <w14:textFill>
                  <w14:solidFill>
                    <w14:schemeClr w14:val="tx1"/>
                  </w14:solidFill>
                </w14:textFill>
              </w:rPr>
              <w:t>（附件</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p>
          <w:p>
            <w:pPr>
              <w:autoSpaceDE w:val="0"/>
              <w:autoSpaceDN w:val="0"/>
              <w:adjustRightInd w:val="0"/>
              <w:snapToGrid w:val="0"/>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中华人民共和国环境保护法》、《中华人民共和国环境影响评价法》和国务院(2017)第682号令《建设项目环境保护管理条例》中有关规定，本项目应开展环境影响评价工作。依据生态环境部令第16号《建设项目环境影响评价分类管理名录（2021年版）》的有关规定，</w:t>
            </w: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属于</w:t>
            </w:r>
            <w:r>
              <w:rPr>
                <w:rFonts w:hint="eastAsia"/>
                <w:color w:val="000000" w:themeColor="text1"/>
                <w:sz w:val="24"/>
                <w14:textFill>
                  <w14:solidFill>
                    <w14:schemeClr w14:val="tx1"/>
                  </w14:solidFill>
                </w14:textFill>
              </w:rPr>
              <w:t>“十八</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家具制造业-36金属家具制造213”类别中的“其他（仅分割、焊接、组装的除外；年用非溶剂型低VOCs含量涂料10吨以下的除外）”</w:t>
            </w:r>
            <w:r>
              <w:rPr>
                <w:color w:val="000000" w:themeColor="text1"/>
                <w:sz w:val="24"/>
                <w14:textFill>
                  <w14:solidFill>
                    <w14:schemeClr w14:val="tx1"/>
                  </w14:solidFill>
                </w14:textFill>
              </w:rPr>
              <w:t>类别</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应编制环境影响报告表。</w:t>
            </w:r>
          </w:p>
          <w:p>
            <w:pPr>
              <w:autoSpaceDE w:val="0"/>
              <w:autoSpaceDN w:val="0"/>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受</w:t>
            </w:r>
            <w:r>
              <w:rPr>
                <w:rFonts w:hint="eastAsia"/>
                <w:color w:val="000000" w:themeColor="text1"/>
                <w:sz w:val="24"/>
                <w:shd w:val="clear" w:color="auto" w:fill="FFFFFF"/>
                <w14:textFill>
                  <w14:solidFill>
                    <w14:schemeClr w14:val="tx1"/>
                  </w14:solidFill>
                </w14:textFill>
              </w:rPr>
              <w:t>河南达恒科技有限公司</w:t>
            </w:r>
            <w:r>
              <w:rPr>
                <w:rFonts w:hint="eastAsia" w:ascii="宋体" w:hAnsi="宋体" w:cs="宋体"/>
                <w:color w:val="000000" w:themeColor="text1"/>
                <w:sz w:val="24"/>
                <w:shd w:val="clear" w:color="auto" w:fill="FFFFFF"/>
                <w14:textFill>
                  <w14:solidFill>
                    <w14:schemeClr w14:val="tx1"/>
                  </w14:solidFill>
                </w14:textFill>
              </w:rPr>
              <w:t>委托</w:t>
            </w:r>
            <w:r>
              <w:rPr>
                <w:color w:val="000000" w:themeColor="text1"/>
                <w:sz w:val="24"/>
                <w14:textFill>
                  <w14:solidFill>
                    <w14:schemeClr w14:val="tx1"/>
                  </w14:solidFill>
                </w14:textFill>
              </w:rPr>
              <w:t>（见附件</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洛阳志远环保科技有限公司承担了本项目的环境影响评价工作。接受委托后我公司派专业技术人员对场址及周围环境进行了现场踏勘，详细了解了项目的基本情况，并收集了有关技术资料，按照《环境影响评价技术导则》规定，编制完成该项目环境影响评价报告表。</w:t>
            </w:r>
          </w:p>
          <w:p>
            <w:pPr>
              <w:adjustRightInd w:val="0"/>
              <w:snapToGrid w:val="0"/>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2、建设地点及周围环境状况</w:t>
            </w:r>
          </w:p>
          <w:p>
            <w:pPr>
              <w:spacing w:line="46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本项目位于洛阳市偃师</w:t>
            </w:r>
            <w:r>
              <w:rPr>
                <w:rFonts w:hint="eastAsia"/>
                <w:color w:val="000000" w:themeColor="text1"/>
                <w:sz w:val="24"/>
                <w:lang w:val="en-US" w:eastAsia="zh-CN"/>
                <w14:textFill>
                  <w14:solidFill>
                    <w14:schemeClr w14:val="tx1"/>
                  </w14:solidFill>
                </w14:textFill>
              </w:rPr>
              <w:t>区</w:t>
            </w:r>
            <w:r>
              <w:rPr>
                <w:rFonts w:hint="eastAsia"/>
                <w:color w:val="000000" w:themeColor="text1"/>
                <w:sz w:val="24"/>
                <w14:textFill>
                  <w14:solidFill>
                    <w14:schemeClr w14:val="tx1"/>
                  </w14:solidFill>
                </w14:textFill>
              </w:rPr>
              <w:t>高龙镇大屯村</w:t>
            </w:r>
            <w:r>
              <w:rPr>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租用洛阳市博雅堂办公机具有限公司车间进行建设，本项目所在厂区东</w:t>
            </w:r>
            <w:r>
              <w:rPr>
                <w:rFonts w:hint="eastAsia" w:hAnsi="宋体"/>
                <w:color w:val="000000" w:themeColor="text1"/>
                <w:sz w:val="24"/>
                <w14:textFill>
                  <w14:solidFill>
                    <w14:schemeClr w14:val="tx1"/>
                  </w14:solidFill>
                </w14:textFill>
              </w:rPr>
              <w:t>临村庄生产路</w:t>
            </w:r>
            <w:r>
              <w:rPr>
                <w:rFonts w:hint="eastAsia"/>
                <w:color w:val="000000" w:themeColor="text1"/>
                <w:sz w:val="24"/>
                <w14:textFill>
                  <w14:solidFill>
                    <w14:schemeClr w14:val="tx1"/>
                  </w14:solidFill>
                </w14:textFill>
              </w:rPr>
              <w:t>，南</w:t>
            </w:r>
            <w:r>
              <w:rPr>
                <w:rFonts w:hint="eastAsia" w:hAnsi="宋体"/>
                <w:color w:val="000000" w:themeColor="text1"/>
                <w:sz w:val="24"/>
                <w14:textFill>
                  <w14:solidFill>
                    <w14:schemeClr w14:val="tx1"/>
                  </w14:solidFill>
                </w14:textFill>
              </w:rPr>
              <w:t>侧27m为207国道</w:t>
            </w:r>
            <w:r>
              <w:rPr>
                <w:rFonts w:hint="eastAsia"/>
                <w:color w:val="000000" w:themeColor="text1"/>
                <w:sz w:val="24"/>
                <w14:textFill>
                  <w14:solidFill>
                    <w14:schemeClr w14:val="tx1"/>
                  </w14:solidFill>
                </w14:textFill>
              </w:rPr>
              <w:t>，</w:t>
            </w:r>
            <w:r>
              <w:rPr>
                <w:rFonts w:hint="eastAsia"/>
                <w:b/>
                <w:bCs/>
                <w:color w:val="000000" w:themeColor="text1"/>
                <w:sz w:val="24"/>
                <w:u w:val="single"/>
                <w14:textFill>
                  <w14:solidFill>
                    <w14:schemeClr w14:val="tx1"/>
                  </w14:solidFill>
                </w14:textFill>
              </w:rPr>
              <w:t>西</w:t>
            </w:r>
            <w:r>
              <w:rPr>
                <w:rFonts w:hint="eastAsia" w:hAnsi="宋体"/>
                <w:b/>
                <w:bCs/>
                <w:color w:val="000000" w:themeColor="text1"/>
                <w:sz w:val="24"/>
                <w:u w:val="single"/>
                <w14:textFill>
                  <w14:solidFill>
                    <w14:schemeClr w14:val="tx1"/>
                  </w14:solidFill>
                </w14:textFill>
              </w:rPr>
              <w:t>隔村庄生产路为</w:t>
            </w:r>
            <w:r>
              <w:rPr>
                <w:rFonts w:hint="eastAsia" w:hAnsi="宋体"/>
                <w:b/>
                <w:bCs/>
                <w:color w:val="000000" w:themeColor="text1"/>
                <w:sz w:val="24"/>
                <w:u w:val="single"/>
                <w:lang w:val="en-US" w:eastAsia="zh-CN"/>
                <w14:textFill>
                  <w14:solidFill>
                    <w14:schemeClr w14:val="tx1"/>
                  </w14:solidFill>
                </w14:textFill>
              </w:rPr>
              <w:t>停车场</w:t>
            </w:r>
            <w:r>
              <w:rPr>
                <w:rFonts w:hint="eastAsia"/>
                <w:color w:val="000000" w:themeColor="text1"/>
                <w:sz w:val="24"/>
                <w14:textFill>
                  <w14:solidFill>
                    <w14:schemeClr w14:val="tx1"/>
                  </w14:solidFill>
                </w14:textFill>
              </w:rPr>
              <w:t>，北为农田。</w:t>
            </w:r>
            <w:r>
              <w:rPr>
                <w:bCs/>
                <w:color w:val="000000" w:themeColor="text1"/>
                <w:sz w:val="24"/>
                <w14:textFill>
                  <w14:solidFill>
                    <w14:schemeClr w14:val="tx1"/>
                  </w14:solidFill>
                </w14:textFill>
              </w:rPr>
              <w:t>项目地理位置详见附图</w:t>
            </w:r>
            <w:r>
              <w:rPr>
                <w:rFonts w:hint="eastAsia"/>
                <w:bCs/>
                <w:color w:val="000000" w:themeColor="text1"/>
                <w:sz w:val="24"/>
                <w14:textFill>
                  <w14:solidFill>
                    <w14:schemeClr w14:val="tx1"/>
                  </w14:solidFill>
                </w14:textFill>
              </w:rPr>
              <w:t>一，周边环境示意图见附图二</w:t>
            </w:r>
            <w:r>
              <w:rPr>
                <w:bCs/>
                <w:color w:val="000000" w:themeColor="text1"/>
                <w:sz w:val="24"/>
                <w14:textFill>
                  <w14:solidFill>
                    <w14:schemeClr w14:val="tx1"/>
                  </w14:solidFill>
                </w14:textFill>
              </w:rPr>
              <w:t>。</w:t>
            </w:r>
          </w:p>
          <w:p>
            <w:pPr>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3、主要建设内容</w:t>
            </w:r>
          </w:p>
          <w:p>
            <w:pPr>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本项目租赁厂房进行建设。基本情况见表</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主要建设内容见表</w:t>
            </w:r>
            <w:r>
              <w:rPr>
                <w:rFonts w:hint="eastAsia"/>
                <w:color w:val="000000" w:themeColor="text1"/>
                <w:sz w:val="24"/>
                <w:lang w:val="en-US" w:eastAsia="zh-CN"/>
                <w14:textFill>
                  <w14:solidFill>
                    <w14:schemeClr w14:val="tx1"/>
                  </w14:solidFill>
                </w14:textFill>
              </w:rPr>
              <w:t>10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厂区平面图见附图三，车间</w:t>
            </w:r>
            <w:r>
              <w:rPr>
                <w:color w:val="000000" w:themeColor="text1"/>
                <w:sz w:val="24"/>
                <w14:textFill>
                  <w14:solidFill>
                    <w14:schemeClr w14:val="tx1"/>
                  </w14:solidFill>
                </w14:textFill>
              </w:rPr>
              <w:t>平面布置图见附图</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w:t>
            </w:r>
          </w:p>
          <w:p>
            <w:pPr>
              <w:pStyle w:val="6"/>
              <w:numPr>
                <w:ilvl w:val="0"/>
                <w:numId w:val="0"/>
              </w:numPr>
              <w:tabs>
                <w:tab w:val="clear" w:pos="420"/>
              </w:tabs>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 xml:space="preserve">                本项目基本情况一览表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60"/>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939"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3563"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939"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3563"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河南达恒科技有限公司年产1万套办公家具项目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939"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建设性质</w:t>
                  </w:r>
                </w:p>
              </w:tc>
              <w:tc>
                <w:tcPr>
                  <w:tcW w:w="3563"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939"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建设地点</w:t>
                  </w:r>
                </w:p>
              </w:tc>
              <w:tc>
                <w:tcPr>
                  <w:tcW w:w="3563"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洛阳市偃师</w:t>
                  </w:r>
                  <w:r>
                    <w:rPr>
                      <w:rFonts w:hint="eastAsia"/>
                      <w:color w:val="000000" w:themeColor="text1"/>
                      <w:szCs w:val="21"/>
                      <w:lang w:val="en-US" w:eastAsia="zh-CN"/>
                      <w14:textFill>
                        <w14:solidFill>
                          <w14:schemeClr w14:val="tx1"/>
                        </w14:solidFill>
                      </w14:textFill>
                    </w:rPr>
                    <w:t>区</w:t>
                  </w:r>
                  <w:r>
                    <w:rPr>
                      <w:rFonts w:hint="eastAsia"/>
                      <w:color w:val="000000" w:themeColor="text1"/>
                      <w:szCs w:val="21"/>
                      <w14:textFill>
                        <w14:solidFill>
                          <w14:schemeClr w14:val="tx1"/>
                        </w14:solidFill>
                      </w14:textFill>
                    </w:rPr>
                    <w:t>高龙镇大屯村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939"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占地面积</w:t>
                  </w:r>
                </w:p>
              </w:tc>
              <w:tc>
                <w:tcPr>
                  <w:tcW w:w="3563"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939"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总投资</w:t>
                  </w:r>
                </w:p>
              </w:tc>
              <w:tc>
                <w:tcPr>
                  <w:tcW w:w="3563" w:type="pct"/>
                  <w:tcBorders>
                    <w:tl2br w:val="nil"/>
                    <w:tr2bl w:val="nil"/>
                  </w:tcBorders>
                  <w:vAlign w:val="center"/>
                </w:tcPr>
                <w:p>
                  <w:pPr>
                    <w:spacing w:line="320" w:lineRule="exact"/>
                    <w:jc w:val="center"/>
                    <w:rPr>
                      <w:color w:val="000000" w:themeColor="text1"/>
                      <w:szCs w:val="21"/>
                      <w:highlight w:val="yellow"/>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50</w:t>
                  </w:r>
                  <w:r>
                    <w:rPr>
                      <w:b/>
                      <w:bCs/>
                      <w:color w:val="000000" w:themeColor="text1"/>
                      <w:szCs w:val="21"/>
                      <w:u w:val="singl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939" w:type="pct"/>
                  <w:tcBorders>
                    <w:tl2br w:val="nil"/>
                    <w:tr2bl w:val="nil"/>
                  </w:tcBorders>
                  <w:vAlign w:val="center"/>
                </w:tcPr>
                <w:p>
                  <w:pPr>
                    <w:spacing w:line="320" w:lineRule="exac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劳动定员</w:t>
                  </w:r>
                </w:p>
              </w:tc>
              <w:tc>
                <w:tcPr>
                  <w:tcW w:w="3563" w:type="pct"/>
                  <w:tcBorders>
                    <w:tl2br w:val="nil"/>
                    <w:tr2bl w:val="nil"/>
                  </w:tcBorders>
                  <w:vAlign w:val="center"/>
                </w:tcPr>
                <w:p>
                  <w:pPr>
                    <w:spacing w:line="320" w:lineRule="exact"/>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劳动定员15人，均不在厂区食宿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939" w:type="pct"/>
                  <w:tcBorders>
                    <w:tl2br w:val="nil"/>
                    <w:tr2bl w:val="nil"/>
                  </w:tcBorders>
                  <w:vAlign w:val="center"/>
                </w:tcPr>
                <w:p>
                  <w:pPr>
                    <w:spacing w:line="320" w:lineRule="exac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工作制度</w:t>
                  </w:r>
                </w:p>
              </w:tc>
              <w:tc>
                <w:tcPr>
                  <w:tcW w:w="3563" w:type="pct"/>
                  <w:tcBorders>
                    <w:tl2br w:val="nil"/>
                    <w:tr2bl w:val="nil"/>
                  </w:tcBorders>
                  <w:vAlign w:val="center"/>
                </w:tcPr>
                <w:p>
                  <w:pPr>
                    <w:spacing w:line="320" w:lineRule="exact"/>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年工作300天，每天工作8小时（8:00~12:00,14:00~18:00）</w:t>
                  </w:r>
                </w:p>
              </w:tc>
            </w:tr>
          </w:tbl>
          <w:p>
            <w:pPr>
              <w:pStyle w:val="6"/>
              <w:numPr>
                <w:ilvl w:val="0"/>
                <w:numId w:val="0"/>
              </w:numPr>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主要建设内容一览表</w:t>
            </w:r>
          </w:p>
          <w:tbl>
            <w:tblPr>
              <w:tblStyle w:val="19"/>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
              <w:gridCol w:w="384"/>
              <w:gridCol w:w="794"/>
              <w:gridCol w:w="1400"/>
              <w:gridCol w:w="982"/>
              <w:gridCol w:w="1719"/>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77" w:type="dxa"/>
                  <w:gridSpan w:val="2"/>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类别</w:t>
                  </w:r>
                </w:p>
              </w:tc>
              <w:tc>
                <w:tcPr>
                  <w:tcW w:w="3176" w:type="dxa"/>
                  <w:gridSpan w:val="3"/>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bCs/>
                      <w:color w:val="000000" w:themeColor="text1"/>
                      <w:spacing w:val="-3"/>
                      <w:szCs w:val="21"/>
                      <w14:textFill>
                        <w14:solidFill>
                          <w14:schemeClr w14:val="tx1"/>
                        </w14:solidFill>
                      </w14:textFill>
                    </w:rPr>
                    <w:t>名称</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bCs/>
                      <w:color w:val="000000" w:themeColor="text1"/>
                      <w:spacing w:val="-3"/>
                      <w:szCs w:val="21"/>
                      <w14:textFill>
                        <w14:solidFill>
                          <w14:schemeClr w14:val="tx1"/>
                        </w14:solidFill>
                      </w14:textFill>
                    </w:rPr>
                    <w:t>建筑面积/容积</w:t>
                  </w:r>
                </w:p>
              </w:tc>
              <w:tc>
                <w:tcPr>
                  <w:tcW w:w="2536"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bCs/>
                      <w:color w:val="000000" w:themeColor="text1"/>
                      <w:spacing w:val="-3"/>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gridSpan w:val="2"/>
                  <w:vMerge w:val="restart"/>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bCs/>
                      <w:color w:val="000000" w:themeColor="text1"/>
                      <w:spacing w:val="-3"/>
                      <w:szCs w:val="21"/>
                      <w14:textFill>
                        <w14:solidFill>
                          <w14:schemeClr w14:val="tx1"/>
                        </w14:solidFill>
                      </w14:textFill>
                    </w:rPr>
                    <w:t>主体工程</w:t>
                  </w:r>
                </w:p>
              </w:tc>
              <w:tc>
                <w:tcPr>
                  <w:tcW w:w="3176" w:type="dxa"/>
                  <w:gridSpan w:val="3"/>
                  <w:vAlign w:val="center"/>
                </w:tcPr>
                <w:p>
                  <w:pPr>
                    <w:adjustRightInd w:val="0"/>
                    <w:snapToGrid w:val="0"/>
                    <w:spacing w:line="320" w:lineRule="exact"/>
                    <w:jc w:val="center"/>
                    <w:rPr>
                      <w:b/>
                      <w:bCs w:val="0"/>
                      <w:color w:val="000000" w:themeColor="text1"/>
                      <w:spacing w:val="-3"/>
                      <w:szCs w:val="21"/>
                      <w:u w:val="single"/>
                      <w14:textFill>
                        <w14:solidFill>
                          <w14:schemeClr w14:val="tx1"/>
                        </w14:solidFill>
                      </w14:textFill>
                    </w:rPr>
                  </w:pPr>
                  <w:r>
                    <w:rPr>
                      <w:rFonts w:hint="eastAsia"/>
                      <w:b/>
                      <w:bCs w:val="0"/>
                      <w:color w:val="000000" w:themeColor="text1"/>
                      <w:spacing w:val="-3"/>
                      <w:szCs w:val="21"/>
                      <w:u w:val="single"/>
                      <w14:textFill>
                        <w14:solidFill>
                          <w14:schemeClr w14:val="tx1"/>
                        </w14:solidFill>
                      </w14:textFill>
                    </w:rPr>
                    <w:t>生产区</w:t>
                  </w:r>
                </w:p>
              </w:tc>
              <w:tc>
                <w:tcPr>
                  <w:tcW w:w="1719" w:type="dxa"/>
                  <w:vAlign w:val="center"/>
                </w:tcPr>
                <w:p>
                  <w:pPr>
                    <w:adjustRightInd w:val="0"/>
                    <w:snapToGrid w:val="0"/>
                    <w:spacing w:line="320" w:lineRule="exact"/>
                    <w:jc w:val="center"/>
                    <w:rPr>
                      <w:b/>
                      <w:bCs w:val="0"/>
                      <w:color w:val="000000" w:themeColor="text1"/>
                      <w:spacing w:val="-3"/>
                      <w:szCs w:val="21"/>
                      <w:u w:val="single"/>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888</w:t>
                  </w:r>
                  <w:r>
                    <w:rPr>
                      <w:rFonts w:hint="eastAsia"/>
                      <w:b/>
                      <w:bCs w:val="0"/>
                      <w:color w:val="000000" w:themeColor="text1"/>
                      <w:spacing w:val="-3"/>
                      <w:szCs w:val="21"/>
                      <w:u w:val="single"/>
                      <w14:textFill>
                        <w14:solidFill>
                          <w14:schemeClr w14:val="tx1"/>
                        </w14:solidFill>
                      </w14:textFill>
                    </w:rPr>
                    <w:t>m</w:t>
                  </w:r>
                  <w:r>
                    <w:rPr>
                      <w:rFonts w:hint="eastAsia"/>
                      <w:b/>
                      <w:bCs w:val="0"/>
                      <w:color w:val="000000" w:themeColor="text1"/>
                      <w:spacing w:val="-3"/>
                      <w:szCs w:val="21"/>
                      <w:u w:val="single"/>
                      <w:vertAlign w:val="superscript"/>
                      <w14:textFill>
                        <w14:solidFill>
                          <w14:schemeClr w14:val="tx1"/>
                        </w14:solidFill>
                      </w14:textFill>
                    </w:rPr>
                    <w:t>2</w:t>
                  </w:r>
                </w:p>
              </w:tc>
              <w:tc>
                <w:tcPr>
                  <w:tcW w:w="2536" w:type="dxa"/>
                  <w:vMerge w:val="restart"/>
                  <w:vAlign w:val="center"/>
                </w:tcPr>
                <w:p>
                  <w:pPr>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gridSpan w:val="2"/>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3176" w:type="dxa"/>
                  <w:gridSpan w:val="3"/>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安装区</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200m</w:t>
                  </w:r>
                  <w:r>
                    <w:rPr>
                      <w:rFonts w:hint="eastAsia"/>
                      <w:bCs/>
                      <w:color w:val="000000" w:themeColor="text1"/>
                      <w:spacing w:val="-3"/>
                      <w:szCs w:val="21"/>
                      <w:vertAlign w:val="superscript"/>
                      <w14:textFill>
                        <w14:solidFill>
                          <w14:schemeClr w14:val="tx1"/>
                        </w14:solidFill>
                      </w14:textFill>
                    </w:rPr>
                    <w:t>2</w:t>
                  </w:r>
                </w:p>
              </w:tc>
              <w:tc>
                <w:tcPr>
                  <w:tcW w:w="2536" w:type="dxa"/>
                  <w:vMerge w:val="continue"/>
                  <w:vAlign w:val="center"/>
                </w:tcPr>
                <w:p>
                  <w:pPr>
                    <w:adjustRightInd w:val="0"/>
                    <w:snapToGrid w:val="0"/>
                    <w:spacing w:line="32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gridSpan w:val="2"/>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3176" w:type="dxa"/>
                  <w:gridSpan w:val="3"/>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成品区</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350m</w:t>
                  </w:r>
                  <w:r>
                    <w:rPr>
                      <w:rFonts w:hint="eastAsia"/>
                      <w:bCs/>
                      <w:color w:val="000000" w:themeColor="text1"/>
                      <w:spacing w:val="-3"/>
                      <w:szCs w:val="21"/>
                      <w:vertAlign w:val="superscript"/>
                      <w14:textFill>
                        <w14:solidFill>
                          <w14:schemeClr w14:val="tx1"/>
                        </w14:solidFill>
                      </w14:textFill>
                    </w:rPr>
                    <w:t>2</w:t>
                  </w:r>
                </w:p>
              </w:tc>
              <w:tc>
                <w:tcPr>
                  <w:tcW w:w="2536" w:type="dxa"/>
                  <w:vMerge w:val="continue"/>
                  <w:vAlign w:val="center"/>
                </w:tcPr>
                <w:p>
                  <w:pPr>
                    <w:adjustRightInd w:val="0"/>
                    <w:snapToGrid w:val="0"/>
                    <w:spacing w:line="32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gridSpan w:val="2"/>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3176" w:type="dxa"/>
                  <w:gridSpan w:val="3"/>
                  <w:vAlign w:val="center"/>
                </w:tcPr>
                <w:p>
                  <w:pPr>
                    <w:adjustRightInd w:val="0"/>
                    <w:snapToGrid w:val="0"/>
                    <w:spacing w:line="320" w:lineRule="exact"/>
                    <w:jc w:val="center"/>
                    <w:rPr>
                      <w:rFonts w:hint="eastAsia" w:eastAsia="宋体"/>
                      <w:b/>
                      <w:bCs w:val="0"/>
                      <w:color w:val="000000" w:themeColor="text1"/>
                      <w:spacing w:val="-3"/>
                      <w:szCs w:val="21"/>
                      <w:u w:val="single"/>
                      <w:lang w:eastAsia="zh-CN"/>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材料区</w:t>
                  </w:r>
                </w:p>
              </w:tc>
              <w:tc>
                <w:tcPr>
                  <w:tcW w:w="1719" w:type="dxa"/>
                  <w:vAlign w:val="center"/>
                </w:tcPr>
                <w:p>
                  <w:pPr>
                    <w:adjustRightInd w:val="0"/>
                    <w:snapToGrid w:val="0"/>
                    <w:spacing w:line="320" w:lineRule="exact"/>
                    <w:jc w:val="center"/>
                    <w:rPr>
                      <w:b/>
                      <w:bCs w:val="0"/>
                      <w:color w:val="000000" w:themeColor="text1"/>
                      <w:spacing w:val="-3"/>
                      <w:szCs w:val="21"/>
                      <w:u w:val="single"/>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37</w:t>
                  </w:r>
                  <w:r>
                    <w:rPr>
                      <w:rFonts w:hint="eastAsia"/>
                      <w:b/>
                      <w:bCs w:val="0"/>
                      <w:color w:val="000000" w:themeColor="text1"/>
                      <w:spacing w:val="-3"/>
                      <w:szCs w:val="21"/>
                      <w:u w:val="single"/>
                      <w14:textFill>
                        <w14:solidFill>
                          <w14:schemeClr w14:val="tx1"/>
                        </w14:solidFill>
                      </w14:textFill>
                    </w:rPr>
                    <w:t>m</w:t>
                  </w:r>
                  <w:r>
                    <w:rPr>
                      <w:rFonts w:hint="eastAsia"/>
                      <w:b/>
                      <w:bCs w:val="0"/>
                      <w:color w:val="000000" w:themeColor="text1"/>
                      <w:spacing w:val="-3"/>
                      <w:szCs w:val="21"/>
                      <w:u w:val="single"/>
                      <w:vertAlign w:val="superscript"/>
                      <w14:textFill>
                        <w14:solidFill>
                          <w14:schemeClr w14:val="tx1"/>
                        </w14:solidFill>
                      </w14:textFill>
                    </w:rPr>
                    <w:t>2</w:t>
                  </w:r>
                </w:p>
              </w:tc>
              <w:tc>
                <w:tcPr>
                  <w:tcW w:w="2536" w:type="dxa"/>
                  <w:vMerge w:val="continue"/>
                  <w:vAlign w:val="center"/>
                </w:tcPr>
                <w:p>
                  <w:pPr>
                    <w:adjustRightInd w:val="0"/>
                    <w:snapToGrid w:val="0"/>
                    <w:spacing w:line="32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gridSpan w:val="2"/>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3176" w:type="dxa"/>
                  <w:gridSpan w:val="3"/>
                  <w:vAlign w:val="center"/>
                </w:tcPr>
                <w:p>
                  <w:pPr>
                    <w:adjustRightInd w:val="0"/>
                    <w:snapToGrid w:val="0"/>
                    <w:spacing w:line="320" w:lineRule="exact"/>
                    <w:jc w:val="center"/>
                    <w:rPr>
                      <w:b/>
                      <w:bCs w:val="0"/>
                      <w:color w:val="000000" w:themeColor="text1"/>
                      <w:spacing w:val="-3"/>
                      <w:szCs w:val="21"/>
                      <w:u w:val="single"/>
                      <w14:textFill>
                        <w14:solidFill>
                          <w14:schemeClr w14:val="tx1"/>
                        </w14:solidFill>
                      </w14:textFill>
                    </w:rPr>
                  </w:pPr>
                  <w:r>
                    <w:rPr>
                      <w:rFonts w:hint="eastAsia"/>
                      <w:b/>
                      <w:bCs w:val="0"/>
                      <w:color w:val="000000" w:themeColor="text1"/>
                      <w:spacing w:val="-3"/>
                      <w:szCs w:val="21"/>
                      <w:u w:val="single"/>
                      <w14:textFill>
                        <w14:solidFill>
                          <w14:schemeClr w14:val="tx1"/>
                        </w14:solidFill>
                      </w14:textFill>
                    </w:rPr>
                    <w:t>办公区</w:t>
                  </w:r>
                </w:p>
              </w:tc>
              <w:tc>
                <w:tcPr>
                  <w:tcW w:w="1719" w:type="dxa"/>
                  <w:vAlign w:val="center"/>
                </w:tcPr>
                <w:p>
                  <w:pPr>
                    <w:adjustRightInd w:val="0"/>
                    <w:snapToGrid w:val="0"/>
                    <w:spacing w:line="320" w:lineRule="exact"/>
                    <w:jc w:val="center"/>
                    <w:rPr>
                      <w:b/>
                      <w:bCs w:val="0"/>
                      <w:color w:val="000000" w:themeColor="text1"/>
                      <w:spacing w:val="-3"/>
                      <w:szCs w:val="21"/>
                      <w:u w:val="single"/>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25</w:t>
                  </w:r>
                  <w:r>
                    <w:rPr>
                      <w:rFonts w:hint="eastAsia"/>
                      <w:b/>
                      <w:bCs w:val="0"/>
                      <w:color w:val="000000" w:themeColor="text1"/>
                      <w:spacing w:val="-3"/>
                      <w:szCs w:val="21"/>
                      <w:u w:val="single"/>
                      <w14:textFill>
                        <w14:solidFill>
                          <w14:schemeClr w14:val="tx1"/>
                        </w14:solidFill>
                      </w14:textFill>
                    </w:rPr>
                    <w:t>m</w:t>
                  </w:r>
                  <w:r>
                    <w:rPr>
                      <w:rFonts w:hint="eastAsia"/>
                      <w:b/>
                      <w:bCs w:val="0"/>
                      <w:color w:val="000000" w:themeColor="text1"/>
                      <w:spacing w:val="-3"/>
                      <w:szCs w:val="21"/>
                      <w:u w:val="single"/>
                      <w:vertAlign w:val="superscript"/>
                      <w14:textFill>
                        <w14:solidFill>
                          <w14:schemeClr w14:val="tx1"/>
                        </w14:solidFill>
                      </w14:textFill>
                    </w:rPr>
                    <w:t>2</w:t>
                  </w:r>
                </w:p>
              </w:tc>
              <w:tc>
                <w:tcPr>
                  <w:tcW w:w="2536" w:type="dxa"/>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7" w:type="dxa"/>
                  <w:gridSpan w:val="2"/>
                  <w:vMerge w:val="restart"/>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公用工程</w:t>
                  </w:r>
                </w:p>
              </w:tc>
              <w:tc>
                <w:tcPr>
                  <w:tcW w:w="3176" w:type="dxa"/>
                  <w:gridSpan w:val="3"/>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供水</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w:t>
                  </w:r>
                </w:p>
              </w:tc>
              <w:tc>
                <w:tcPr>
                  <w:tcW w:w="2536" w:type="dxa"/>
                  <w:vAlign w:val="center"/>
                </w:tcPr>
                <w:p>
                  <w:pPr>
                    <w:adjustRightInd w:val="0"/>
                    <w:snapToGrid w:val="0"/>
                    <w:spacing w:line="320" w:lineRule="exact"/>
                    <w:jc w:val="center"/>
                    <w:rPr>
                      <w:rFonts w:hint="eastAsia" w:eastAsia="宋体"/>
                      <w:bCs/>
                      <w:color w:val="000000" w:themeColor="text1"/>
                      <w:spacing w:val="-3"/>
                      <w:szCs w:val="21"/>
                      <w:lang w:eastAsia="zh-CN"/>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厂区自备水井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7" w:type="dxa"/>
                  <w:gridSpan w:val="2"/>
                  <w:vMerge w:val="continue"/>
                  <w:vAlign w:val="center"/>
                </w:tcPr>
                <w:p>
                  <w:pPr>
                    <w:adjustRightInd w:val="0"/>
                    <w:snapToGrid w:val="0"/>
                    <w:spacing w:line="320" w:lineRule="exact"/>
                    <w:jc w:val="center"/>
                    <w:rPr>
                      <w:color w:val="000000" w:themeColor="text1"/>
                      <w14:textFill>
                        <w14:solidFill>
                          <w14:schemeClr w14:val="tx1"/>
                        </w14:solidFill>
                      </w14:textFill>
                    </w:rPr>
                  </w:pPr>
                </w:p>
              </w:tc>
              <w:tc>
                <w:tcPr>
                  <w:tcW w:w="3176" w:type="dxa"/>
                  <w:gridSpan w:val="3"/>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排水</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w:t>
                  </w:r>
                </w:p>
              </w:tc>
              <w:tc>
                <w:tcPr>
                  <w:tcW w:w="2536"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生活污水经化粪池及收集池收集后农户肥田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7" w:type="dxa"/>
                  <w:gridSpan w:val="2"/>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3176" w:type="dxa"/>
                  <w:gridSpan w:val="3"/>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供电</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w:t>
                  </w:r>
                </w:p>
              </w:tc>
              <w:tc>
                <w:tcPr>
                  <w:tcW w:w="2536"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高龙镇配电所供给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3" w:type="dxa"/>
                  <w:vMerge w:val="restart"/>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bCs/>
                      <w:color w:val="000000" w:themeColor="text1"/>
                      <w:spacing w:val="-3"/>
                      <w:szCs w:val="21"/>
                      <w14:textFill>
                        <w14:solidFill>
                          <w14:schemeClr w14:val="tx1"/>
                        </w14:solidFill>
                      </w14:textFill>
                    </w:rPr>
                    <w:t>环保工程</w:t>
                  </w:r>
                </w:p>
              </w:tc>
              <w:tc>
                <w:tcPr>
                  <w:tcW w:w="384" w:type="dxa"/>
                  <w:vAlign w:val="center"/>
                </w:tcPr>
                <w:p>
                  <w:pPr>
                    <w:widowControl/>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废水</w:t>
                  </w:r>
                </w:p>
              </w:tc>
              <w:tc>
                <w:tcPr>
                  <w:tcW w:w="3176" w:type="dxa"/>
                  <w:gridSpan w:val="3"/>
                  <w:vAlign w:val="center"/>
                </w:tcPr>
                <w:p>
                  <w:pPr>
                    <w:adjustRightInd w:val="0"/>
                    <w:snapToGrid w:val="0"/>
                    <w:spacing w:line="320" w:lineRule="exact"/>
                    <w:jc w:val="center"/>
                    <w:rPr>
                      <w:b/>
                      <w:bCs w:val="0"/>
                      <w:color w:val="000000" w:themeColor="text1"/>
                      <w:spacing w:val="-3"/>
                      <w:szCs w:val="21"/>
                      <w14:textFill>
                        <w14:solidFill>
                          <w14:schemeClr w14:val="tx1"/>
                        </w14:solidFill>
                      </w14:textFill>
                    </w:rPr>
                  </w:pPr>
                  <w:r>
                    <w:rPr>
                      <w:b/>
                      <w:bCs w:val="0"/>
                      <w:color w:val="000000" w:themeColor="text1"/>
                      <w:spacing w:val="-3"/>
                      <w:szCs w:val="21"/>
                      <w:u w:val="single"/>
                      <w14:textFill>
                        <w14:solidFill>
                          <w14:schemeClr w14:val="tx1"/>
                        </w14:solidFill>
                      </w14:textFill>
                    </w:rPr>
                    <w:t>化粪池</w:t>
                  </w:r>
                </w:p>
              </w:tc>
              <w:tc>
                <w:tcPr>
                  <w:tcW w:w="1719" w:type="dxa"/>
                  <w:vAlign w:val="center"/>
                </w:tcPr>
                <w:p>
                  <w:pPr>
                    <w:adjustRightInd w:val="0"/>
                    <w:snapToGrid w:val="0"/>
                    <w:spacing w:line="320" w:lineRule="exact"/>
                    <w:jc w:val="center"/>
                    <w:rPr>
                      <w:b/>
                      <w:bCs w:val="0"/>
                      <w:color w:val="000000" w:themeColor="text1"/>
                      <w:spacing w:val="-3"/>
                      <w:szCs w:val="21"/>
                      <w:u w:val="single"/>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7</w:t>
                  </w:r>
                  <w:r>
                    <w:rPr>
                      <w:rFonts w:hint="eastAsia"/>
                      <w:b/>
                      <w:bCs w:val="0"/>
                      <w:color w:val="000000" w:themeColor="text1"/>
                      <w:spacing w:val="-3"/>
                      <w:szCs w:val="21"/>
                      <w:u w:val="single"/>
                      <w14:textFill>
                        <w14:solidFill>
                          <w14:schemeClr w14:val="tx1"/>
                        </w14:solidFill>
                      </w14:textFill>
                    </w:rPr>
                    <w:t>m</w:t>
                  </w:r>
                  <w:r>
                    <w:rPr>
                      <w:rFonts w:hint="eastAsia"/>
                      <w:b/>
                      <w:bCs w:val="0"/>
                      <w:color w:val="000000" w:themeColor="text1"/>
                      <w:spacing w:val="-3"/>
                      <w:szCs w:val="21"/>
                      <w:u w:val="single"/>
                      <w:vertAlign w:val="superscript"/>
                      <w14:textFill>
                        <w14:solidFill>
                          <w14:schemeClr w14:val="tx1"/>
                        </w14:solidFill>
                      </w14:textFill>
                    </w:rPr>
                    <w:t>3</w:t>
                  </w:r>
                </w:p>
              </w:tc>
              <w:tc>
                <w:tcPr>
                  <w:tcW w:w="2536" w:type="dxa"/>
                  <w:vAlign w:val="center"/>
                </w:tcPr>
                <w:p>
                  <w:pPr>
                    <w:adjustRightInd w:val="0"/>
                    <w:snapToGrid w:val="0"/>
                    <w:spacing w:line="320" w:lineRule="exact"/>
                    <w:jc w:val="center"/>
                    <w:rPr>
                      <w:rFonts w:hint="default"/>
                      <w:b/>
                      <w:bCs w:val="0"/>
                      <w:color w:val="000000" w:themeColor="text1"/>
                      <w:spacing w:val="-3"/>
                      <w:szCs w:val="21"/>
                      <w:u w:val="single"/>
                      <w:lang w:val="en-US"/>
                      <w14:textFill>
                        <w14:solidFill>
                          <w14:schemeClr w14:val="tx1"/>
                        </w14:solidFill>
                      </w14:textFill>
                    </w:rPr>
                  </w:pPr>
                  <w:r>
                    <w:rPr>
                      <w:rFonts w:hint="eastAsia"/>
                      <w:b/>
                      <w:bCs w:val="0"/>
                      <w:color w:val="000000" w:themeColor="text1"/>
                      <w:spacing w:val="-3"/>
                      <w:szCs w:val="21"/>
                      <w:u w:val="single"/>
                      <w14:textFill>
                        <w14:solidFill>
                          <w14:schemeClr w14:val="tx1"/>
                        </w14:solidFill>
                      </w14:textFill>
                    </w:rPr>
                    <w:t>依托现有</w:t>
                  </w:r>
                  <w:r>
                    <w:rPr>
                      <w:rFonts w:hint="eastAsia"/>
                      <w:b/>
                      <w:bCs w:val="0"/>
                      <w:color w:val="000000" w:themeColor="text1"/>
                      <w:u w:val="single"/>
                      <w:lang w:eastAsia="zh-CN"/>
                      <w14:textFill>
                        <w14:solidFill>
                          <w14:schemeClr w14:val="tx1"/>
                        </w14:solidFill>
                      </w14:textFill>
                    </w:rPr>
                    <w:t>，</w:t>
                  </w:r>
                  <w:r>
                    <w:rPr>
                      <w:rFonts w:hint="eastAsia"/>
                      <w:b/>
                      <w:bCs w:val="0"/>
                      <w:color w:val="000000" w:themeColor="text1"/>
                      <w:u w:val="single"/>
                      <w:lang w:val="en-US" w:eastAsia="zh-CN"/>
                      <w14:textFill>
                        <w14:solidFill>
                          <w14:schemeClr w14:val="tx1"/>
                        </w14:solidFill>
                      </w14:textFill>
                    </w:rPr>
                    <w:t>位于3号车间北侧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93" w:type="dxa"/>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384" w:type="dxa"/>
                  <w:vMerge w:val="restart"/>
                  <w:vAlign w:val="center"/>
                </w:tcPr>
                <w:p>
                  <w:pPr>
                    <w:widowControl/>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固废</w:t>
                  </w:r>
                </w:p>
              </w:tc>
              <w:tc>
                <w:tcPr>
                  <w:tcW w:w="3176" w:type="dxa"/>
                  <w:gridSpan w:val="3"/>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bCs/>
                      <w:color w:val="000000" w:themeColor="text1"/>
                      <w:spacing w:val="-3"/>
                      <w:szCs w:val="21"/>
                      <w14:textFill>
                        <w14:solidFill>
                          <w14:schemeClr w14:val="tx1"/>
                        </w14:solidFill>
                      </w14:textFill>
                    </w:rPr>
                    <w:t>一般固废暂存</w:t>
                  </w:r>
                  <w:r>
                    <w:rPr>
                      <w:rFonts w:hint="eastAsia"/>
                      <w:bCs/>
                      <w:color w:val="000000" w:themeColor="text1"/>
                      <w:spacing w:val="-3"/>
                      <w:szCs w:val="21"/>
                      <w14:textFill>
                        <w14:solidFill>
                          <w14:schemeClr w14:val="tx1"/>
                        </w14:solidFill>
                      </w14:textFill>
                    </w:rPr>
                    <w:t>间</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10m</w:t>
                  </w:r>
                  <w:r>
                    <w:rPr>
                      <w:rFonts w:hint="eastAsia"/>
                      <w:bCs/>
                      <w:color w:val="000000" w:themeColor="text1"/>
                      <w:spacing w:val="-3"/>
                      <w:szCs w:val="21"/>
                      <w:vertAlign w:val="superscript"/>
                      <w14:textFill>
                        <w14:solidFill>
                          <w14:schemeClr w14:val="tx1"/>
                        </w14:solidFill>
                      </w14:textFill>
                    </w:rPr>
                    <w:t>2</w:t>
                  </w:r>
                </w:p>
              </w:tc>
              <w:tc>
                <w:tcPr>
                  <w:tcW w:w="2536"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bCs/>
                      <w:color w:val="000000" w:themeColor="text1"/>
                      <w:spacing w:val="-3"/>
                      <w:szCs w:val="21"/>
                      <w14:textFill>
                        <w14:solidFill>
                          <w14:schemeClr w14:val="tx1"/>
                        </w14:solidFill>
                      </w14:textFill>
                    </w:rPr>
                    <w:t>新建</w:t>
                  </w:r>
                  <w:r>
                    <w:rPr>
                      <w:rFonts w:hint="eastAsia"/>
                      <w:bCs/>
                      <w:color w:val="000000" w:themeColor="text1"/>
                      <w:spacing w:val="-3"/>
                      <w:szCs w:val="21"/>
                      <w14:textFill>
                        <w14:solidFill>
                          <w14:schemeClr w14:val="tx1"/>
                        </w14:solidFill>
                      </w14:textFill>
                    </w:rPr>
                    <w:t>，位于车间内部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3" w:type="dxa"/>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384" w:type="dxa"/>
                  <w:vMerge w:val="continue"/>
                  <w:vAlign w:val="center"/>
                </w:tcPr>
                <w:p>
                  <w:pPr>
                    <w:widowControl/>
                    <w:adjustRightInd w:val="0"/>
                    <w:snapToGrid w:val="0"/>
                    <w:spacing w:line="320" w:lineRule="exact"/>
                    <w:jc w:val="center"/>
                    <w:rPr>
                      <w:bCs/>
                      <w:color w:val="000000" w:themeColor="text1"/>
                      <w:spacing w:val="-3"/>
                      <w:szCs w:val="21"/>
                      <w14:textFill>
                        <w14:solidFill>
                          <w14:schemeClr w14:val="tx1"/>
                        </w14:solidFill>
                      </w14:textFill>
                    </w:rPr>
                  </w:pPr>
                </w:p>
              </w:tc>
              <w:tc>
                <w:tcPr>
                  <w:tcW w:w="3176" w:type="dxa"/>
                  <w:gridSpan w:val="3"/>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危废暂存间</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6m</w:t>
                  </w:r>
                  <w:r>
                    <w:rPr>
                      <w:rFonts w:hint="eastAsia"/>
                      <w:bCs/>
                      <w:color w:val="000000" w:themeColor="text1"/>
                      <w:spacing w:val="-3"/>
                      <w:szCs w:val="21"/>
                      <w:vertAlign w:val="superscript"/>
                      <w14:textFill>
                        <w14:solidFill>
                          <w14:schemeClr w14:val="tx1"/>
                        </w14:solidFill>
                      </w14:textFill>
                    </w:rPr>
                    <w:t>2</w:t>
                  </w:r>
                </w:p>
              </w:tc>
              <w:tc>
                <w:tcPr>
                  <w:tcW w:w="2536"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bCs/>
                      <w:color w:val="000000" w:themeColor="text1"/>
                      <w:spacing w:val="-3"/>
                      <w:szCs w:val="21"/>
                      <w14:textFill>
                        <w14:solidFill>
                          <w14:schemeClr w14:val="tx1"/>
                        </w14:solidFill>
                      </w14:textFill>
                    </w:rPr>
                    <w:t>新建</w:t>
                  </w:r>
                  <w:r>
                    <w:rPr>
                      <w:rFonts w:hint="eastAsia"/>
                      <w:bCs/>
                      <w:color w:val="000000" w:themeColor="text1"/>
                      <w:spacing w:val="-3"/>
                      <w:szCs w:val="21"/>
                      <w14:textFill>
                        <w14:solidFill>
                          <w14:schemeClr w14:val="tx1"/>
                        </w14:solidFill>
                      </w14:textFill>
                    </w:rPr>
                    <w:t>，位于车间内部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93" w:type="dxa"/>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384" w:type="dxa"/>
                  <w:vMerge w:val="restart"/>
                  <w:vAlign w:val="center"/>
                </w:tcPr>
                <w:p>
                  <w:pPr>
                    <w:widowControl/>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废气</w:t>
                  </w:r>
                </w:p>
              </w:tc>
              <w:tc>
                <w:tcPr>
                  <w:tcW w:w="794" w:type="dxa"/>
                  <w:vAlign w:val="center"/>
                </w:tcPr>
                <w:p>
                  <w:pPr>
                    <w:adjustRightInd w:val="0"/>
                    <w:snapToGrid w:val="0"/>
                    <w:spacing w:line="320" w:lineRule="exact"/>
                    <w:jc w:val="center"/>
                    <w:rPr>
                      <w:rFonts w:hint="eastAsia" w:eastAsia="宋体"/>
                      <w:b/>
                      <w:bCs w:val="0"/>
                      <w:color w:val="000000" w:themeColor="text1"/>
                      <w:spacing w:val="-3"/>
                      <w:szCs w:val="21"/>
                      <w:u w:val="single"/>
                      <w:lang w:val="en-US" w:eastAsia="zh-CN"/>
                      <w14:textFill>
                        <w14:solidFill>
                          <w14:schemeClr w14:val="tx1"/>
                        </w14:solidFill>
                      </w14:textFill>
                    </w:rPr>
                  </w:pPr>
                  <w:r>
                    <w:rPr>
                      <w:rFonts w:hint="eastAsia"/>
                      <w:b/>
                      <w:bCs w:val="0"/>
                      <w:color w:val="000000" w:themeColor="text1"/>
                      <w:spacing w:val="-3"/>
                      <w:szCs w:val="21"/>
                      <w:u w:val="single"/>
                      <w14:textFill>
                        <w14:solidFill>
                          <w14:schemeClr w14:val="tx1"/>
                        </w14:solidFill>
                      </w14:textFill>
                    </w:rPr>
                    <w:t>焊接</w:t>
                  </w:r>
                  <w:r>
                    <w:rPr>
                      <w:rFonts w:hint="eastAsia"/>
                      <w:b/>
                      <w:bCs w:val="0"/>
                      <w:color w:val="000000" w:themeColor="text1"/>
                      <w:u w:val="single"/>
                      <w:lang w:val="en-US" w:eastAsia="zh-CN"/>
                      <w14:textFill>
                        <w14:solidFill>
                          <w14:schemeClr w14:val="tx1"/>
                        </w14:solidFill>
                      </w14:textFill>
                    </w:rPr>
                    <w:t>粉尘</w:t>
                  </w:r>
                </w:p>
              </w:tc>
              <w:tc>
                <w:tcPr>
                  <w:tcW w:w="1400" w:type="dxa"/>
                  <w:vAlign w:val="center"/>
                </w:tcPr>
                <w:p>
                  <w:pPr>
                    <w:adjustRightInd w:val="0"/>
                    <w:snapToGrid w:val="0"/>
                    <w:spacing w:line="320" w:lineRule="exact"/>
                    <w:jc w:val="center"/>
                    <w:rPr>
                      <w:b/>
                      <w:bCs w:val="0"/>
                      <w:color w:val="000000" w:themeColor="text1"/>
                      <w:spacing w:val="-3"/>
                      <w:szCs w:val="21"/>
                      <w:u w:val="single"/>
                      <w14:textFill>
                        <w14:solidFill>
                          <w14:schemeClr w14:val="tx1"/>
                        </w14:solidFill>
                      </w14:textFill>
                    </w:rPr>
                  </w:pPr>
                  <w:r>
                    <w:rPr>
                      <w:rFonts w:hint="eastAsia"/>
                      <w:b/>
                      <w:bCs w:val="0"/>
                      <w:color w:val="000000" w:themeColor="text1"/>
                      <w:u w:val="single"/>
                      <w14:textFill>
                        <w14:solidFill>
                          <w14:schemeClr w14:val="tx1"/>
                        </w14:solidFill>
                      </w14:textFill>
                    </w:rPr>
                    <w:t>焊接</w:t>
                  </w:r>
                  <w:r>
                    <w:rPr>
                      <w:rFonts w:hint="eastAsia"/>
                      <w:b/>
                      <w:bCs w:val="0"/>
                      <w:color w:val="000000" w:themeColor="text1"/>
                      <w:u w:val="single"/>
                      <w:lang w:val="en-US" w:eastAsia="zh-CN"/>
                      <w14:textFill>
                        <w14:solidFill>
                          <w14:schemeClr w14:val="tx1"/>
                        </w14:solidFill>
                      </w14:textFill>
                    </w:rPr>
                    <w:t>区域</w:t>
                  </w:r>
                  <w:r>
                    <w:rPr>
                      <w:rFonts w:hint="eastAsia"/>
                      <w:b/>
                      <w:bCs w:val="0"/>
                      <w:color w:val="000000" w:themeColor="text1"/>
                      <w:u w:val="single"/>
                      <w14:textFill>
                        <w14:solidFill>
                          <w14:schemeClr w14:val="tx1"/>
                        </w14:solidFill>
                      </w14:textFill>
                    </w:rPr>
                    <w:t>二次密闭</w:t>
                  </w:r>
                  <w:r>
                    <w:rPr>
                      <w:rFonts w:hint="eastAsia"/>
                      <w:b/>
                      <w:bCs w:val="0"/>
                      <w:color w:val="000000" w:themeColor="text1"/>
                      <w:u w:val="single"/>
                      <w:lang w:val="en-US" w:eastAsia="zh-CN"/>
                      <w14:textFill>
                        <w14:solidFill>
                          <w14:schemeClr w14:val="tx1"/>
                        </w14:solidFill>
                      </w14:textFill>
                    </w:rPr>
                    <w:t>+工位上方设置</w:t>
                  </w:r>
                  <w:r>
                    <w:rPr>
                      <w:rFonts w:hint="eastAsia"/>
                      <w:b/>
                      <w:bCs w:val="0"/>
                      <w:color w:val="000000" w:themeColor="text1"/>
                      <w:u w:val="single"/>
                      <w14:textFill>
                        <w14:solidFill>
                          <w14:schemeClr w14:val="tx1"/>
                        </w14:solidFill>
                      </w14:textFill>
                    </w:rPr>
                    <w:t>集气罩</w:t>
                  </w:r>
                </w:p>
              </w:tc>
              <w:tc>
                <w:tcPr>
                  <w:tcW w:w="982" w:type="dxa"/>
                  <w:vMerge w:val="restart"/>
                  <w:vAlign w:val="center"/>
                </w:tcPr>
                <w:p>
                  <w:pPr>
                    <w:adjustRightInd w:val="0"/>
                    <w:snapToGrid w:val="0"/>
                    <w:spacing w:line="320" w:lineRule="exact"/>
                    <w:jc w:val="center"/>
                    <w:rPr>
                      <w:rFonts w:hint="eastAsia"/>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袋式除尘器+15m高排气筒（1#）</w:t>
                  </w:r>
                </w:p>
              </w:tc>
              <w:tc>
                <w:tcPr>
                  <w:tcW w:w="1719" w:type="dxa"/>
                  <w:vMerge w:val="restart"/>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w:t>
                  </w:r>
                </w:p>
              </w:tc>
              <w:tc>
                <w:tcPr>
                  <w:tcW w:w="2536" w:type="dxa"/>
                  <w:vMerge w:val="restart"/>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93" w:type="dxa"/>
                  <w:vMerge w:val="continue"/>
                  <w:vAlign w:val="center"/>
                </w:tcPr>
                <w:p>
                  <w:pPr>
                    <w:adjustRightInd w:val="0"/>
                    <w:snapToGrid w:val="0"/>
                    <w:spacing w:line="320" w:lineRule="exact"/>
                    <w:jc w:val="center"/>
                    <w:rPr>
                      <w:color w:val="000000" w:themeColor="text1"/>
                      <w14:textFill>
                        <w14:solidFill>
                          <w14:schemeClr w14:val="tx1"/>
                        </w14:solidFill>
                      </w14:textFill>
                    </w:rPr>
                  </w:pPr>
                </w:p>
              </w:tc>
              <w:tc>
                <w:tcPr>
                  <w:tcW w:w="384" w:type="dxa"/>
                  <w:vMerge w:val="continue"/>
                  <w:vAlign w:val="center"/>
                </w:tcPr>
                <w:p>
                  <w:pPr>
                    <w:adjustRightInd w:val="0"/>
                    <w:snapToGrid w:val="0"/>
                    <w:spacing w:line="320" w:lineRule="exact"/>
                    <w:jc w:val="center"/>
                    <w:rPr>
                      <w:color w:val="000000" w:themeColor="text1"/>
                      <w14:textFill>
                        <w14:solidFill>
                          <w14:schemeClr w14:val="tx1"/>
                        </w14:solidFill>
                      </w14:textFill>
                    </w:rPr>
                  </w:pPr>
                </w:p>
              </w:tc>
              <w:tc>
                <w:tcPr>
                  <w:tcW w:w="794" w:type="dxa"/>
                  <w:vAlign w:val="center"/>
                </w:tcPr>
                <w:p>
                  <w:pPr>
                    <w:adjustRightInd w:val="0"/>
                    <w:snapToGrid w:val="0"/>
                    <w:spacing w:line="320" w:lineRule="exact"/>
                    <w:jc w:val="center"/>
                    <w:rPr>
                      <w:rFonts w:hint="eastAsia"/>
                      <w:b/>
                      <w:bCs w:val="0"/>
                      <w:color w:val="000000" w:themeColor="text1"/>
                      <w:spacing w:val="-3"/>
                      <w:szCs w:val="21"/>
                      <w:u w:val="single"/>
                      <w14:textFill>
                        <w14:solidFill>
                          <w14:schemeClr w14:val="tx1"/>
                        </w14:solidFill>
                      </w14:textFill>
                    </w:rPr>
                  </w:pPr>
                  <w:r>
                    <w:rPr>
                      <w:rFonts w:hint="eastAsia"/>
                      <w:b/>
                      <w:bCs w:val="0"/>
                      <w:color w:val="000000" w:themeColor="text1"/>
                      <w:spacing w:val="-3"/>
                      <w:szCs w:val="21"/>
                      <w:u w:val="single"/>
                      <w14:textFill>
                        <w14:solidFill>
                          <w14:schemeClr w14:val="tx1"/>
                        </w14:solidFill>
                      </w14:textFill>
                    </w:rPr>
                    <w:t>切割粉尘</w:t>
                  </w:r>
                </w:p>
              </w:tc>
              <w:tc>
                <w:tcPr>
                  <w:tcW w:w="1400" w:type="dxa"/>
                  <w:vAlign w:val="center"/>
                </w:tcPr>
                <w:p>
                  <w:pPr>
                    <w:adjustRightInd w:val="0"/>
                    <w:snapToGrid w:val="0"/>
                    <w:spacing w:line="320" w:lineRule="exact"/>
                    <w:jc w:val="center"/>
                    <w:rPr>
                      <w:rFonts w:hint="eastAsia" w:eastAsia="宋体"/>
                      <w:b/>
                      <w:bCs w:val="0"/>
                      <w:color w:val="000000" w:themeColor="text1"/>
                      <w:spacing w:val="-3"/>
                      <w:szCs w:val="21"/>
                      <w:u w:val="single"/>
                      <w:lang w:val="en-US" w:eastAsia="zh-CN"/>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工位上方设置集气罩</w:t>
                  </w:r>
                </w:p>
              </w:tc>
              <w:tc>
                <w:tcPr>
                  <w:tcW w:w="982" w:type="dxa"/>
                  <w:vMerge w:val="continue"/>
                  <w:vAlign w:val="center"/>
                </w:tcPr>
                <w:p>
                  <w:pPr>
                    <w:adjustRightInd w:val="0"/>
                    <w:snapToGrid w:val="0"/>
                    <w:spacing w:line="320" w:lineRule="exact"/>
                    <w:jc w:val="center"/>
                    <w:rPr>
                      <w:rFonts w:hint="eastAsia"/>
                      <w:bCs/>
                      <w:color w:val="000000" w:themeColor="text1"/>
                      <w:spacing w:val="-3"/>
                      <w:szCs w:val="21"/>
                      <w14:textFill>
                        <w14:solidFill>
                          <w14:schemeClr w14:val="tx1"/>
                        </w14:solidFill>
                      </w14:textFill>
                    </w:rPr>
                  </w:pPr>
                </w:p>
              </w:tc>
              <w:tc>
                <w:tcPr>
                  <w:tcW w:w="1719" w:type="dxa"/>
                  <w:vMerge w:val="continue"/>
                  <w:vAlign w:val="center"/>
                </w:tcPr>
                <w:p>
                  <w:pPr>
                    <w:adjustRightInd w:val="0"/>
                    <w:snapToGrid w:val="0"/>
                    <w:spacing w:line="320" w:lineRule="exact"/>
                    <w:jc w:val="center"/>
                    <w:rPr>
                      <w:rFonts w:hint="eastAsia"/>
                      <w:bCs/>
                      <w:color w:val="000000" w:themeColor="text1"/>
                      <w:spacing w:val="-3"/>
                      <w:szCs w:val="21"/>
                      <w14:textFill>
                        <w14:solidFill>
                          <w14:schemeClr w14:val="tx1"/>
                        </w14:solidFill>
                      </w14:textFill>
                    </w:rPr>
                  </w:pPr>
                </w:p>
              </w:tc>
              <w:tc>
                <w:tcPr>
                  <w:tcW w:w="2536" w:type="dxa"/>
                  <w:vMerge w:val="continue"/>
                  <w:vAlign w:val="center"/>
                </w:tcPr>
                <w:p>
                  <w:pPr>
                    <w:adjustRightInd w:val="0"/>
                    <w:snapToGrid w:val="0"/>
                    <w:spacing w:line="320" w:lineRule="exact"/>
                    <w:jc w:val="center"/>
                    <w:rPr>
                      <w:rFonts w:hint="eastAsia"/>
                      <w:bCs/>
                      <w:color w:val="000000" w:themeColor="text1"/>
                      <w:spacing w:val="-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393" w:type="dxa"/>
                  <w:vMerge w:val="continue"/>
                  <w:vAlign w:val="center"/>
                </w:tcPr>
                <w:p>
                  <w:pPr>
                    <w:adjustRightInd w:val="0"/>
                    <w:snapToGrid w:val="0"/>
                    <w:spacing w:line="320" w:lineRule="exact"/>
                    <w:jc w:val="center"/>
                    <w:rPr>
                      <w:color w:val="000000" w:themeColor="text1"/>
                      <w14:textFill>
                        <w14:solidFill>
                          <w14:schemeClr w14:val="tx1"/>
                        </w14:solidFill>
                      </w14:textFill>
                    </w:rPr>
                  </w:pPr>
                </w:p>
              </w:tc>
              <w:tc>
                <w:tcPr>
                  <w:tcW w:w="384" w:type="dxa"/>
                  <w:vMerge w:val="continue"/>
                  <w:vAlign w:val="center"/>
                </w:tcPr>
                <w:p>
                  <w:pPr>
                    <w:adjustRightInd w:val="0"/>
                    <w:snapToGrid w:val="0"/>
                    <w:spacing w:line="320" w:lineRule="exact"/>
                    <w:jc w:val="center"/>
                    <w:rPr>
                      <w:color w:val="000000" w:themeColor="text1"/>
                      <w14:textFill>
                        <w14:solidFill>
                          <w14:schemeClr w14:val="tx1"/>
                        </w14:solidFill>
                      </w14:textFill>
                    </w:rPr>
                  </w:pPr>
                </w:p>
              </w:tc>
              <w:tc>
                <w:tcPr>
                  <w:tcW w:w="794"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喷塑粉尘</w:t>
                  </w:r>
                </w:p>
              </w:tc>
              <w:tc>
                <w:tcPr>
                  <w:tcW w:w="1400"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车间二次密闭+集气罩+旋风除尘+后置滤筒除尘</w:t>
                  </w:r>
                </w:p>
              </w:tc>
              <w:tc>
                <w:tcPr>
                  <w:tcW w:w="982" w:type="dxa"/>
                  <w:vMerge w:val="restart"/>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15m高排气筒（2#）</w:t>
                  </w: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w:t>
                  </w:r>
                </w:p>
              </w:tc>
              <w:tc>
                <w:tcPr>
                  <w:tcW w:w="2536" w:type="dxa"/>
                  <w:vAlign w:val="center"/>
                </w:tcPr>
                <w:p>
                  <w:pPr>
                    <w:adjustRightInd w:val="0"/>
                    <w:snapToGrid w:val="0"/>
                    <w:spacing w:line="320" w:lineRule="exact"/>
                    <w:jc w:val="center"/>
                    <w:rPr>
                      <w:bCs/>
                      <w:color w:val="000000" w:themeColor="text1"/>
                      <w:spacing w:val="-3"/>
                      <w:szCs w:val="21"/>
                      <w:highlight w:val="yellow"/>
                      <w14:textFill>
                        <w14:solidFill>
                          <w14:schemeClr w14:val="tx1"/>
                        </w14:solidFill>
                      </w14:textFill>
                    </w:rPr>
                  </w:pPr>
                  <w:r>
                    <w:rPr>
                      <w:rFonts w:hint="eastAsia"/>
                      <w:bCs/>
                      <w:color w:val="000000" w:themeColor="text1"/>
                      <w:spacing w:val="-3"/>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393" w:type="dxa"/>
                  <w:vMerge w:val="continue"/>
                  <w:vAlign w:val="center"/>
                </w:tcPr>
                <w:p>
                  <w:pPr>
                    <w:adjustRightInd w:val="0"/>
                    <w:snapToGrid w:val="0"/>
                    <w:spacing w:line="320" w:lineRule="exact"/>
                    <w:jc w:val="center"/>
                    <w:rPr>
                      <w:bCs/>
                      <w:color w:val="000000" w:themeColor="text1"/>
                      <w:spacing w:val="-3"/>
                      <w:szCs w:val="21"/>
                      <w:highlight w:val="yellow"/>
                      <w14:textFill>
                        <w14:solidFill>
                          <w14:schemeClr w14:val="tx1"/>
                        </w14:solidFill>
                      </w14:textFill>
                    </w:rPr>
                  </w:pPr>
                </w:p>
              </w:tc>
              <w:tc>
                <w:tcPr>
                  <w:tcW w:w="384" w:type="dxa"/>
                  <w:vMerge w:val="continue"/>
                  <w:vAlign w:val="center"/>
                </w:tcPr>
                <w:p>
                  <w:pPr>
                    <w:adjustRightInd w:val="0"/>
                    <w:snapToGrid w:val="0"/>
                    <w:spacing w:line="320" w:lineRule="exact"/>
                    <w:jc w:val="center"/>
                    <w:rPr>
                      <w:bCs/>
                      <w:color w:val="000000" w:themeColor="text1"/>
                      <w:spacing w:val="-3"/>
                      <w:szCs w:val="21"/>
                      <w:highlight w:val="yellow"/>
                      <w14:textFill>
                        <w14:solidFill>
                          <w14:schemeClr w14:val="tx1"/>
                        </w14:solidFill>
                      </w14:textFill>
                    </w:rPr>
                  </w:pPr>
                </w:p>
              </w:tc>
              <w:tc>
                <w:tcPr>
                  <w:tcW w:w="794"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固化废气</w:t>
                  </w:r>
                </w:p>
              </w:tc>
              <w:tc>
                <w:tcPr>
                  <w:tcW w:w="1400"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车间二次密闭+集气罩+UV光氧+活性炭吸附</w:t>
                  </w:r>
                </w:p>
              </w:tc>
              <w:tc>
                <w:tcPr>
                  <w:tcW w:w="982" w:type="dxa"/>
                  <w:vMerge w:val="continue"/>
                  <w:vAlign w:val="center"/>
                </w:tcPr>
                <w:p>
                  <w:pPr>
                    <w:adjustRightInd w:val="0"/>
                    <w:snapToGrid w:val="0"/>
                    <w:spacing w:line="320" w:lineRule="exact"/>
                    <w:jc w:val="center"/>
                    <w:rPr>
                      <w:bCs/>
                      <w:color w:val="000000" w:themeColor="text1"/>
                      <w:spacing w:val="-3"/>
                      <w:szCs w:val="21"/>
                      <w14:textFill>
                        <w14:solidFill>
                          <w14:schemeClr w14:val="tx1"/>
                        </w14:solidFill>
                      </w14:textFill>
                    </w:rPr>
                  </w:pPr>
                </w:p>
              </w:tc>
              <w:tc>
                <w:tcPr>
                  <w:tcW w:w="1719" w:type="dxa"/>
                  <w:vAlign w:val="center"/>
                </w:tcPr>
                <w:p>
                  <w:pPr>
                    <w:adjustRightInd w:val="0"/>
                    <w:snapToGrid w:val="0"/>
                    <w:spacing w:line="320" w:lineRule="exact"/>
                    <w:jc w:val="center"/>
                    <w:rPr>
                      <w:bCs/>
                      <w:color w:val="000000" w:themeColor="text1"/>
                      <w:spacing w:val="-3"/>
                      <w:szCs w:val="21"/>
                      <w14:textFill>
                        <w14:solidFill>
                          <w14:schemeClr w14:val="tx1"/>
                        </w14:solidFill>
                      </w14:textFill>
                    </w:rPr>
                  </w:pPr>
                  <w:r>
                    <w:rPr>
                      <w:rFonts w:hint="eastAsia"/>
                      <w:bCs/>
                      <w:color w:val="000000" w:themeColor="text1"/>
                      <w:spacing w:val="-3"/>
                      <w:szCs w:val="21"/>
                      <w14:textFill>
                        <w14:solidFill>
                          <w14:schemeClr w14:val="tx1"/>
                        </w14:solidFill>
                      </w14:textFill>
                    </w:rPr>
                    <w:t>/</w:t>
                  </w:r>
                </w:p>
              </w:tc>
              <w:tc>
                <w:tcPr>
                  <w:tcW w:w="2536" w:type="dxa"/>
                  <w:vAlign w:val="center"/>
                </w:tcPr>
                <w:p>
                  <w:pPr>
                    <w:adjustRightInd w:val="0"/>
                    <w:snapToGrid w:val="0"/>
                    <w:spacing w:line="320" w:lineRule="exact"/>
                    <w:jc w:val="center"/>
                    <w:rPr>
                      <w:bCs/>
                      <w:color w:val="000000" w:themeColor="text1"/>
                      <w:spacing w:val="-3"/>
                      <w:szCs w:val="21"/>
                      <w:highlight w:val="yellow"/>
                      <w14:textFill>
                        <w14:solidFill>
                          <w14:schemeClr w14:val="tx1"/>
                        </w14:solidFill>
                      </w14:textFill>
                    </w:rPr>
                  </w:pPr>
                  <w:r>
                    <w:rPr>
                      <w:rFonts w:hint="eastAsia"/>
                      <w:bCs/>
                      <w:color w:val="000000" w:themeColor="text1"/>
                      <w:spacing w:val="-3"/>
                      <w:szCs w:val="21"/>
                      <w14:textFill>
                        <w14:solidFill>
                          <w14:schemeClr w14:val="tx1"/>
                        </w14:solidFill>
                      </w14:textFill>
                    </w:rPr>
                    <w:t>新建</w:t>
                  </w:r>
                </w:p>
              </w:tc>
            </w:tr>
          </w:tbl>
          <w:p>
            <w:pPr>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4、产品方案及规模</w:t>
            </w:r>
          </w:p>
          <w:p>
            <w:pPr>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本项目实施后，其具体产品及生产规模详见表</w:t>
            </w:r>
            <w:r>
              <w:rPr>
                <w:rFonts w:hint="eastAsia"/>
                <w:color w:val="000000" w:themeColor="text1"/>
                <w:sz w:val="24"/>
                <w:lang w:val="en-US" w:eastAsia="zh-CN"/>
                <w14:textFill>
                  <w14:solidFill>
                    <w14:schemeClr w14:val="tx1"/>
                  </w14:solidFill>
                </w14:textFill>
              </w:rPr>
              <w:t>11</w:t>
            </w:r>
            <w:r>
              <w:rPr>
                <w:rFonts w:hint="eastAsia"/>
                <w:color w:val="000000" w:themeColor="text1"/>
                <w:sz w:val="24"/>
                <w14:textFill>
                  <w14:solidFill>
                    <w14:schemeClr w14:val="tx1"/>
                  </w14:solidFill>
                </w14:textFill>
              </w:rPr>
              <w:t>。</w:t>
            </w:r>
          </w:p>
          <w:p>
            <w:pPr>
              <w:pStyle w:val="6"/>
              <w:numPr>
                <w:ilvl w:val="0"/>
                <w:numId w:val="0"/>
              </w:numPr>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 xml:space="preserve">11 </w:t>
            </w:r>
            <w:r>
              <w:rPr>
                <w:rFonts w:hint="eastAsia"/>
                <w:color w:val="000000" w:themeColor="text1"/>
                <w14:textFill>
                  <w14:solidFill>
                    <w14:schemeClr w14:val="tx1"/>
                  </w14:solidFill>
                </w14:textFill>
              </w:rPr>
              <w:t xml:space="preserve">          本项目产品方案及生产规模一览表</w:t>
            </w:r>
          </w:p>
          <w:tbl>
            <w:tblPr>
              <w:tblStyle w:val="19"/>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305"/>
              <w:gridCol w:w="1455"/>
              <w:gridCol w:w="1620"/>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3061" w:type="dxa"/>
                  <w:gridSpan w:val="2"/>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产品名称</w:t>
                  </w:r>
                </w:p>
              </w:tc>
              <w:tc>
                <w:tcPr>
                  <w:tcW w:w="3075" w:type="dxa"/>
                  <w:gridSpan w:val="2"/>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年产量（套）</w:t>
                  </w:r>
                </w:p>
              </w:tc>
              <w:tc>
                <w:tcPr>
                  <w:tcW w:w="2169"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56" w:type="dxa"/>
                  <w:vMerge w:val="restart"/>
                  <w:vAlign w:val="center"/>
                </w:tcPr>
                <w:p>
                  <w:pPr>
                    <w:spacing w:line="320" w:lineRule="exact"/>
                    <w:jc w:val="center"/>
                    <w:rPr>
                      <w:b/>
                      <w:bCs/>
                      <w:color w:val="000000" w:themeColor="text1"/>
                      <w14:textFill>
                        <w14:solidFill>
                          <w14:schemeClr w14:val="tx1"/>
                        </w14:solidFill>
                      </w14:textFill>
                    </w:rPr>
                  </w:pPr>
                  <w:r>
                    <w:rPr>
                      <w:rFonts w:hint="eastAsia"/>
                      <w:color w:val="000000" w:themeColor="text1"/>
                      <w:szCs w:val="21"/>
                      <w14:textFill>
                        <w14:solidFill>
                          <w14:schemeClr w14:val="tx1"/>
                        </w14:solidFill>
                      </w14:textFill>
                    </w:rPr>
                    <w:t>钢制办公家具</w:t>
                  </w:r>
                </w:p>
              </w:tc>
              <w:tc>
                <w:tcPr>
                  <w:tcW w:w="1305" w:type="dxa"/>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存包柜</w:t>
                  </w:r>
                </w:p>
              </w:tc>
              <w:tc>
                <w:tcPr>
                  <w:tcW w:w="1455" w:type="dxa"/>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5000</w:t>
                  </w:r>
                </w:p>
              </w:tc>
              <w:tc>
                <w:tcPr>
                  <w:tcW w:w="1620" w:type="dxa"/>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10000</w:t>
                  </w:r>
                </w:p>
              </w:tc>
              <w:tc>
                <w:tcPr>
                  <w:tcW w:w="2169" w:type="dxa"/>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根据订单定制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56" w:type="dxa"/>
                  <w:vMerge w:val="continue"/>
                  <w:vAlign w:val="center"/>
                </w:tcPr>
                <w:p>
                  <w:pPr>
                    <w:spacing w:line="320" w:lineRule="exact"/>
                    <w:jc w:val="center"/>
                    <w:rPr>
                      <w:color w:val="000000" w:themeColor="text1"/>
                      <w:szCs w:val="21"/>
                      <w14:textFill>
                        <w14:solidFill>
                          <w14:schemeClr w14:val="tx1"/>
                        </w14:solidFill>
                      </w14:textFill>
                    </w:rPr>
                  </w:pPr>
                </w:p>
              </w:tc>
              <w:tc>
                <w:tcPr>
                  <w:tcW w:w="1305" w:type="dxa"/>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档案柜</w:t>
                  </w:r>
                </w:p>
              </w:tc>
              <w:tc>
                <w:tcPr>
                  <w:tcW w:w="1455" w:type="dxa"/>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w:t>
                  </w:r>
                </w:p>
              </w:tc>
              <w:tc>
                <w:tcPr>
                  <w:tcW w:w="1620" w:type="dxa"/>
                  <w:vMerge w:val="continue"/>
                  <w:vAlign w:val="center"/>
                </w:tcPr>
                <w:p>
                  <w:pPr>
                    <w:spacing w:line="320" w:lineRule="exact"/>
                    <w:jc w:val="center"/>
                    <w:rPr>
                      <w:color w:val="000000" w:themeColor="text1"/>
                      <w:szCs w:val="21"/>
                      <w14:textFill>
                        <w14:solidFill>
                          <w14:schemeClr w14:val="tx1"/>
                        </w14:solidFill>
                      </w14:textFill>
                    </w:rPr>
                  </w:pPr>
                </w:p>
              </w:tc>
              <w:tc>
                <w:tcPr>
                  <w:tcW w:w="2169" w:type="dxa"/>
                  <w:vMerge w:val="continue"/>
                  <w:vAlign w:val="center"/>
                </w:tcPr>
                <w:p>
                  <w:pPr>
                    <w:spacing w:line="320" w:lineRule="exact"/>
                    <w:jc w:val="center"/>
                    <w:rPr>
                      <w:color w:val="000000" w:themeColor="text1"/>
                      <w:szCs w:val="21"/>
                      <w14:textFill>
                        <w14:solidFill>
                          <w14:schemeClr w14:val="tx1"/>
                        </w14:solidFill>
                      </w14:textFill>
                    </w:rPr>
                  </w:pPr>
                </w:p>
              </w:tc>
            </w:tr>
          </w:tbl>
          <w:p>
            <w:pPr>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5、主要原辅材料及能源消耗</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主要原辅材料、能源消耗情况见表</w:t>
            </w:r>
            <w:r>
              <w:rPr>
                <w:rFonts w:hint="eastAsia"/>
                <w:color w:val="000000" w:themeColor="text1"/>
                <w:sz w:val="24"/>
                <w:lang w:val="en-US" w:eastAsia="zh-CN"/>
                <w14:textFill>
                  <w14:solidFill>
                    <w14:schemeClr w14:val="tx1"/>
                  </w14:solidFill>
                </w14:textFill>
              </w:rPr>
              <w:t>12</w:t>
            </w:r>
            <w:r>
              <w:rPr>
                <w:color w:val="000000" w:themeColor="text1"/>
                <w:sz w:val="24"/>
                <w14:textFill>
                  <w14:solidFill>
                    <w14:schemeClr w14:val="tx1"/>
                  </w14:solidFill>
                </w14:textFill>
              </w:rPr>
              <w:t>。</w:t>
            </w:r>
          </w:p>
          <w:p>
            <w:pPr>
              <w:pStyle w:val="6"/>
              <w:numPr>
                <w:ilvl w:val="0"/>
                <w:numId w:val="0"/>
              </w:numPr>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12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w:t>
            </w:r>
            <w:r>
              <w:rPr>
                <w:color w:val="000000" w:themeColor="text1"/>
                <w14:textFill>
                  <w14:solidFill>
                    <w14:schemeClr w14:val="tx1"/>
                  </w14:solidFill>
                </w14:textFill>
              </w:rPr>
              <w:t>项目主要原辅材料及能源消耗一览表</w:t>
            </w:r>
          </w:p>
          <w:tbl>
            <w:tblPr>
              <w:tblStyle w:val="1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92"/>
              <w:gridCol w:w="1762"/>
              <w:gridCol w:w="1185"/>
              <w:gridCol w:w="1830"/>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3"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类型</w:t>
                  </w: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061"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材料名称</w:t>
                  </w:r>
                </w:p>
              </w:tc>
              <w:tc>
                <w:tcPr>
                  <w:tcW w:w="714"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单位</w:t>
                  </w:r>
                </w:p>
              </w:tc>
              <w:tc>
                <w:tcPr>
                  <w:tcW w:w="1102"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消耗量</w:t>
                  </w:r>
                </w:p>
              </w:tc>
              <w:tc>
                <w:tcPr>
                  <w:tcW w:w="1230"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3" w:type="pct"/>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原辅材料</w:t>
                  </w: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061" w:type="pct"/>
                  <w:vAlign w:val="center"/>
                </w:tcPr>
                <w:p>
                  <w:pPr>
                    <w:widowControl/>
                    <w:spacing w:line="320" w:lineRule="exact"/>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钢板</w:t>
                  </w:r>
                </w:p>
              </w:tc>
              <w:tc>
                <w:tcPr>
                  <w:tcW w:w="714" w:type="pct"/>
                  <w:vAlign w:val="center"/>
                </w:tcPr>
                <w:p>
                  <w:pPr>
                    <w:pStyle w:val="35"/>
                    <w:spacing w:before="24" w:after="24" w:line="320" w:lineRule="exac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t/a</w:t>
                  </w:r>
                </w:p>
              </w:tc>
              <w:tc>
                <w:tcPr>
                  <w:tcW w:w="1102" w:type="pct"/>
                  <w:vAlign w:val="center"/>
                </w:tcPr>
                <w:p>
                  <w:pPr>
                    <w:widowControl/>
                    <w:spacing w:line="320" w:lineRule="exact"/>
                    <w:jc w:val="center"/>
                    <w:rPr>
                      <w:rFonts w:hint="default" w:eastAsia="宋体"/>
                      <w:color w:val="000000" w:themeColor="text1"/>
                      <w:lang w:val="en-US" w:eastAsia="zh-CN"/>
                      <w14:textFill>
                        <w14:solidFill>
                          <w14:schemeClr w14:val="tx1"/>
                        </w14:solidFill>
                      </w14:textFill>
                    </w:rPr>
                  </w:pPr>
                  <w:r>
                    <w:rPr>
                      <w:rFonts w:hint="eastAsia"/>
                      <w:b/>
                      <w:bCs/>
                      <w:color w:val="000000" w:themeColor="text1"/>
                      <w:u w:val="single"/>
                      <w:lang w:val="en-US" w:eastAsia="zh-CN"/>
                      <w14:textFill>
                        <w14:solidFill>
                          <w14:schemeClr w14:val="tx1"/>
                        </w14:solidFill>
                      </w14:textFill>
                    </w:rPr>
                    <w:t>300</w:t>
                  </w:r>
                </w:p>
              </w:tc>
              <w:tc>
                <w:tcPr>
                  <w:tcW w:w="1230" w:type="pct"/>
                  <w:vAlign w:val="center"/>
                </w:tcPr>
                <w:p>
                  <w:pPr>
                    <w:spacing w:line="320" w:lineRule="exact"/>
                    <w:jc w:val="center"/>
                    <w:rPr>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Merge w:val="continue"/>
                  <w:vAlign w:val="center"/>
                </w:tcPr>
                <w:p>
                  <w:pPr>
                    <w:spacing w:line="320" w:lineRule="exact"/>
                    <w:jc w:val="center"/>
                    <w:rPr>
                      <w:color w:val="000000" w:themeColor="text1"/>
                      <w14:textFill>
                        <w14:solidFill>
                          <w14:schemeClr w14:val="tx1"/>
                        </w14:solidFill>
                      </w14:textFill>
                    </w:rPr>
                  </w:pP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塑粉</w:t>
                  </w:r>
                </w:p>
              </w:tc>
              <w:tc>
                <w:tcPr>
                  <w:tcW w:w="714"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t/a</w:t>
                  </w:r>
                </w:p>
              </w:tc>
              <w:tc>
                <w:tcPr>
                  <w:tcW w:w="1102" w:type="pct"/>
                  <w:vAlign w:val="center"/>
                </w:tcPr>
                <w:p>
                  <w:pPr>
                    <w:widowControl/>
                    <w:spacing w:line="320" w:lineRule="exact"/>
                    <w:jc w:val="center"/>
                    <w:rPr>
                      <w:rFonts w:hint="default" w:eastAsia="宋体"/>
                      <w:color w:val="000000" w:themeColor="text1"/>
                      <w:lang w:val="en-US" w:eastAsia="zh-CN"/>
                      <w14:textFill>
                        <w14:solidFill>
                          <w14:schemeClr w14:val="tx1"/>
                        </w14:solidFill>
                      </w14:textFill>
                    </w:rPr>
                  </w:pPr>
                  <w:r>
                    <w:rPr>
                      <w:rFonts w:hint="eastAsia"/>
                      <w:b/>
                      <w:bCs/>
                      <w:color w:val="000000" w:themeColor="text1"/>
                      <w:u w:val="single"/>
                      <w:lang w:val="en-US" w:eastAsia="zh-CN"/>
                      <w14:textFill>
                        <w14:solidFill>
                          <w14:schemeClr w14:val="tx1"/>
                        </w14:solidFill>
                      </w14:textFill>
                    </w:rPr>
                    <w:t>12</w:t>
                  </w:r>
                </w:p>
              </w:tc>
              <w:tc>
                <w:tcPr>
                  <w:tcW w:w="1230" w:type="pct"/>
                  <w:vAlign w:val="center"/>
                </w:tcPr>
                <w:p>
                  <w:pPr>
                    <w:spacing w:line="320" w:lineRule="exact"/>
                    <w:jc w:val="center"/>
                    <w:rPr>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Merge w:val="continue"/>
                  <w:vAlign w:val="center"/>
                </w:tcPr>
                <w:p>
                  <w:pPr>
                    <w:spacing w:line="320" w:lineRule="exact"/>
                    <w:jc w:val="center"/>
                    <w:rPr>
                      <w:color w:val="000000" w:themeColor="text1"/>
                      <w14:textFill>
                        <w14:solidFill>
                          <w14:schemeClr w14:val="tx1"/>
                        </w14:solidFill>
                      </w14:textFill>
                    </w:rPr>
                  </w:pP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焊丝</w:t>
                  </w:r>
                </w:p>
              </w:tc>
              <w:tc>
                <w:tcPr>
                  <w:tcW w:w="714"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t/a</w:t>
                  </w:r>
                </w:p>
              </w:tc>
              <w:tc>
                <w:tcPr>
                  <w:tcW w:w="1102" w:type="pct"/>
                  <w:vAlign w:val="center"/>
                </w:tcPr>
                <w:p>
                  <w:pPr>
                    <w:widowControl/>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230" w:type="pct"/>
                  <w:vAlign w:val="center"/>
                </w:tcPr>
                <w:p>
                  <w:pPr>
                    <w:spacing w:line="320" w:lineRule="exact"/>
                    <w:jc w:val="center"/>
                    <w:rPr>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Merge w:val="continue"/>
                  <w:vAlign w:val="center"/>
                </w:tcPr>
                <w:p>
                  <w:pPr>
                    <w:spacing w:line="320" w:lineRule="exact"/>
                    <w:jc w:val="center"/>
                    <w:rPr>
                      <w:color w:val="000000" w:themeColor="text1"/>
                      <w14:textFill>
                        <w14:solidFill>
                          <w14:schemeClr w14:val="tx1"/>
                        </w14:solidFill>
                      </w14:textFill>
                    </w:rPr>
                  </w:pP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锁具</w:t>
                  </w:r>
                </w:p>
              </w:tc>
              <w:tc>
                <w:tcPr>
                  <w:tcW w:w="71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w:t>
                  </w:r>
                  <w:r>
                    <w:rPr>
                      <w:color w:val="000000" w:themeColor="text1"/>
                      <w14:textFill>
                        <w14:solidFill>
                          <w14:schemeClr w14:val="tx1"/>
                        </w14:solidFill>
                      </w14:textFill>
                    </w:rPr>
                    <w:t>把/年</w:t>
                  </w:r>
                </w:p>
              </w:tc>
              <w:tc>
                <w:tcPr>
                  <w:tcW w:w="1102" w:type="pct"/>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9</w:t>
                  </w:r>
                </w:p>
              </w:tc>
              <w:tc>
                <w:tcPr>
                  <w:tcW w:w="1230" w:type="pct"/>
                  <w:vAlign w:val="center"/>
                </w:tcPr>
                <w:p>
                  <w:pPr>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Merge w:val="continue"/>
                  <w:vAlign w:val="center"/>
                </w:tcPr>
                <w:p>
                  <w:pPr>
                    <w:spacing w:line="320" w:lineRule="exact"/>
                    <w:jc w:val="center"/>
                    <w:rPr>
                      <w:color w:val="000000" w:themeColor="text1"/>
                      <w14:textFill>
                        <w14:solidFill>
                          <w14:schemeClr w14:val="tx1"/>
                        </w14:solidFill>
                      </w14:textFill>
                    </w:rPr>
                  </w:pP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061"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扣手</w:t>
                  </w:r>
                </w:p>
              </w:tc>
              <w:tc>
                <w:tcPr>
                  <w:tcW w:w="714"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万个</w:t>
                  </w:r>
                  <w:r>
                    <w:rPr>
                      <w:color w:val="000000" w:themeColor="text1"/>
                      <w14:textFill>
                        <w14:solidFill>
                          <w14:schemeClr w14:val="tx1"/>
                        </w14:solidFill>
                      </w14:textFill>
                    </w:rPr>
                    <w:t>/年</w:t>
                  </w:r>
                </w:p>
              </w:tc>
              <w:tc>
                <w:tcPr>
                  <w:tcW w:w="1102" w:type="pct"/>
                  <w:vAlign w:val="center"/>
                </w:tcPr>
                <w:p>
                  <w:pPr>
                    <w:jc w:val="center"/>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9</w:t>
                  </w:r>
                </w:p>
              </w:tc>
              <w:tc>
                <w:tcPr>
                  <w:tcW w:w="1230" w:type="pct"/>
                  <w:vAlign w:val="center"/>
                </w:tcPr>
                <w:p>
                  <w:pPr>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Merge w:val="continue"/>
                  <w:vAlign w:val="center"/>
                </w:tcPr>
                <w:p>
                  <w:pPr>
                    <w:spacing w:line="320" w:lineRule="exact"/>
                    <w:jc w:val="center"/>
                    <w:rPr>
                      <w:color w:val="000000" w:themeColor="text1"/>
                      <w14:textFill>
                        <w14:solidFill>
                          <w14:schemeClr w14:val="tx1"/>
                        </w14:solidFill>
                      </w14:textFill>
                    </w:rPr>
                  </w:pP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磷化液</w:t>
                  </w:r>
                </w:p>
              </w:tc>
              <w:tc>
                <w:tcPr>
                  <w:tcW w:w="714"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t/a</w:t>
                  </w:r>
                </w:p>
              </w:tc>
              <w:tc>
                <w:tcPr>
                  <w:tcW w:w="1102" w:type="pct"/>
                  <w:vAlign w:val="center"/>
                </w:tcPr>
                <w:p>
                  <w:pPr>
                    <w:widowControl/>
                    <w:spacing w:line="320" w:lineRule="exact"/>
                    <w:jc w:val="cente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1</w:t>
                  </w:r>
                </w:p>
              </w:tc>
              <w:tc>
                <w:tcPr>
                  <w:tcW w:w="1230" w:type="pct"/>
                  <w:vAlign w:val="center"/>
                </w:tcPr>
                <w:p>
                  <w:pPr>
                    <w:spacing w:line="320" w:lineRule="exact"/>
                    <w:jc w:val="center"/>
                    <w:rPr>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外购，25kg/桶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Merge w:val="continue"/>
                  <w:vAlign w:val="center"/>
                </w:tcPr>
                <w:p>
                  <w:pPr>
                    <w:spacing w:line="320" w:lineRule="exact"/>
                    <w:jc w:val="center"/>
                    <w:rPr>
                      <w:color w:val="000000" w:themeColor="text1"/>
                      <w14:textFill>
                        <w14:solidFill>
                          <w14:schemeClr w14:val="tx1"/>
                        </w14:solidFill>
                      </w14:textFill>
                    </w:rPr>
                  </w:pP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061"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液压油</w:t>
                  </w:r>
                </w:p>
              </w:tc>
              <w:tc>
                <w:tcPr>
                  <w:tcW w:w="714"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t/a</w:t>
                  </w:r>
                </w:p>
              </w:tc>
              <w:tc>
                <w:tcPr>
                  <w:tcW w:w="1102" w:type="pct"/>
                  <w:vAlign w:val="center"/>
                </w:tcPr>
                <w:p>
                  <w:pPr>
                    <w:widowControl/>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0.01</w:t>
                  </w:r>
                </w:p>
              </w:tc>
              <w:tc>
                <w:tcPr>
                  <w:tcW w:w="1230" w:type="pct"/>
                  <w:vAlign w:val="center"/>
                </w:tcPr>
                <w:p>
                  <w:pPr>
                    <w:spacing w:line="320" w:lineRule="exact"/>
                    <w:jc w:val="center"/>
                    <w:rPr>
                      <w:bCs/>
                      <w:color w:val="000000" w:themeColor="text1"/>
                      <w:spacing w:val="-3"/>
                      <w:szCs w:val="21"/>
                      <w14:textFill>
                        <w14:solidFill>
                          <w14:schemeClr w14:val="tx1"/>
                        </w14:solidFill>
                      </w14:textFill>
                    </w:rPr>
                  </w:pPr>
                  <w:r>
                    <w:rPr>
                      <w:rFonts w:hint="eastAsia"/>
                      <w:bCs/>
                      <w:color w:val="000000" w:themeColor="text1"/>
                      <w:szCs w:val="21"/>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能源消耗</w:t>
                  </w: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0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w:t>
                  </w:r>
                </w:p>
              </w:tc>
              <w:tc>
                <w:tcPr>
                  <w:tcW w:w="714"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万</w:t>
                  </w:r>
                  <w:r>
                    <w:rPr>
                      <w:rFonts w:hint="eastAsia"/>
                      <w:color w:val="000000" w:themeColor="text1"/>
                      <w14:textFill>
                        <w14:solidFill>
                          <w14:schemeClr w14:val="tx1"/>
                        </w14:solidFill>
                      </w14:textFill>
                    </w:rPr>
                    <w:t>kWh</w:t>
                  </w:r>
                  <w:r>
                    <w:rPr>
                      <w:color w:val="000000" w:themeColor="text1"/>
                      <w14:textFill>
                        <w14:solidFill>
                          <w14:schemeClr w14:val="tx1"/>
                        </w14:solidFill>
                      </w14:textFill>
                    </w:rPr>
                    <w:t>/a</w:t>
                  </w:r>
                </w:p>
              </w:tc>
              <w:tc>
                <w:tcPr>
                  <w:tcW w:w="1102"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230"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高龙镇电网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 w:type="pct"/>
                  <w:vMerge w:val="continue"/>
                  <w:vAlign w:val="center"/>
                </w:tcPr>
                <w:p>
                  <w:pPr>
                    <w:spacing w:line="320" w:lineRule="exact"/>
                    <w:jc w:val="center"/>
                    <w:rPr>
                      <w:color w:val="000000" w:themeColor="text1"/>
                      <w14:textFill>
                        <w14:solidFill>
                          <w14:schemeClr w14:val="tx1"/>
                        </w14:solidFill>
                      </w14:textFill>
                    </w:rPr>
                  </w:pPr>
                </w:p>
              </w:tc>
              <w:tc>
                <w:tcPr>
                  <w:tcW w:w="417"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06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水</w:t>
                  </w:r>
                </w:p>
              </w:tc>
              <w:tc>
                <w:tcPr>
                  <w:tcW w:w="714"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t</w:t>
                  </w:r>
                  <w:r>
                    <w:rPr>
                      <w:color w:val="000000" w:themeColor="text1"/>
                      <w14:textFill>
                        <w14:solidFill>
                          <w14:schemeClr w14:val="tx1"/>
                        </w14:solidFill>
                      </w14:textFill>
                    </w:rPr>
                    <w:t>/a</w:t>
                  </w:r>
                </w:p>
              </w:tc>
              <w:tc>
                <w:tcPr>
                  <w:tcW w:w="1102"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180</w:t>
                  </w:r>
                </w:p>
              </w:tc>
              <w:tc>
                <w:tcPr>
                  <w:tcW w:w="1230"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高龙</w:t>
                  </w:r>
                  <w:r>
                    <w:rPr>
                      <w:color w:val="000000" w:themeColor="text1"/>
                      <w:szCs w:val="21"/>
                      <w14:textFill>
                        <w14:solidFill>
                          <w14:schemeClr w14:val="tx1"/>
                        </w14:solidFill>
                      </w14:textFill>
                    </w:rPr>
                    <w:t>镇自来水管网</w:t>
                  </w:r>
                </w:p>
              </w:tc>
            </w:tr>
          </w:tbl>
          <w:p>
            <w:pPr>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主要原辅材理化性质：</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塑粉：</w:t>
            </w:r>
            <w:r>
              <w:rPr>
                <w:color w:val="000000" w:themeColor="text1"/>
                <w:sz w:val="24"/>
                <w14:textFill>
                  <w14:solidFill>
                    <w14:schemeClr w14:val="tx1"/>
                  </w14:solidFill>
                </w14:textFill>
              </w:rPr>
              <w:t>项目使用的塑粉主要成分为饱和聚脂树脂、环氧树脂及钛白粉等。饱和聚酯树脂为聚酯树脂的一类，主要是线性树脂，由饱和的二元酸和二元醇经缩聚而成，白色颗粒，软化点为100℃；环氧树脂是含有环氧集团的树脂的总称，本项目所用的环氧树脂为高分子环氧树脂，呈固体，软化点为90℃，熔点为145～155℃，无臭无味，溶于丙酮、环己酮、乙二醇、甲苯、苯乙烯等，对金属和非金属具有优异的粘合力，耐热性、绝缘性、硬度和柔韧性都好；钛白粉为二氧化钛的俗名，其化学性相当稳定，在一般情况下不与大部分化学试剂发生作用，是一种重要的白色颜料和瓷器釉药，广泛用于冶金、涂料、油墨、塑料、化妆品等方面。</w:t>
            </w:r>
          </w:p>
          <w:p>
            <w:pPr>
              <w:spacing w:line="460" w:lineRule="exact"/>
              <w:ind w:firstLine="480" w:firstLineChars="200"/>
              <w:rPr>
                <w:rFonts w:hAnsi="Arial"/>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磷化液：</w:t>
            </w:r>
            <w:r>
              <w:rPr>
                <w:rFonts w:hint="eastAsia" w:hAnsi="Arial"/>
                <w:color w:val="000000" w:themeColor="text1"/>
                <w:kern w:val="0"/>
                <w:sz w:val="24"/>
                <w14:textFill>
                  <w14:solidFill>
                    <w14:schemeClr w14:val="tx1"/>
                  </w14:solidFill>
                </w14:textFill>
              </w:rPr>
              <w:t>磷化作为喷漆、喷塑等涂装前的底层，可在工件表面形成均匀、致密、耐蚀的灰色磷化膜，使涂层附着力好。本项目使用磷化液为锌铁系磷化液，主要成分为磷酸23%，纯碱4%，氧化锌2.5%，柠檬酸1.5%，酒石酸3%，磷酸三钠1.2%，三聚磷酸钠1.8%，磷酸氢二铵2%，活性剂5%，AES5%，水50%。本项目采用人工磷化。</w:t>
            </w:r>
          </w:p>
          <w:p>
            <w:pPr>
              <w:spacing w:line="46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6、主要生产设备</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本产品</w:t>
            </w:r>
            <w:r>
              <w:rPr>
                <w:color w:val="000000" w:themeColor="text1"/>
                <w:sz w:val="24"/>
                <w14:textFill>
                  <w14:solidFill>
                    <w14:schemeClr w14:val="tx1"/>
                  </w14:solidFill>
                </w14:textFill>
              </w:rPr>
              <w:t>主要设备详见表</w:t>
            </w:r>
            <w:r>
              <w:rPr>
                <w:rFonts w:hint="eastAsia"/>
                <w:color w:val="000000" w:themeColor="text1"/>
                <w:sz w:val="24"/>
                <w:lang w:val="en-US" w:eastAsia="zh-CN"/>
                <w14:textFill>
                  <w14:solidFill>
                    <w14:schemeClr w14:val="tx1"/>
                  </w14:solidFill>
                </w14:textFill>
              </w:rPr>
              <w:t>13</w:t>
            </w:r>
            <w:r>
              <w:rPr>
                <w:color w:val="000000" w:themeColor="text1"/>
                <w:sz w:val="24"/>
                <w14:textFill>
                  <w14:solidFill>
                    <w14:schemeClr w14:val="tx1"/>
                  </w14:solidFill>
                </w14:textFill>
              </w:rPr>
              <w:t>。</w:t>
            </w:r>
          </w:p>
          <w:p>
            <w:pPr>
              <w:pStyle w:val="6"/>
              <w:numPr>
                <w:ilvl w:val="0"/>
                <w:numId w:val="0"/>
              </w:numPr>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13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主要设备一览表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462"/>
              <w:gridCol w:w="2397"/>
              <w:gridCol w:w="2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482"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设备名称</w:t>
                  </w:r>
                </w:p>
              </w:tc>
              <w:tc>
                <w:tcPr>
                  <w:tcW w:w="1443"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型号/规格</w:t>
                  </w:r>
                </w:p>
              </w:tc>
              <w:tc>
                <w:tcPr>
                  <w:tcW w:w="1614"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482" w:type="pct"/>
                  <w:vAlign w:val="center"/>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点焊机</w:t>
                  </w:r>
                </w:p>
              </w:tc>
              <w:tc>
                <w:tcPr>
                  <w:tcW w:w="1443" w:type="pct"/>
                  <w:vAlign w:val="center"/>
                </w:tcPr>
                <w:p>
                  <w:pPr>
                    <w:widowControl/>
                    <w:spacing w:line="32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680" w:type="dxa"/>
                  <w:vAlign w:val="center"/>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482" w:type="pct"/>
                  <w:vAlign w:val="center"/>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折弯机</w:t>
                  </w:r>
                </w:p>
              </w:tc>
              <w:tc>
                <w:tcPr>
                  <w:tcW w:w="1443" w:type="pct"/>
                  <w:vAlign w:val="center"/>
                </w:tcPr>
                <w:p>
                  <w:pPr>
                    <w:widowControl/>
                    <w:spacing w:line="32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680" w:type="dxa"/>
                  <w:vAlign w:val="center"/>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482" w:type="pct"/>
                  <w:vAlign w:val="center"/>
                </w:tcPr>
                <w:p>
                  <w:pPr>
                    <w:widowControl/>
                    <w:tabs>
                      <w:tab w:val="left" w:pos="437"/>
                    </w:tabs>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冲床</w:t>
                  </w:r>
                </w:p>
              </w:tc>
              <w:tc>
                <w:tcPr>
                  <w:tcW w:w="1443" w:type="pct"/>
                  <w:vAlign w:val="center"/>
                </w:tcPr>
                <w:p>
                  <w:pPr>
                    <w:widowControl/>
                    <w:spacing w:line="32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680" w:type="dxa"/>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482" w:type="pct"/>
                  <w:vAlign w:val="center"/>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二保焊机</w:t>
                  </w:r>
                </w:p>
              </w:tc>
              <w:tc>
                <w:tcPr>
                  <w:tcW w:w="1443" w:type="pct"/>
                  <w:vAlign w:val="center"/>
                </w:tcPr>
                <w:p>
                  <w:pPr>
                    <w:widowControl/>
                    <w:spacing w:line="32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680" w:type="dxa"/>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482" w:type="pct"/>
                  <w:vAlign w:val="center"/>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激光切割机</w:t>
                  </w:r>
                </w:p>
              </w:tc>
              <w:tc>
                <w:tcPr>
                  <w:tcW w:w="1443" w:type="pct"/>
                  <w:vAlign w:val="center"/>
                </w:tcPr>
                <w:p>
                  <w:pPr>
                    <w:widowControl/>
                    <w:spacing w:line="32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680" w:type="dxa"/>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482" w:type="pct"/>
                  <w:vAlign w:val="center"/>
                </w:tcPr>
                <w:p>
                  <w:pPr>
                    <w:widowControl/>
                    <w:spacing w:line="360" w:lineRule="exact"/>
                    <w:jc w:val="center"/>
                    <w:textAlignment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喷粉间</w:t>
                  </w:r>
                </w:p>
              </w:tc>
              <w:tc>
                <w:tcPr>
                  <w:tcW w:w="1443" w:type="pct"/>
                  <w:vAlign w:val="center"/>
                </w:tcPr>
                <w:p>
                  <w:pPr>
                    <w:widowControl/>
                    <w:spacing w:line="320" w:lineRule="exact"/>
                    <w:jc w:val="center"/>
                    <w:textAlignment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2工位</w:t>
                  </w:r>
                </w:p>
              </w:tc>
              <w:tc>
                <w:tcPr>
                  <w:tcW w:w="2680" w:type="dxa"/>
                </w:tcPr>
                <w:p>
                  <w:pPr>
                    <w:spacing w:line="360" w:lineRule="exact"/>
                    <w:jc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59" w:type="pct"/>
                  <w:vAlign w:val="center"/>
                </w:tcPr>
                <w:p>
                  <w:pPr>
                    <w:adjustRightInd w:val="0"/>
                    <w:snapToGrid w:val="0"/>
                    <w:spacing w:line="320" w:lineRule="exact"/>
                    <w:jc w:val="center"/>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7</w:t>
                  </w:r>
                </w:p>
              </w:tc>
              <w:tc>
                <w:tcPr>
                  <w:tcW w:w="1482" w:type="pct"/>
                  <w:vAlign w:val="center"/>
                </w:tcPr>
                <w:p>
                  <w:pPr>
                    <w:widowControl/>
                    <w:spacing w:line="360" w:lineRule="exact"/>
                    <w:jc w:val="center"/>
                    <w:textAlignment w:val="center"/>
                    <w:rPr>
                      <w:b/>
                      <w:bCs/>
                      <w:color w:val="000000" w:themeColor="text1"/>
                      <w:szCs w:val="21"/>
                      <w:u w:val="single"/>
                      <w14:textFill>
                        <w14:solidFill>
                          <w14:schemeClr w14:val="tx1"/>
                        </w14:solidFill>
                      </w14:textFill>
                    </w:rPr>
                  </w:pPr>
                  <w:r>
                    <w:rPr>
                      <w:rFonts w:hint="eastAsia"/>
                      <w:b/>
                      <w:bCs/>
                      <w:color w:val="000000" w:themeColor="text1"/>
                      <w:sz w:val="22"/>
                      <w:szCs w:val="22"/>
                      <w:u w:val="single"/>
                      <w14:textFill>
                        <w14:solidFill>
                          <w14:schemeClr w14:val="tx1"/>
                        </w14:solidFill>
                      </w14:textFill>
                    </w:rPr>
                    <w:t>烘干房</w:t>
                  </w:r>
                </w:p>
              </w:tc>
              <w:tc>
                <w:tcPr>
                  <w:tcW w:w="1443" w:type="pct"/>
                  <w:vAlign w:val="center"/>
                </w:tcPr>
                <w:p>
                  <w:pPr>
                    <w:widowControl/>
                    <w:spacing w:line="320" w:lineRule="exact"/>
                    <w:jc w:val="center"/>
                    <w:textAlignment w:val="center"/>
                    <w:rPr>
                      <w:color w:val="000000" w:themeColor="text1"/>
                      <w:szCs w:val="21"/>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20</w:t>
                  </w:r>
                  <w:r>
                    <w:rPr>
                      <w:rFonts w:hint="eastAsia"/>
                      <w:b/>
                      <w:bCs/>
                      <w:color w:val="000000" w:themeColor="text1"/>
                      <w:szCs w:val="21"/>
                      <w:u w:val="single"/>
                      <w14:textFill>
                        <w14:solidFill>
                          <w14:schemeClr w14:val="tx1"/>
                        </w14:solidFill>
                      </w14:textFill>
                    </w:rPr>
                    <w:t>m</w:t>
                  </w:r>
                  <w:r>
                    <w:rPr>
                      <w:rFonts w:hint="eastAsia"/>
                      <w:b/>
                      <w:bCs/>
                      <w:color w:val="000000" w:themeColor="text1"/>
                      <w:szCs w:val="21"/>
                      <w:u w:val="single"/>
                      <w:vertAlign w:val="superscript"/>
                      <w14:textFill>
                        <w14:solidFill>
                          <w14:schemeClr w14:val="tx1"/>
                        </w14:solidFill>
                      </w14:textFill>
                    </w:rPr>
                    <w:t>2</w:t>
                  </w:r>
                </w:p>
              </w:tc>
              <w:tc>
                <w:tcPr>
                  <w:tcW w:w="2680" w:type="dxa"/>
                </w:tcPr>
                <w:p>
                  <w:pPr>
                    <w:spacing w:line="360" w:lineRule="exact"/>
                    <w:jc w:val="center"/>
                    <w:rPr>
                      <w:color w:val="000000" w:themeColor="text1"/>
                      <w:szCs w:val="21"/>
                      <w14:textFill>
                        <w14:solidFill>
                          <w14:schemeClr w14:val="tx1"/>
                        </w14:solidFill>
                      </w14:textFill>
                    </w:rPr>
                  </w:pPr>
                  <w:r>
                    <w:rPr>
                      <w:rFonts w:hint="eastAsia"/>
                      <w:color w:val="000000" w:themeColor="text1"/>
                      <w:sz w:val="22"/>
                      <w:szCs w:val="22"/>
                      <w14:textFill>
                        <w14:solidFill>
                          <w14:schemeClr w14:val="tx1"/>
                        </w14:solidFill>
                      </w14:textFill>
                    </w:rPr>
                    <w:t>1</w:t>
                  </w:r>
                </w:p>
              </w:tc>
            </w:tr>
          </w:tbl>
          <w:p>
            <w:pPr>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7、公用工程</w:t>
            </w:r>
          </w:p>
          <w:p>
            <w:pPr>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7.1 供电系统</w:t>
            </w:r>
          </w:p>
          <w:p>
            <w:pPr>
              <w:spacing w:line="460" w:lineRule="exact"/>
              <w:ind w:firstLine="480" w:firstLineChars="200"/>
              <w:rPr>
                <w:rFonts w:hint="eastAsia" w:eastAsia="宋体"/>
                <w:b/>
                <w:bCs/>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本项目用电由</w:t>
            </w:r>
            <w:r>
              <w:rPr>
                <w:rFonts w:hint="eastAsia"/>
                <w:bCs/>
                <w:color w:val="000000" w:themeColor="text1"/>
                <w:kern w:val="28"/>
                <w:sz w:val="24"/>
                <w14:textFill>
                  <w14:solidFill>
                    <w14:schemeClr w14:val="tx1"/>
                  </w14:solidFill>
                </w14:textFill>
              </w:rPr>
              <w:t>高龙镇电网</w:t>
            </w:r>
            <w:r>
              <w:rPr>
                <w:color w:val="000000" w:themeColor="text1"/>
                <w:sz w:val="24"/>
                <w14:textFill>
                  <w14:solidFill>
                    <w14:schemeClr w14:val="tx1"/>
                  </w14:solidFill>
                </w14:textFill>
              </w:rPr>
              <w:t>提供，可以满足本项目的用电需求</w:t>
            </w:r>
            <w:r>
              <w:rPr>
                <w:rFonts w:hint="eastAsia"/>
                <w:color w:val="000000" w:themeColor="text1"/>
                <w:sz w:val="24"/>
                <w:lang w:eastAsia="zh-CN"/>
                <w14:textFill>
                  <w14:solidFill>
                    <w14:schemeClr w14:val="tx1"/>
                  </w14:solidFill>
                </w14:textFill>
              </w:rPr>
              <w:t>。</w:t>
            </w:r>
          </w:p>
          <w:p>
            <w:pPr>
              <w:adjustRightInd w:val="0"/>
              <w:snapToGrid w:val="0"/>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7.</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 xml:space="preserve"> 给水</w:t>
            </w:r>
          </w:p>
          <w:p>
            <w:pPr>
              <w:snapToGrid w:val="0"/>
              <w:spacing w:line="46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本项目用水主要为职工生活用水</w:t>
            </w:r>
            <w:r>
              <w:rPr>
                <w:rFonts w:hint="eastAsia"/>
                <w:color w:val="000000" w:themeColor="text1"/>
                <w:sz w:val="24"/>
                <w:lang w:eastAsia="zh-CN"/>
                <w14:textFill>
                  <w14:solidFill>
                    <w14:schemeClr w14:val="tx1"/>
                  </w14:solidFill>
                </w14:textFill>
              </w:rPr>
              <w:t>，</w:t>
            </w:r>
            <w:r>
              <w:rPr>
                <w:rFonts w:hint="eastAsia"/>
                <w:b/>
                <w:bCs/>
                <w:color w:val="000000" w:themeColor="text1"/>
                <w:sz w:val="24"/>
                <w:u w:val="single"/>
                <w:lang w:val="en-US" w:eastAsia="zh-CN"/>
                <w14:textFill>
                  <w14:solidFill>
                    <w14:schemeClr w14:val="tx1"/>
                  </w14:solidFill>
                </w14:textFill>
              </w:rPr>
              <w:t>由厂区自备水井提供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项目劳动定员为</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年工作300天，均不在厂区食宿</w:t>
            </w:r>
            <w:r>
              <w:rPr>
                <w:color w:val="000000" w:themeColor="text1"/>
                <w:sz w:val="24"/>
                <w14:textFill>
                  <w14:solidFill>
                    <w14:schemeClr w14:val="tx1"/>
                  </w14:solidFill>
                </w14:textFill>
              </w:rPr>
              <w:t>，根据河南省地方标准《工业与城镇生活用水定额》（DB41/T385-2020），</w:t>
            </w:r>
            <w:r>
              <w:rPr>
                <w:rFonts w:hint="eastAsia"/>
                <w:color w:val="000000" w:themeColor="text1"/>
                <w:sz w:val="24"/>
                <w14:textFill>
                  <w14:solidFill>
                    <w14:schemeClr w14:val="tx1"/>
                  </w14:solidFill>
                </w14:textFill>
              </w:rPr>
              <w:t>不住宿人员</w:t>
            </w:r>
            <w:r>
              <w:rPr>
                <w:color w:val="000000" w:themeColor="text1"/>
                <w:sz w:val="24"/>
                <w14:textFill>
                  <w14:solidFill>
                    <w14:schemeClr w14:val="tx1"/>
                  </w14:solidFill>
                </w14:textFill>
              </w:rPr>
              <w:t>用水定额40 L/（人·d），则本项目生活用水量总计为</w:t>
            </w:r>
            <w:r>
              <w:rPr>
                <w:rFonts w:hint="eastAsia"/>
                <w:color w:val="000000" w:themeColor="text1"/>
                <w:sz w:val="24"/>
                <w14:textFill>
                  <w14:solidFill>
                    <w14:schemeClr w14:val="tx1"/>
                  </w14:solidFill>
                </w14:textFill>
              </w:rPr>
              <w:t>0.6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180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p>
          <w:p>
            <w:pPr>
              <w:adjustRightInd w:val="0"/>
              <w:snapToGrid w:val="0"/>
              <w:spacing w:line="46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7.</w:t>
            </w:r>
            <w:r>
              <w:rPr>
                <w:rFonts w:hint="eastAsia"/>
                <w:b/>
                <w:bCs/>
                <w:color w:val="000000" w:themeColor="text1"/>
                <w:sz w:val="24"/>
                <w14:textFill>
                  <w14:solidFill>
                    <w14:schemeClr w14:val="tx1"/>
                  </w14:solidFill>
                </w14:textFill>
              </w:rPr>
              <w:t>3</w:t>
            </w:r>
            <w:r>
              <w:rPr>
                <w:b/>
                <w:bCs/>
                <w:color w:val="000000" w:themeColor="text1"/>
                <w:sz w:val="24"/>
                <w14:textFill>
                  <w14:solidFill>
                    <w14:schemeClr w14:val="tx1"/>
                  </w14:solidFill>
                </w14:textFill>
              </w:rPr>
              <w:t xml:space="preserve"> 排水</w:t>
            </w:r>
          </w:p>
          <w:p>
            <w:pPr>
              <w:snapToGrid w:val="0"/>
              <w:spacing w:line="460" w:lineRule="exact"/>
              <w:ind w:firstLine="480"/>
              <w:rPr>
                <w:bCs/>
                <w:color w:val="000000" w:themeColor="text1"/>
                <w:szCs w:val="21"/>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本项目厂区排水采用雨污分流制。雨水通过厂区雨水管道排入厂区南侧道路，</w:t>
            </w:r>
            <w:r>
              <w:rPr>
                <w:color w:val="000000" w:themeColor="text1"/>
                <w:sz w:val="24"/>
                <w14:textFill>
                  <w14:solidFill>
                    <w14:schemeClr w14:val="tx1"/>
                  </w14:solidFill>
                </w14:textFill>
              </w:rPr>
              <w:t>生活污水经厂区现有化粪池预处理后</w:t>
            </w:r>
            <w:r>
              <w:rPr>
                <w:color w:val="000000" w:themeColor="text1"/>
                <w:kern w:val="28"/>
                <w:sz w:val="24"/>
                <w14:textFill>
                  <w14:solidFill>
                    <w14:schemeClr w14:val="tx1"/>
                  </w14:solidFill>
                </w14:textFill>
              </w:rPr>
              <w:t>用于周边农田施肥</w:t>
            </w: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400" w:type="pct"/>
            <w:vAlign w:val="center"/>
          </w:tcPr>
          <w:p>
            <w:pPr>
              <w:pStyle w:val="16"/>
              <w:adjustRightInd w:val="0"/>
              <w:snapToGrid w:val="0"/>
              <w:spacing w:before="0" w:beforeAutospacing="0" w:after="0" w:afterAutospacing="0" w:line="400" w:lineRule="exact"/>
              <w:jc w:val="center"/>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b/>
                <w:bCs/>
                <w:color w:val="000000" w:themeColor="text1"/>
                <w:szCs w:val="24"/>
                <w14:textFill>
                  <w14:solidFill>
                    <w14:schemeClr w14:val="tx1"/>
                  </w14:solidFill>
                </w14:textFill>
              </w:rPr>
              <w:t>工艺流程和产排污环节</w:t>
            </w:r>
          </w:p>
        </w:tc>
        <w:tc>
          <w:tcPr>
            <w:tcW w:w="4542" w:type="pct"/>
          </w:tcPr>
          <w:p>
            <w:pPr>
              <w:autoSpaceDE w:val="0"/>
              <w:autoSpaceDN w:val="0"/>
              <w:adjustRightInd w:val="0"/>
              <w:snapToGrid w:val="0"/>
              <w:spacing w:line="46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工艺流程及产污环节：</w:t>
            </w:r>
          </w:p>
          <w:p>
            <w:pPr>
              <w:pStyle w:val="18"/>
              <w:ind w:firstLine="241"/>
              <w:rPr>
                <w:b/>
                <w:bCs/>
                <w:color w:val="000000" w:themeColor="text1"/>
                <w:sz w:val="24"/>
                <w:szCs w:val="24"/>
                <w14:textFill>
                  <w14:solidFill>
                    <w14:schemeClr w14:val="tx1"/>
                  </w14:solidFill>
                </w14:textFill>
              </w:rPr>
            </w:pPr>
          </w:p>
          <w:p>
            <w:pPr>
              <w:pStyle w:val="18"/>
              <w:ind w:firstLine="240"/>
              <w:rPr>
                <w:b/>
                <w:bCs/>
                <w:color w:val="000000" w:themeColor="text1"/>
                <w:sz w:val="24"/>
                <w:szCs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2138045</wp:posOffset>
                      </wp:positionH>
                      <wp:positionV relativeFrom="paragraph">
                        <wp:posOffset>222250</wp:posOffset>
                      </wp:positionV>
                      <wp:extent cx="142875" cy="133350"/>
                      <wp:effectExtent l="10795" t="13335" r="17780" b="24765"/>
                      <wp:wrapNone/>
                      <wp:docPr id="37" name="等腰三角形 37"/>
                      <wp:cNvGraphicFramePr/>
                      <a:graphic xmlns:a="http://schemas.openxmlformats.org/drawingml/2006/main">
                        <a:graphicData uri="http://schemas.microsoft.com/office/word/2010/wordprocessingShape">
                          <wps:wsp>
                            <wps:cNvSpPr/>
                            <wps:spPr>
                              <a:xfrm>
                                <a:off x="0" y="0"/>
                                <a:ext cx="142875" cy="133350"/>
                              </a:xfrm>
                              <a:prstGeom prst="triangl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68.35pt;margin-top:17.5pt;height:10.5pt;width:11.25pt;z-index:251693056;v-text-anchor:middle;mso-width-relative:page;mso-height-relative:page;" fillcolor="#000000" filled="t" stroked="t" coordsize="21600,21600" o:gfxdata="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6Jmfu2gAAAAkBAAAPAAAAAAAAAAEAIAAAACIAAABkcnMvZG93bnJldi54&#10;bWxQSwECFAAUAAAACACHTuJAM12XjWoCAADCBAAADgAAAAAAAAABACAAAAApAQAAZHJzL2Uyb0Rv&#10;Yy54bWxQSwUGAAAAAAYABgBZAQAABQYAAAAA&#10;" adj="1080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1520190</wp:posOffset>
                      </wp:positionH>
                      <wp:positionV relativeFrom="paragraph">
                        <wp:posOffset>222250</wp:posOffset>
                      </wp:positionV>
                      <wp:extent cx="123825" cy="123825"/>
                      <wp:effectExtent l="6350" t="6350" r="22225" b="22225"/>
                      <wp:wrapNone/>
                      <wp:docPr id="42" name="矩形 4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9.7pt;margin-top:17.5pt;height:9.75pt;width:9.75pt;z-index:251696128;v-text-anchor:middle;mso-width-relative:page;mso-height-relative:page;" fillcolor="#000000" filled="t" stroked="t" coordsize="21600,21600" o:gfxdata="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ZO6vrbAAAACQEA&#10;AA8AAAAAAAAAAQAgAAAAIgAAAGRycy9kb3ducmV2LnhtbFBLAQIUABQAAAAIAIdO4kD/1ODAUAIA&#10;ALUEAAAOAAAAAAAAAAEAIAAAACoBAABkcnMvZTJvRG9jLnhtbFBLBQYAAAAABgAGAFkBAADsBQAA&#10;AAA=&#10;">
                      <v:fill on="t" focussize="0,0"/>
                      <v:stroke weight="1pt" color="#000000" miterlimit="8" joinstyle="miter"/>
                      <v:imagedata o:title=""/>
                      <o:lock v:ext="edit" aspectratio="f"/>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3738245</wp:posOffset>
                      </wp:positionH>
                      <wp:positionV relativeFrom="paragraph">
                        <wp:posOffset>222250</wp:posOffset>
                      </wp:positionV>
                      <wp:extent cx="142875" cy="133350"/>
                      <wp:effectExtent l="10795" t="13335" r="17780" b="24765"/>
                      <wp:wrapNone/>
                      <wp:docPr id="36" name="等腰三角形 36"/>
                      <wp:cNvGraphicFramePr/>
                      <a:graphic xmlns:a="http://schemas.openxmlformats.org/drawingml/2006/main">
                        <a:graphicData uri="http://schemas.microsoft.com/office/word/2010/wordprocessingShape">
                          <wps:wsp>
                            <wps:cNvSpPr/>
                            <wps:spPr>
                              <a:xfrm>
                                <a:off x="0" y="0"/>
                                <a:ext cx="142875" cy="133350"/>
                              </a:xfrm>
                              <a:prstGeom prst="triangl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94.35pt;margin-top:17.5pt;height:10.5pt;width:11.25pt;z-index:251692032;v-text-anchor:middle;mso-width-relative:page;mso-height-relative:page;" fillcolor="#000000" filled="t" stroked="t" coordsize="21600,21600" o:gfxdata="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Yupn7ZAAAACQEAAA8AAAAAAAAAAQAgAAAAIgAAAGRycy9kb3ducmV2Lnht&#10;bFBLAQIUABQAAAAIAIdO4kCBecjoagIAAMIEAAAOAAAAAAAAAAEAIAAAACgBAABkcnMvZTJvRG9j&#10;LnhtbFBLBQYAAAAABgAGAFkBAAAEBgAAAAA=&#10;" adj="1080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3577590</wp:posOffset>
                      </wp:positionH>
                      <wp:positionV relativeFrom="paragraph">
                        <wp:posOffset>232410</wp:posOffset>
                      </wp:positionV>
                      <wp:extent cx="123825" cy="133350"/>
                      <wp:effectExtent l="6350" t="6350" r="22225" b="12700"/>
                      <wp:wrapNone/>
                      <wp:docPr id="32" name="椭圆 32"/>
                      <wp:cNvGraphicFramePr/>
                      <a:graphic xmlns:a="http://schemas.openxmlformats.org/drawingml/2006/main">
                        <a:graphicData uri="http://schemas.microsoft.com/office/word/2010/wordprocessingShape">
                          <wps:wsp>
                            <wps:cNvSpPr/>
                            <wps:spPr>
                              <a:xfrm>
                                <a:off x="0" y="0"/>
                                <a:ext cx="123825" cy="133350"/>
                              </a:xfrm>
                              <a:prstGeom prst="ellips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1.7pt;margin-top:18.3pt;height:10.5pt;width:9.75pt;z-index:251687936;v-text-anchor:middle;mso-width-relative:page;mso-height-relative:page;" fillcolor="#000000" filled="t" stroked="t" coordsize="21600,21600" o:gfxdata="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zgLF9kA&#10;AAAJAQAADwAAAAAAAAABACAAAAAiAAAAZHJzL2Rvd25yZXYueG1sUEsBAhQAFAAAAAgAh07iQGNk&#10;nC5XAgAAuAQAAA4AAAAAAAAAAQAgAAAAKAEAAGRycy9lMm9Eb2MueG1sUEsFBgAAAAAGAAYAWQEA&#10;APEFAAAAAA==&#1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2880995</wp:posOffset>
                      </wp:positionH>
                      <wp:positionV relativeFrom="paragraph">
                        <wp:posOffset>231775</wp:posOffset>
                      </wp:positionV>
                      <wp:extent cx="142875" cy="133350"/>
                      <wp:effectExtent l="10795" t="13335" r="17780" b="24765"/>
                      <wp:wrapNone/>
                      <wp:docPr id="38" name="等腰三角形 38"/>
                      <wp:cNvGraphicFramePr/>
                      <a:graphic xmlns:a="http://schemas.openxmlformats.org/drawingml/2006/main">
                        <a:graphicData uri="http://schemas.microsoft.com/office/word/2010/wordprocessingShape">
                          <wps:wsp>
                            <wps:cNvSpPr/>
                            <wps:spPr>
                              <a:xfrm>
                                <a:off x="0" y="0"/>
                                <a:ext cx="142875" cy="133350"/>
                              </a:xfrm>
                              <a:prstGeom prst="triangl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26.85pt;margin-top:18.25pt;height:10.5pt;width:11.25pt;z-index:251694080;v-text-anchor:middle;mso-width-relative:page;mso-height-relative:page;" fillcolor="#000000" filled="t" stroked="t" coordsize="21600,21600" o:gfxdata="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Bycdm2gAAAAkBAAAPAAAAAAAAAAEAIAAAACIAAABkcnMvZG93bnJldi54&#10;bWxQSwECFAAUAAAACACHTuJAfo1g8GoCAADCBAAADgAAAAAAAAABACAAAAApAQAAZHJzL2Uyb0Rv&#10;Yy54bWxQSwUGAAAAAAYABgBZAQAABQYAAAAA&#10;" adj="1080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1328420</wp:posOffset>
                      </wp:positionH>
                      <wp:positionV relativeFrom="paragraph">
                        <wp:posOffset>212725</wp:posOffset>
                      </wp:positionV>
                      <wp:extent cx="142875" cy="133350"/>
                      <wp:effectExtent l="10795" t="13335" r="17780" b="24765"/>
                      <wp:wrapNone/>
                      <wp:docPr id="35" name="等腰三角形 35"/>
                      <wp:cNvGraphicFramePr/>
                      <a:graphic xmlns:a="http://schemas.openxmlformats.org/drawingml/2006/main">
                        <a:graphicData uri="http://schemas.microsoft.com/office/word/2010/wordprocessingShape">
                          <wps:wsp>
                            <wps:cNvSpPr/>
                            <wps:spPr>
                              <a:xfrm>
                                <a:off x="0" y="0"/>
                                <a:ext cx="142875" cy="133350"/>
                              </a:xfrm>
                              <a:prstGeom prst="triangl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04.6pt;margin-top:16.75pt;height:10.5pt;width:11.25pt;z-index:251691008;v-text-anchor:middle;mso-width-relative:page;mso-height-relative:page;" fillcolor="#000000" filled="t" stroked="t" coordsize="21600,21600" o:gfxdata="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Ifu8H2gAAAAkBAAAPAAAAAAAAAAEAIAAAACIAAABkcnMvZG93bnJldi54&#10;bWxQSwECFAAUAAAACACHTuJAVxQpR2oCAADCBAAADgAAAAAAAAABACAAAAApAQAAZHJzL2Uyb0Rv&#10;Yy54bWxQSwUGAAAAAAYABgBZAQAABQYAAAAA&#10;" adj="1080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1158240</wp:posOffset>
                      </wp:positionH>
                      <wp:positionV relativeFrom="paragraph">
                        <wp:posOffset>222885</wp:posOffset>
                      </wp:positionV>
                      <wp:extent cx="123825" cy="133350"/>
                      <wp:effectExtent l="6350" t="6350" r="22225" b="12700"/>
                      <wp:wrapNone/>
                      <wp:docPr id="31" name="椭圆 31"/>
                      <wp:cNvGraphicFramePr/>
                      <a:graphic xmlns:a="http://schemas.openxmlformats.org/drawingml/2006/main">
                        <a:graphicData uri="http://schemas.microsoft.com/office/word/2010/wordprocessingShape">
                          <wps:wsp>
                            <wps:cNvSpPr/>
                            <wps:spPr>
                              <a:xfrm>
                                <a:off x="0" y="0"/>
                                <a:ext cx="123825" cy="133350"/>
                              </a:xfrm>
                              <a:prstGeom prst="ellips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1.2pt;margin-top:17.55pt;height:10.5pt;width:9.75pt;z-index:251686912;v-text-anchor:middle;mso-width-relative:page;mso-height-relative:page;" fillcolor="#000000" filled="t" stroked="t" coordsize="21600,21600" o:gfxdata="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6c8pp2AAA&#10;AAkBAAAPAAAAAAAAAAEAIAAAACIAAABkcnMvZG93bnJldi54bWxQSwECFAAUAAAACACHTuJAhqjt&#10;yFcCAAC4BAAADgAAAAAAAAABACAAAAAnAQAAZHJzL2Uyb0RvYy54bWxQSwUGAAAAAAYABgBZAQAA&#10;8AUAAAAA&#1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4577715</wp:posOffset>
                      </wp:positionH>
                      <wp:positionV relativeFrom="paragraph">
                        <wp:posOffset>250825</wp:posOffset>
                      </wp:positionV>
                      <wp:extent cx="123825" cy="123825"/>
                      <wp:effectExtent l="6350" t="6350" r="22225" b="22225"/>
                      <wp:wrapNone/>
                      <wp:docPr id="23" name="矩形 2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45pt;margin-top:19.75pt;height:9.75pt;width:9.75pt;z-index:251685888;v-text-anchor:middle;mso-width-relative:page;mso-height-relative:page;" fillcolor="#000000" filled="t" stroked="t" coordsize="21600,21600" o:gfxdata="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5QN3NoAAAAJAQAA&#10;DwAAAAAAAAABACAAAAAiAAAAZHJzL2Rvd25yZXYueG1sUEsBAhQAFAAAAAgAh07iQF25Hz1QAgAA&#10;tQQAAA4AAAAAAAAAAQAgAAAAKQEAAGRycy9lMm9Eb2MueG1sUEsFBgAAAAAGAAYAWQEAAOsFAAAA&#10;AA==&#10;">
                      <v:fill on="t" focussize="0,0"/>
                      <v:stroke weight="1pt" color="#000000" miterlimit="8" joinstyle="miter"/>
                      <v:imagedata o:title=""/>
                      <o:lock v:ext="edit" aspectratio="f"/>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4645660</wp:posOffset>
                      </wp:positionH>
                      <wp:positionV relativeFrom="paragraph">
                        <wp:posOffset>697865</wp:posOffset>
                      </wp:positionV>
                      <wp:extent cx="0" cy="727710"/>
                      <wp:effectExtent l="48895" t="0" r="65405" b="15240"/>
                      <wp:wrapNone/>
                      <wp:docPr id="21" name="直接箭头连接符 21"/>
                      <wp:cNvGraphicFramePr/>
                      <a:graphic xmlns:a="http://schemas.openxmlformats.org/drawingml/2006/main">
                        <a:graphicData uri="http://schemas.microsoft.com/office/word/2010/wordprocessingShape">
                          <wps:wsp>
                            <wps:cNvCnPr/>
                            <wps:spPr>
                              <a:xfrm>
                                <a:off x="0" y="0"/>
                                <a:ext cx="0" cy="72771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65.8pt;margin-top:54.95pt;height:57.3pt;width:0pt;z-index:251677696;mso-width-relative:page;mso-height-relative:page;" filled="f" stroked="t" coordsize="21600,21600" o:gfxdata="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4+FG2QAAAAsBAAAPAAAAAAAAAAEAIAAAACIAAABkcnMvZG93bnJldi54bWxQSwECFAAUAAAA&#10;CACHTuJAaBcu9e0BAACfAwAADgAAAAAAAAABACAAAAAoAQAAZHJzL2Uyb0RvYy54bWxQSwUGAAAA&#10;AAYABgBZAQAAhwUAAAAA&#10;">
                      <v:fill on="f" focussize="0,0"/>
                      <v:stroke weight="0.5pt" color="#000000" miterlimit="8" joinstyle="miter" endarrow="open"/>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3964305</wp:posOffset>
                      </wp:positionH>
                      <wp:positionV relativeFrom="paragraph">
                        <wp:posOffset>556895</wp:posOffset>
                      </wp:positionV>
                      <wp:extent cx="295275" cy="0"/>
                      <wp:effectExtent l="0" t="48895" r="9525" b="65405"/>
                      <wp:wrapNone/>
                      <wp:docPr id="18" name="直接箭头连接符 18"/>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12.15pt;margin-top:43.85pt;height:0pt;width:23.25pt;z-index:251675648;mso-width-relative:page;mso-height-relative:page;" filled="f" stroked="t" coordsize="21600,21600" o:gfxdata="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JCydgAAAAJAQAADwAAAAAAAAABACAAAAAiAAAAZHJzL2Rvd25yZXYueG1sUEsBAhQAFAAAAAgA&#10;h07iQGNiIR3sAQAAnwMAAA4AAAAAAAAAAQAgAAAAJwEAAGRycy9lMm9Eb2MueG1sUEsFBgAAAAAG&#10;AAYAWQEAAIUFAAAAAA==&#10;">
                      <v:fill on="f" focussize="0,0"/>
                      <v:stroke weight="0.5pt" color="#000000" miterlimit="8" joinstyle="miter" endarrow="open"/>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3183255</wp:posOffset>
                      </wp:positionH>
                      <wp:positionV relativeFrom="paragraph">
                        <wp:posOffset>556895</wp:posOffset>
                      </wp:positionV>
                      <wp:extent cx="314325" cy="0"/>
                      <wp:effectExtent l="0" t="48895" r="9525" b="65405"/>
                      <wp:wrapNone/>
                      <wp:docPr id="16" name="直接箭头连接符 16"/>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50.65pt;margin-top:43.85pt;height:0pt;width:24.75pt;z-index:251673600;mso-width-relative:page;mso-height-relative:page;" filled="f" stroked="t" coordsize="21600,21600" o:gfxdata="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dypT9cAAAAJAQAADwAAAAAAAAABACAAAAAiAAAAZHJzL2Rvd25yZXYueG1sUEsBAhQAFAAAAAgA&#10;h07iQKEOA/ftAQAAnwMAAA4AAAAAAAAAAQAgAAAAJgEAAGRycy9lMm9Eb2MueG1sUEsFBgAAAAAG&#10;AAYAWQEAAIUFAAAAAA==&#10;">
                      <v:fill on="f" focussize="0,0"/>
                      <v:stroke weight="0.5pt" color="#000000" miterlimit="8" joinstyle="miter" endarrow="open"/>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2421255</wp:posOffset>
                      </wp:positionH>
                      <wp:positionV relativeFrom="paragraph">
                        <wp:posOffset>556895</wp:posOffset>
                      </wp:positionV>
                      <wp:extent cx="295275" cy="0"/>
                      <wp:effectExtent l="0" t="48895" r="9525" b="65405"/>
                      <wp:wrapNone/>
                      <wp:docPr id="14" name="直接箭头连接符 14"/>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0.65pt;margin-top:43.85pt;height:0pt;width:23.25pt;z-index:251671552;mso-width-relative:page;mso-height-relative:page;" filled="f" stroked="t" coordsize="21600,21600" o:gfxdata="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oob2HYAAAACQEAAA8AAAAAAAAAAQAgAAAAIgAAAGRycy9kb3ducmV2LnhtbFBLAQIUABQAAAAI&#10;AIdO4kCKBic57QEAAJ8DAAAOAAAAAAAAAAEAIAAAACcBAABkcnMvZTJvRG9jLnhtbFBLBQYAAAAA&#10;BgAGAFkBAACGBQAAAAA=&#10;">
                      <v:fill on="f" focussize="0,0"/>
                      <v:stroke weight="0.5pt" color="#000000" miterlimit="8" joinstyle="miter" endarrow="open"/>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1649730</wp:posOffset>
                      </wp:positionH>
                      <wp:positionV relativeFrom="paragraph">
                        <wp:posOffset>556895</wp:posOffset>
                      </wp:positionV>
                      <wp:extent cx="304800" cy="0"/>
                      <wp:effectExtent l="0" t="48895" r="0" b="65405"/>
                      <wp:wrapNone/>
                      <wp:docPr id="12" name="直接箭头连接符 12"/>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29.9pt;margin-top:43.85pt;height:0pt;width:24pt;z-index:251669504;mso-width-relative:page;mso-height-relative:page;" filled="f" stroked="t" coordsize="21600,21600" o:gfxdata="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6WA1wAAAAkBAAAPAAAAAAAAAAEAIAAAACIAAABkcnMvZG93bnJldi54bWxQSwECFAAUAAAACACH&#10;TuJAFkZpYewBAACfAwAADgAAAAAAAAABACAAAAAmAQAAZHJzL2Uyb0RvYy54bWxQSwUGAAAAAAYA&#10;BgBZAQAAhAUAAAAA&#10;">
                      <v:fill on="f" focussize="0,0"/>
                      <v:stroke weight="0.5pt" color="#000000" miterlimit="8" joinstyle="miter" endarrow="open"/>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866775</wp:posOffset>
                      </wp:positionH>
                      <wp:positionV relativeFrom="paragraph">
                        <wp:posOffset>556895</wp:posOffset>
                      </wp:positionV>
                      <wp:extent cx="316230" cy="6350"/>
                      <wp:effectExtent l="0" t="47625" r="7620" b="60325"/>
                      <wp:wrapNone/>
                      <wp:docPr id="3" name="直接箭头连接符 3"/>
                      <wp:cNvGraphicFramePr/>
                      <a:graphic xmlns:a="http://schemas.openxmlformats.org/drawingml/2006/main">
                        <a:graphicData uri="http://schemas.microsoft.com/office/word/2010/wordprocessingShape">
                          <wps:wsp>
                            <wps:cNvCnPr/>
                            <wps:spPr>
                              <a:xfrm flipV="1">
                                <a:off x="3923030" y="1366520"/>
                                <a:ext cx="316230" cy="63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68.25pt;margin-top:43.85pt;height:0.5pt;width:24.9pt;z-index:251667456;mso-width-relative:page;mso-height-relative:page;" filled="f" stroked="t" coordsize="21600,21600" o:gfxdata="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jpN/XAAAACQEAAA8AAAAAAAAAAQAgAAAAIgAAAGRycy9kb3ducmV2&#10;LnhtbFBLAQIUABQAAAAIAIdO4kAkG5RO/QEAALYDAAAOAAAAAAAAAAEAIAAAACYBAABkcnMvZTJv&#10;RG9jLnhtbFBLBQYAAAAABgAGAFkBAACVBQAAAAA=&#10;">
                      <v:fill on="f" focussize="0,0"/>
                      <v:stroke weight="0.5pt" color="#000000" miterlimit="8" joinstyle="miter" endarrow="open"/>
                      <v:imagedata o:title=""/>
                      <o:lock v:ext="edit" aspectratio="f"/>
                    </v:shape>
                  </w:pict>
                </mc:Fallback>
              </mc:AlternateContent>
            </w:r>
          </w:p>
          <w:p>
            <w:pPr>
              <w:autoSpaceDE w:val="0"/>
              <w:autoSpaceDN w:val="0"/>
              <w:adjustRightInd w:val="0"/>
              <w:snapToGrid w:val="0"/>
              <w:spacing w:line="460" w:lineRule="exact"/>
              <w:rPr>
                <w:b/>
                <w:bCs/>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1954530</wp:posOffset>
                      </wp:positionH>
                      <wp:positionV relativeFrom="paragraph">
                        <wp:posOffset>125095</wp:posOffset>
                      </wp:positionV>
                      <wp:extent cx="466725" cy="281940"/>
                      <wp:effectExtent l="4445" t="4445" r="5080" b="18415"/>
                      <wp:wrapNone/>
                      <wp:docPr id="11" name="文本框 11"/>
                      <wp:cNvGraphicFramePr/>
                      <a:graphic xmlns:a="http://schemas.openxmlformats.org/drawingml/2006/main">
                        <a:graphicData uri="http://schemas.microsoft.com/office/word/2010/wordprocessingShape">
                          <wps:wsp>
                            <wps:cNvSpPr txBox="1"/>
                            <wps:spPr>
                              <a:xfrm>
                                <a:off x="0" y="0"/>
                                <a:ext cx="466725" cy="281940"/>
                              </a:xfrm>
                              <a:prstGeom prst="rect">
                                <a:avLst/>
                              </a:prstGeom>
                              <a:solidFill>
                                <a:srgbClr val="FFFFFF"/>
                              </a:solidFill>
                              <a:ln w="6350">
                                <a:solidFill>
                                  <a:prstClr val="black"/>
                                </a:solidFill>
                              </a:ln>
                              <a:effectLst/>
                            </wps:spPr>
                            <wps:txbx>
                              <w:txbxContent>
                                <w:p>
                                  <w:pPr>
                                    <w:jc w:val="center"/>
                                  </w:pPr>
                                  <w:r>
                                    <w:rPr>
                                      <w:rFonts w:hint="eastAsia"/>
                                    </w:rPr>
                                    <w:t>冲压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9pt;margin-top:9.85pt;height:22.2pt;width:36.75pt;z-index:251670528;mso-width-relative:page;mso-height-relative:page;" fillcolor="#FFFFFF" filled="t" stroked="t" coordsize="21600,21600" o:gfxdata="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K+6jtYAAAAJAQAADwAAAAAAAAABACAAAAAi&#10;AAAAZHJzL2Rvd25yZXYueG1sUEsBAhQAFAAAAAgAh07iQNlEpBxFAgAAeAQAAA4AAAAAAAAAAQAg&#10;AAAAJQEAAGRycy9lMm9Eb2MueG1sUEsFBgAAAAAGAAYAWQEAANwFAAAAAA==&#10;">
                      <v:fill on="t" focussize="0,0"/>
                      <v:stroke weight="0.5pt" color="#000000" joinstyle="round"/>
                      <v:imagedata o:title=""/>
                      <o:lock v:ext="edit" aspectratio="f"/>
                      <v:textbox>
                        <w:txbxContent>
                          <w:p>
                            <w:pPr>
                              <w:jc w:val="center"/>
                            </w:pPr>
                            <w:r>
                              <w:rPr>
                                <w:rFonts w:hint="eastAsia"/>
                              </w:rPr>
                              <w:t>冲压</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1183005</wp:posOffset>
                      </wp:positionH>
                      <wp:positionV relativeFrom="paragraph">
                        <wp:posOffset>125095</wp:posOffset>
                      </wp:positionV>
                      <wp:extent cx="466725" cy="281940"/>
                      <wp:effectExtent l="4445" t="4445" r="5080" b="18415"/>
                      <wp:wrapNone/>
                      <wp:docPr id="4" name="文本框 4"/>
                      <wp:cNvGraphicFramePr/>
                      <a:graphic xmlns:a="http://schemas.openxmlformats.org/drawingml/2006/main">
                        <a:graphicData uri="http://schemas.microsoft.com/office/word/2010/wordprocessingShape">
                          <wps:wsp>
                            <wps:cNvSpPr txBox="1"/>
                            <wps:spPr>
                              <a:xfrm>
                                <a:off x="3510280" y="1567180"/>
                                <a:ext cx="466725" cy="281940"/>
                              </a:xfrm>
                              <a:prstGeom prst="rect">
                                <a:avLst/>
                              </a:prstGeom>
                              <a:solidFill>
                                <a:srgbClr val="FFFFFF"/>
                              </a:solidFill>
                              <a:ln w="6350">
                                <a:solidFill>
                                  <a:prstClr val="black"/>
                                </a:solidFill>
                              </a:ln>
                              <a:effectLst/>
                            </wps:spPr>
                            <wps:txbx>
                              <w:txbxContent>
                                <w:p>
                                  <w:pPr>
                                    <w:jc w:val="center"/>
                                  </w:pPr>
                                  <w:r>
                                    <w:rPr>
                                      <w:rFonts w:hint="eastAsia"/>
                                    </w:rPr>
                                    <w:t>切割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15pt;margin-top:9.85pt;height:22.2pt;width:36.75pt;z-index:251668480;mso-width-relative:page;mso-height-relative:page;" fillcolor="#FFFFFF" filled="t" stroked="t" coordsize="21600,21600" o:gfxdata="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lCVJnVAAAACQEAAA8AAAAA&#10;AAAAAQAgAAAAIgAAAGRycy9kb3ducmV2LnhtbFBLAQIUABQAAAAIAIdO4kBYCG7zUAIAAIIEAAAO&#10;AAAAAAAAAAEAIAAAACQBAABkcnMvZTJvRG9jLnhtbFBLBQYAAAAABgAGAFkBAADmBQAAAAA=&#10;">
                      <v:fill on="t" focussize="0,0"/>
                      <v:stroke weight="0.5pt" color="#000000" joinstyle="round"/>
                      <v:imagedata o:title=""/>
                      <o:lock v:ext="edit" aspectratio="f"/>
                      <v:textbox>
                        <w:txbxContent>
                          <w:p>
                            <w:pPr>
                              <w:jc w:val="center"/>
                            </w:pPr>
                            <w:r>
                              <w:rPr>
                                <w:rFonts w:hint="eastAsia"/>
                              </w:rPr>
                              <w:t>切割</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128270</wp:posOffset>
                      </wp:positionH>
                      <wp:positionV relativeFrom="paragraph">
                        <wp:posOffset>135890</wp:posOffset>
                      </wp:positionV>
                      <wp:extent cx="738505" cy="272415"/>
                      <wp:effectExtent l="0" t="0" r="4445" b="13335"/>
                      <wp:wrapNone/>
                      <wp:docPr id="2" name="文本框 2"/>
                      <wp:cNvGraphicFramePr/>
                      <a:graphic xmlns:a="http://schemas.openxmlformats.org/drawingml/2006/main">
                        <a:graphicData uri="http://schemas.microsoft.com/office/word/2010/wordprocessingShape">
                          <wps:wsp>
                            <wps:cNvSpPr txBox="1"/>
                            <wps:spPr>
                              <a:xfrm>
                                <a:off x="2716530" y="1049020"/>
                                <a:ext cx="738505" cy="272415"/>
                              </a:xfrm>
                              <a:prstGeom prst="rect">
                                <a:avLst/>
                              </a:prstGeom>
                              <a:solidFill>
                                <a:srgbClr val="FFFFFF"/>
                              </a:solidFill>
                              <a:ln w="6350">
                                <a:noFill/>
                              </a:ln>
                              <a:effectLst/>
                            </wps:spPr>
                            <wps:txbx>
                              <w:txbxContent>
                                <w:p>
                                  <w:pPr>
                                    <w:jc w:val="center"/>
                                  </w:pPr>
                                  <w:r>
                                    <w:rPr>
                                      <w:rFonts w:hint="eastAsia"/>
                                    </w:rPr>
                                    <w:t>外购板材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pt;margin-top:10.7pt;height:21.45pt;width:58.15pt;z-index:251666432;mso-width-relative:page;mso-height-relative:page;" fillcolor="#FFFFFF" filled="t" stroked="f" coordsize="21600,21600" o:gfxdata="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9TyYvUAAAACAEAAA8AAAAAAAAAAQAgAAAAIgAA&#10;AGRycy9kb3ducmV2LnhtbFBLAQIUABQAAAAIAIdO4kAMKyJ/RQIAAFoEAAAOAAAAAAAAAAEAIAAA&#10;ACMBAABkcnMvZTJvRG9jLnhtbFBLBQYAAAAABgAGAFkBAADaBQAAAAA=&#10;">
                      <v:fill on="t" focussize="0,0"/>
                      <v:stroke on="f" weight="0.5pt"/>
                      <v:imagedata o:title=""/>
                      <o:lock v:ext="edit" aspectratio="f"/>
                      <v:textbox>
                        <w:txbxContent>
                          <w:p>
                            <w:pPr>
                              <w:jc w:val="center"/>
                            </w:pPr>
                            <w:r>
                              <w:rPr>
                                <w:rFonts w:hint="eastAsia"/>
                              </w:rPr>
                              <w:t>外购板材</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4259580</wp:posOffset>
                      </wp:positionH>
                      <wp:positionV relativeFrom="paragraph">
                        <wp:posOffset>125095</wp:posOffset>
                      </wp:positionV>
                      <wp:extent cx="771525" cy="281940"/>
                      <wp:effectExtent l="4445" t="4445" r="5080" b="18415"/>
                      <wp:wrapNone/>
                      <wp:docPr id="17" name="文本框 17"/>
                      <wp:cNvGraphicFramePr/>
                      <a:graphic xmlns:a="http://schemas.openxmlformats.org/drawingml/2006/main">
                        <a:graphicData uri="http://schemas.microsoft.com/office/word/2010/wordprocessingShape">
                          <wps:wsp>
                            <wps:cNvSpPr txBox="1"/>
                            <wps:spPr>
                              <a:xfrm>
                                <a:off x="0" y="0"/>
                                <a:ext cx="771525" cy="281940"/>
                              </a:xfrm>
                              <a:prstGeom prst="rect">
                                <a:avLst/>
                              </a:prstGeom>
                              <a:solidFill>
                                <a:srgbClr val="FFFFFF"/>
                              </a:solidFill>
                              <a:ln w="6350">
                                <a:solidFill>
                                  <a:prstClr val="black"/>
                                </a:solidFill>
                              </a:ln>
                              <a:effectLst/>
                            </wps:spPr>
                            <wps:txbx>
                              <w:txbxContent>
                                <w:p>
                                  <w:pPr>
                                    <w:jc w:val="center"/>
                                  </w:pPr>
                                  <w:r>
                                    <w:rPr>
                                      <w:rFonts w:hint="eastAsia"/>
                                    </w:rPr>
                                    <w:t>表面处理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4pt;margin-top:9.85pt;height:22.2pt;width:60.75pt;z-index:251676672;mso-width-relative:page;mso-height-relative:page;" fillcolor="#FFFFFF" filled="t" stroked="t" coordsize="21600,21600" o:gfxdata="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zAFx1QAAAAkBAAAPAAAAAAAAAAEAIAAAACIA&#10;AABkcnMvZG93bnJldi54bWxQSwECFAAUAAAACACHTuJA+YULXUUCAAB4BAAADgAAAAAAAAABACAA&#10;AAAkAQAAZHJzL2Uyb0RvYy54bWxQSwUGAAAAAAYABgBZAQAA2wUAAAAA&#10;">
                      <v:fill on="t" focussize="0,0"/>
                      <v:stroke weight="0.5pt" color="#000000" joinstyle="round"/>
                      <v:imagedata o:title=""/>
                      <o:lock v:ext="edit" aspectratio="f"/>
                      <v:textbox>
                        <w:txbxContent>
                          <w:p>
                            <w:pPr>
                              <w:jc w:val="center"/>
                            </w:pPr>
                            <w:r>
                              <w:rPr>
                                <w:rFonts w:hint="eastAsia"/>
                              </w:rPr>
                              <w:t>表面处理</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3497580</wp:posOffset>
                      </wp:positionH>
                      <wp:positionV relativeFrom="paragraph">
                        <wp:posOffset>125095</wp:posOffset>
                      </wp:positionV>
                      <wp:extent cx="466725" cy="281940"/>
                      <wp:effectExtent l="4445" t="4445" r="5080" b="18415"/>
                      <wp:wrapNone/>
                      <wp:docPr id="15" name="文本框 15"/>
                      <wp:cNvGraphicFramePr/>
                      <a:graphic xmlns:a="http://schemas.openxmlformats.org/drawingml/2006/main">
                        <a:graphicData uri="http://schemas.microsoft.com/office/word/2010/wordprocessingShape">
                          <wps:wsp>
                            <wps:cNvSpPr txBox="1"/>
                            <wps:spPr>
                              <a:xfrm>
                                <a:off x="0" y="0"/>
                                <a:ext cx="466725" cy="281940"/>
                              </a:xfrm>
                              <a:prstGeom prst="rect">
                                <a:avLst/>
                              </a:prstGeom>
                              <a:solidFill>
                                <a:srgbClr val="FFFFFF"/>
                              </a:solidFill>
                              <a:ln w="6350">
                                <a:solidFill>
                                  <a:prstClr val="black"/>
                                </a:solidFill>
                              </a:ln>
                              <a:effectLst/>
                            </wps:spPr>
                            <wps:txbx>
                              <w:txbxContent>
                                <w:p>
                                  <w:pPr>
                                    <w:jc w:val="center"/>
                                  </w:pPr>
                                  <w:r>
                                    <w:rPr>
                                      <w:rFonts w:hint="eastAsia"/>
                                    </w:rPr>
                                    <w:t>焊接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4pt;margin-top:9.85pt;height:22.2pt;width:36.75pt;z-index:251674624;mso-width-relative:page;mso-height-relative:page;" fillcolor="#FFFFFF" filled="t" stroked="t" coordsize="21600,21600" o:gfxdata="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KURB9YAAAAJAQAADwAAAAAAAAABACAAAAAi&#10;AAAAZHJzL2Rvd25yZXYueG1sUEsBAhQAFAAAAAgAh07iQLbjt0dFAgAAeAQAAA4AAAAAAAAAAQAg&#10;AAAAJQEAAGRycy9lMm9Eb2MueG1sUEsFBgAAAAAGAAYAWQEAANwFAAAAAA==&#10;">
                      <v:fill on="t" focussize="0,0"/>
                      <v:stroke weight="0.5pt" color="#000000" joinstyle="round"/>
                      <v:imagedata o:title=""/>
                      <o:lock v:ext="edit" aspectratio="f"/>
                      <v:textbox>
                        <w:txbxContent>
                          <w:p>
                            <w:pPr>
                              <w:jc w:val="center"/>
                            </w:pPr>
                            <w:r>
                              <w:rPr>
                                <w:rFonts w:hint="eastAsia"/>
                              </w:rPr>
                              <w:t>焊接</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2716530</wp:posOffset>
                      </wp:positionH>
                      <wp:positionV relativeFrom="paragraph">
                        <wp:posOffset>125095</wp:posOffset>
                      </wp:positionV>
                      <wp:extent cx="466725" cy="281940"/>
                      <wp:effectExtent l="4445" t="4445" r="5080" b="18415"/>
                      <wp:wrapNone/>
                      <wp:docPr id="13" name="文本框 13"/>
                      <wp:cNvGraphicFramePr/>
                      <a:graphic xmlns:a="http://schemas.openxmlformats.org/drawingml/2006/main">
                        <a:graphicData uri="http://schemas.microsoft.com/office/word/2010/wordprocessingShape">
                          <wps:wsp>
                            <wps:cNvSpPr txBox="1"/>
                            <wps:spPr>
                              <a:xfrm>
                                <a:off x="0" y="0"/>
                                <a:ext cx="466725" cy="281940"/>
                              </a:xfrm>
                              <a:prstGeom prst="rect">
                                <a:avLst/>
                              </a:prstGeom>
                              <a:solidFill>
                                <a:srgbClr val="FFFFFF"/>
                              </a:solidFill>
                              <a:ln w="6350">
                                <a:solidFill>
                                  <a:prstClr val="black"/>
                                </a:solidFill>
                              </a:ln>
                              <a:effectLst/>
                            </wps:spPr>
                            <wps:txbx>
                              <w:txbxContent>
                                <w:p>
                                  <w:pPr>
                                    <w:jc w:val="center"/>
                                  </w:pPr>
                                  <w:r>
                                    <w:rPr>
                                      <w:rFonts w:hint="eastAsia"/>
                                    </w:rPr>
                                    <w:t>折弯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9pt;margin-top:9.85pt;height:22.2pt;width:36.75pt;z-index:251672576;mso-width-relative:page;mso-height-relative:page;" fillcolor="#FFFFFF" filled="t" stroked="t" coordsize="21600,21600" o:gfxdata="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iGpk9YAAAAJAQAADwAAAAAAAAABACAAAAAi&#10;AAAAZHJzL2Rvd25yZXYueG1sUEsBAhQAFAAAAAgAh07iQE4UldxFAgAAeAQAAA4AAAAAAAAAAQAg&#10;AAAAJQEAAGRycy9lMm9Eb2MueG1sUEsFBgAAAAAGAAYAWQEAANwFAAAAAA==&#10;">
                      <v:fill on="t" focussize="0,0"/>
                      <v:stroke weight="0.5pt" color="#000000" joinstyle="round"/>
                      <v:imagedata o:title=""/>
                      <o:lock v:ext="edit" aspectratio="f"/>
                      <v:textbox>
                        <w:txbxContent>
                          <w:p>
                            <w:pPr>
                              <w:jc w:val="center"/>
                            </w:pPr>
                            <w:r>
                              <w:rPr>
                                <w:rFonts w:hint="eastAsia"/>
                              </w:rPr>
                              <w:t>折弯</w:t>
                            </w:r>
                          </w:p>
                        </w:txbxContent>
                      </v:textbox>
                    </v:shape>
                  </w:pict>
                </mc:Fallback>
              </mc:AlternateContent>
            </w:r>
          </w:p>
          <w:p>
            <w:pPr>
              <w:autoSpaceDE w:val="0"/>
              <w:autoSpaceDN w:val="0"/>
              <w:adjustRightInd w:val="0"/>
              <w:snapToGrid w:val="0"/>
              <w:spacing w:line="460" w:lineRule="exact"/>
              <w:rPr>
                <w:b/>
                <w:bCs/>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3383280</wp:posOffset>
                      </wp:positionH>
                      <wp:positionV relativeFrom="paragraph">
                        <wp:posOffset>983615</wp:posOffset>
                      </wp:positionV>
                      <wp:extent cx="276225" cy="0"/>
                      <wp:effectExtent l="0" t="48895" r="9525" b="65405"/>
                      <wp:wrapNone/>
                      <wp:docPr id="27" name="直接箭头连接符 27"/>
                      <wp:cNvGraphicFramePr/>
                      <a:graphic xmlns:a="http://schemas.openxmlformats.org/drawingml/2006/main">
                        <a:graphicData uri="http://schemas.microsoft.com/office/word/2010/wordprocessingShape">
                          <wps:wsp>
                            <wps:cNvCnPr/>
                            <wps:spPr>
                              <a:xfrm flipH="1">
                                <a:off x="0" y="0"/>
                                <a:ext cx="27622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66.4pt;margin-top:77.45pt;height:0pt;width:21.75pt;z-index:251681792;mso-width-relative:page;mso-height-relative:page;" filled="f" stroked="t" coordsize="21600,21600" o:gfxdata="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qK/xjZAAAACwEAAA8AAAAAAAAAAQAgAAAAIgAAAGRycy9kb3ducmV2LnhtbFBL&#10;AQIUABQAAAAIAIdO4kBKaGXe9QEAAKkDAAAOAAAAAAAAAAEAIAAAACgBAABkcnMvZTJvRG9jLnht&#10;bFBLBQYAAAAABgAGAFkBAACPBQAAAAA=&#10;">
                      <v:fill on="f" focussize="0,0"/>
                      <v:stroke weight="0.5pt" color="#000000" miterlimit="8" joinstyle="miter" endarrow="open"/>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2659380</wp:posOffset>
                      </wp:positionH>
                      <wp:positionV relativeFrom="paragraph">
                        <wp:posOffset>983615</wp:posOffset>
                      </wp:positionV>
                      <wp:extent cx="257175" cy="0"/>
                      <wp:effectExtent l="0" t="48895" r="9525" b="65405"/>
                      <wp:wrapNone/>
                      <wp:docPr id="29" name="直接箭头连接符 29"/>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9.4pt;margin-top:77.45pt;height:0pt;width:20.25pt;z-index:251683840;mso-width-relative:page;mso-height-relative:page;" filled="f" stroked="t" coordsize="21600,21600" o:gfxdata="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fgOnZAAAACwEAAA8AAAAAAAAAAQAgAAAAIgAAAGRycy9kb3ducmV2LnhtbFBL&#10;AQIUABQAAAAIAIdO4kD/ocuq9QEAAKkDAAAOAAAAAAAAAAEAIAAAACgBAABkcnMvZTJvRG9jLnht&#10;bFBLBQYAAAAABgAGAFkBAACPBQAAAAA=&#10;">
                      <v:fill on="f" focussize="0,0"/>
                      <v:stroke weight="0.5pt" color="#000000" miterlimit="8" joinstyle="miter" endarrow="open"/>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4126230</wp:posOffset>
                      </wp:positionH>
                      <wp:positionV relativeFrom="paragraph">
                        <wp:posOffset>983615</wp:posOffset>
                      </wp:positionV>
                      <wp:extent cx="285750" cy="0"/>
                      <wp:effectExtent l="0" t="48895" r="0" b="65405"/>
                      <wp:wrapNone/>
                      <wp:docPr id="22" name="直接箭头连接符 22"/>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324.9pt;margin-top:77.45pt;height:0pt;width:22.5pt;z-index:251679744;mso-width-relative:page;mso-height-relative:page;" filled="f" stroked="t" coordsize="21600,21600" o:gfxdata="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AbDP1wAAAAsBAAAPAAAAAAAAAAEAIAAAACIAAABkcnMvZG93bnJldi54bWxQSwECFAAU&#10;AAAACACHTuJAPPYeUvIBAACpAwAADgAAAAAAAAABACAAAAAmAQAAZHJzL2Uyb0RvYy54bWxQSwUG&#10;AAAAAAYABgBZAQAAigUAAAAA&#10;">
                      <v:fill on="f" focussize="0,0"/>
                      <v:stroke weight="0.5pt" color="#000000" miterlimit="8" joinstyle="miter" endarrow="open"/>
                      <v:imagedata o:title=""/>
                      <o:lock v:ext="edit" aspectratio="f"/>
                    </v:shape>
                  </w:pict>
                </mc:Fallback>
              </mc:AlternateContent>
            </w:r>
          </w:p>
          <w:p>
            <w:pPr>
              <w:autoSpaceDE w:val="0"/>
              <w:autoSpaceDN w:val="0"/>
              <w:adjustRightInd w:val="0"/>
              <w:snapToGrid w:val="0"/>
              <w:spacing w:line="460" w:lineRule="exact"/>
              <w:ind w:firstLine="482" w:firstLineChars="200"/>
              <w:rPr>
                <w:b/>
                <w:bCs/>
                <w:color w:val="000000" w:themeColor="text1"/>
                <w:sz w:val="24"/>
                <w14:textFill>
                  <w14:solidFill>
                    <w14:schemeClr w14:val="tx1"/>
                  </w14:solidFill>
                </w14:textFill>
              </w:rPr>
            </w:pPr>
          </w:p>
          <w:p>
            <w:pPr>
              <w:autoSpaceDE w:val="0"/>
              <w:autoSpaceDN w:val="0"/>
              <w:adjustRightInd w:val="0"/>
              <w:snapToGrid w:val="0"/>
              <w:spacing w:line="460" w:lineRule="exact"/>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4901565</wp:posOffset>
                      </wp:positionH>
                      <wp:positionV relativeFrom="paragraph">
                        <wp:posOffset>83820</wp:posOffset>
                      </wp:positionV>
                      <wp:extent cx="123825" cy="123825"/>
                      <wp:effectExtent l="6350" t="6350" r="22225" b="22225"/>
                      <wp:wrapNone/>
                      <wp:docPr id="44" name="矩形 44"/>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95pt;margin-top:6.6pt;height:9.75pt;width:9.75pt;z-index:251697152;v-text-anchor:middle;mso-width-relative:page;mso-height-relative:page;" fillcolor="#000000" filled="t" stroked="t" coordsize="21600,21600" o:gfxdata="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uCk6vYAAAACQEAAA8A&#10;AAAAAAAAAQAgAAAAIgAAAGRycy9kb3ducmV2LnhtbFBLAQIUABQAAAAIAIdO4kAdMl3eUAIAALUE&#10;AAAOAAAAAAAAAAEAIAAAACcBAABkcnMvZTJvRG9jLnhtbFBLBQYAAAAABgAGAFkBAADpBQAAAAA=&#10;">
                      <v:fill on="t" focussize="0,0"/>
                      <v:stroke weight="1pt" color="#000000" miterlimit="8" joinstyle="miter"/>
                      <v:imagedata o:title=""/>
                      <o:lock v:ext="edit" aspectratio="f"/>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3834765</wp:posOffset>
                      </wp:positionH>
                      <wp:positionV relativeFrom="paragraph">
                        <wp:posOffset>74930</wp:posOffset>
                      </wp:positionV>
                      <wp:extent cx="123825" cy="133350"/>
                      <wp:effectExtent l="6350" t="6350" r="22225" b="12700"/>
                      <wp:wrapNone/>
                      <wp:docPr id="34" name="椭圆 34"/>
                      <wp:cNvGraphicFramePr/>
                      <a:graphic xmlns:a="http://schemas.openxmlformats.org/drawingml/2006/main">
                        <a:graphicData uri="http://schemas.microsoft.com/office/word/2010/wordprocessingShape">
                          <wps:wsp>
                            <wps:cNvSpPr/>
                            <wps:spPr>
                              <a:xfrm>
                                <a:off x="0" y="0"/>
                                <a:ext cx="123825" cy="133350"/>
                              </a:xfrm>
                              <a:prstGeom prst="ellips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01.95pt;margin-top:5.9pt;height:10.5pt;width:9.75pt;z-index:251689984;v-text-anchor:middle;mso-width-relative:page;mso-height-relative:page;" fillcolor="#000000" filled="t" stroked="t" coordsize="21600,21600" o:gfxdata="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n6Mm9gA&#10;AAAJAQAADwAAAAAAAAABACAAAAAiAAAAZHJzL2Rvd25yZXYueG1sUEsBAhQAFAAAAAgAh07iQOj7&#10;DjlYAgAAuAQAAA4AAAAAAAAAAQAgAAAAJwEAAGRycy9lMm9Eb2MueG1sUEsFBgAAAAAGAAYAWQEA&#10;APEFAAAAAA==&#1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4728845</wp:posOffset>
                      </wp:positionH>
                      <wp:positionV relativeFrom="paragraph">
                        <wp:posOffset>83820</wp:posOffset>
                      </wp:positionV>
                      <wp:extent cx="142875" cy="133350"/>
                      <wp:effectExtent l="10795" t="13335" r="17780" b="24765"/>
                      <wp:wrapNone/>
                      <wp:docPr id="40" name="等腰三角形 40"/>
                      <wp:cNvGraphicFramePr/>
                      <a:graphic xmlns:a="http://schemas.openxmlformats.org/drawingml/2006/main">
                        <a:graphicData uri="http://schemas.microsoft.com/office/word/2010/wordprocessingShape">
                          <wps:wsp>
                            <wps:cNvSpPr/>
                            <wps:spPr>
                              <a:xfrm>
                                <a:off x="0" y="0"/>
                                <a:ext cx="142875" cy="133350"/>
                              </a:xfrm>
                              <a:prstGeom prst="triangl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72.35pt;margin-top:6.6pt;height:10.5pt;width:11.25pt;z-index:251695104;v-text-anchor:middle;mso-width-relative:page;mso-height-relative:page;" fillcolor="#000000" filled="t" stroked="t" coordsize="21600,21600" o:gfxdata="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cdPOdgAAAAJAQAADwAAAAAAAAABACAAAAAiAAAAZHJzL2Rvd25yZXYueG1s&#10;UEsBAhQAFAAAAAgAh07iQPAETpdqAgAAwgQAAA4AAAAAAAAAAQAgAAAAJwEAAGRycy9lMm9Eb2Mu&#10;eG1sUEsFBgAAAAAGAAYAWQEAAAMGAAAAAA==&#10;" adj="1080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4453890</wp:posOffset>
                      </wp:positionH>
                      <wp:positionV relativeFrom="paragraph">
                        <wp:posOffset>84455</wp:posOffset>
                      </wp:positionV>
                      <wp:extent cx="123825" cy="133350"/>
                      <wp:effectExtent l="6350" t="6350" r="22225" b="12700"/>
                      <wp:wrapNone/>
                      <wp:docPr id="33" name="椭圆 33"/>
                      <wp:cNvGraphicFramePr/>
                      <a:graphic xmlns:a="http://schemas.openxmlformats.org/drawingml/2006/main">
                        <a:graphicData uri="http://schemas.microsoft.com/office/word/2010/wordprocessingShape">
                          <wps:wsp>
                            <wps:cNvSpPr/>
                            <wps:spPr>
                              <a:xfrm>
                                <a:off x="0" y="0"/>
                                <a:ext cx="123825" cy="133350"/>
                              </a:xfrm>
                              <a:prstGeom prst="ellipse">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0.7pt;margin-top:6.65pt;height:10.5pt;width:9.75pt;z-index:251688960;v-text-anchor:middle;mso-width-relative:page;mso-height-relative:page;" fillcolor="#000000" filled="t" stroked="t" coordsize="21600,21600" o:gfxdata="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pnkddkA&#10;AAAJAQAADwAAAAAAAAABACAAAAAiAAAAZHJzL2Rvd25yZXYueG1sUEsBAhQAFAAAAAgAh07iQMDf&#10;THNXAgAAuAQAAA4AAAAAAAAAAQAgAAAAKAEAAGRycy9lMm9Eb2MueG1sUEsFBgAAAAAGAAYAWQEA&#10;APEFAAAAAA==&#10;">
                      <v:fill on="t" focussize="0,0"/>
                      <v:stroke weight="1pt" color="#000000" miterlimit="8" joinstyle="miter"/>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2916555</wp:posOffset>
                      </wp:positionH>
                      <wp:positionV relativeFrom="paragraph">
                        <wp:posOffset>258445</wp:posOffset>
                      </wp:positionV>
                      <wp:extent cx="466725" cy="281940"/>
                      <wp:effectExtent l="4445" t="4445" r="5080" b="18415"/>
                      <wp:wrapNone/>
                      <wp:docPr id="26" name="文本框 26"/>
                      <wp:cNvGraphicFramePr/>
                      <a:graphic xmlns:a="http://schemas.openxmlformats.org/drawingml/2006/main">
                        <a:graphicData uri="http://schemas.microsoft.com/office/word/2010/wordprocessingShape">
                          <wps:wsp>
                            <wps:cNvSpPr txBox="1"/>
                            <wps:spPr>
                              <a:xfrm>
                                <a:off x="0" y="0"/>
                                <a:ext cx="466725" cy="281940"/>
                              </a:xfrm>
                              <a:prstGeom prst="rect">
                                <a:avLst/>
                              </a:prstGeom>
                              <a:solidFill>
                                <a:srgbClr val="FFFFFF"/>
                              </a:solidFill>
                              <a:ln w="6350">
                                <a:solidFill>
                                  <a:prstClr val="black"/>
                                </a:solidFill>
                              </a:ln>
                              <a:effectLst/>
                            </wps:spPr>
                            <wps:txbx>
                              <w:txbxContent>
                                <w:p>
                                  <w:pPr>
                                    <w:jc w:val="center"/>
                                  </w:pPr>
                                  <w:r>
                                    <w:rPr>
                                      <w:rFonts w:hint="eastAsia"/>
                                    </w:rPr>
                                    <w:t>组装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65pt;margin-top:20.35pt;height:22.2pt;width:36.75pt;z-index:251682816;mso-width-relative:page;mso-height-relative:page;" fillcolor="#FFFFFF" filled="t" stroked="t" coordsize="21600,21600" o:gfxdata="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zemkrWAAAACQEAAA8AAAAAAAAAAQAgAAAA&#10;IgAAAGRycy9kb3ducmV2LnhtbFBLAQIUABQAAAAIAIdO4kAGt2C+RgIAAHgEAAAOAAAAAAAAAAEA&#10;IAAAACUBAABkcnMvZTJvRG9jLnhtbFBLBQYAAAAABgAGAFkBAADdBQAAAAA=&#10;">
                      <v:fill on="t" focussize="0,0"/>
                      <v:stroke weight="0.5pt" color="#000000" joinstyle="round"/>
                      <v:imagedata o:title=""/>
                      <o:lock v:ext="edit" aspectratio="f"/>
                      <v:textbox>
                        <w:txbxContent>
                          <w:p>
                            <w:pPr>
                              <w:jc w:val="center"/>
                            </w:pPr>
                            <w:r>
                              <w:rPr>
                                <w:rFonts w:hint="eastAsia"/>
                              </w:rPr>
                              <w:t>组装</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3659505</wp:posOffset>
                      </wp:positionH>
                      <wp:positionV relativeFrom="paragraph">
                        <wp:posOffset>258445</wp:posOffset>
                      </wp:positionV>
                      <wp:extent cx="466725" cy="281940"/>
                      <wp:effectExtent l="4445" t="4445" r="5080" b="18415"/>
                      <wp:wrapNone/>
                      <wp:docPr id="25" name="文本框 25"/>
                      <wp:cNvGraphicFramePr/>
                      <a:graphic xmlns:a="http://schemas.openxmlformats.org/drawingml/2006/main">
                        <a:graphicData uri="http://schemas.microsoft.com/office/word/2010/wordprocessingShape">
                          <wps:wsp>
                            <wps:cNvSpPr txBox="1"/>
                            <wps:spPr>
                              <a:xfrm>
                                <a:off x="0" y="0"/>
                                <a:ext cx="466725" cy="281940"/>
                              </a:xfrm>
                              <a:prstGeom prst="rect">
                                <a:avLst/>
                              </a:prstGeom>
                              <a:solidFill>
                                <a:srgbClr val="FFFFFF"/>
                              </a:solidFill>
                              <a:ln w="6350">
                                <a:solidFill>
                                  <a:prstClr val="black"/>
                                </a:solidFill>
                              </a:ln>
                              <a:effectLst/>
                            </wps:spPr>
                            <wps:txbx>
                              <w:txbxContent>
                                <w:p>
                                  <w:pPr>
                                    <w:jc w:val="center"/>
                                  </w:pPr>
                                  <w:r>
                                    <w:rPr>
                                      <w:rFonts w:hint="eastAsia"/>
                                    </w:rPr>
                                    <w:t>固化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15pt;margin-top:20.35pt;height:22.2pt;width:36.75pt;z-index:251680768;mso-width-relative:page;mso-height-relative:page;" fillcolor="#FFFFFF" filled="t" stroked="t" coordsize="21600,21600" o:gfxdata="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SlIKXXAAAACQEAAA8AAAAAAAAAAQAgAAAA&#10;IgAAAGRycy9kb3ducmV2LnhtbFBLAQIUABQAAAAIAIdO4kD6zPHzRQIAAHgEAAAOAAAAAAAAAAEA&#10;IAAAACYBAABkcnMvZTJvRG9jLnhtbFBLBQYAAAAABgAGAFkBAADdBQAAAAA=&#10;">
                      <v:fill on="t" focussize="0,0"/>
                      <v:stroke weight="0.5pt" color="#000000" joinstyle="round"/>
                      <v:imagedata o:title=""/>
                      <o:lock v:ext="edit" aspectratio="f"/>
                      <v:textbox>
                        <w:txbxContent>
                          <w:p>
                            <w:pPr>
                              <w:jc w:val="center"/>
                            </w:pPr>
                            <w:r>
                              <w:rPr>
                                <w:rFonts w:hint="eastAsia"/>
                              </w:rPr>
                              <w:t>固化</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4411980</wp:posOffset>
                      </wp:positionH>
                      <wp:positionV relativeFrom="paragraph">
                        <wp:posOffset>258445</wp:posOffset>
                      </wp:positionV>
                      <wp:extent cx="466725" cy="281940"/>
                      <wp:effectExtent l="4445" t="4445" r="5080" b="18415"/>
                      <wp:wrapNone/>
                      <wp:docPr id="19" name="文本框 19"/>
                      <wp:cNvGraphicFramePr/>
                      <a:graphic xmlns:a="http://schemas.openxmlformats.org/drawingml/2006/main">
                        <a:graphicData uri="http://schemas.microsoft.com/office/word/2010/wordprocessingShape">
                          <wps:wsp>
                            <wps:cNvSpPr txBox="1"/>
                            <wps:spPr>
                              <a:xfrm>
                                <a:off x="0" y="0"/>
                                <a:ext cx="466725" cy="281940"/>
                              </a:xfrm>
                              <a:prstGeom prst="rect">
                                <a:avLst/>
                              </a:prstGeom>
                              <a:solidFill>
                                <a:srgbClr val="FFFFFF"/>
                              </a:solidFill>
                              <a:ln w="6350">
                                <a:solidFill>
                                  <a:prstClr val="black"/>
                                </a:solidFill>
                              </a:ln>
                              <a:effectLst/>
                            </wps:spPr>
                            <wps:txbx>
                              <w:txbxContent>
                                <w:p>
                                  <w:pPr>
                                    <w:jc w:val="center"/>
                                  </w:pPr>
                                  <w:r>
                                    <w:rPr>
                                      <w:rFonts w:hint="eastAsia"/>
                                    </w:rPr>
                                    <w:t>喷塑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4pt;margin-top:20.35pt;height:22.2pt;width:36.75pt;z-index:251678720;mso-width-relative:page;mso-height-relative:page;" fillcolor="#FFFFFF" filled="t" stroked="t" coordsize="21600,21600" o:gfxdata="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C7GG/XAAAACQEAAA8AAAAAAAAAAQAgAAAA&#10;IgAAAGRycy9kb3ducmV2LnhtbFBLAQIUABQAAAAIAIdO4kAHCoOqRQIAAHgEAAAOAAAAAAAAAAEA&#10;IAAAACYBAABkcnMvZTJvRG9jLnhtbFBLBQYAAAAABgAGAFkBAADdBQAAAAA=&#10;">
                      <v:fill on="t" focussize="0,0"/>
                      <v:stroke weight="0.5pt" color="#000000" joinstyle="round"/>
                      <v:imagedata o:title=""/>
                      <o:lock v:ext="edit" aspectratio="f"/>
                      <v:textbox>
                        <w:txbxContent>
                          <w:p>
                            <w:pPr>
                              <w:jc w:val="center"/>
                            </w:pPr>
                            <w:r>
                              <w:rPr>
                                <w:rFonts w:hint="eastAsia"/>
                              </w:rPr>
                              <w:t>喷塑</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1859915</wp:posOffset>
                      </wp:positionH>
                      <wp:positionV relativeFrom="paragraph">
                        <wp:posOffset>258445</wp:posOffset>
                      </wp:positionV>
                      <wp:extent cx="799465" cy="281940"/>
                      <wp:effectExtent l="4445" t="4445" r="15240" b="18415"/>
                      <wp:wrapNone/>
                      <wp:docPr id="28" name="文本框 28"/>
                      <wp:cNvGraphicFramePr/>
                      <a:graphic xmlns:a="http://schemas.openxmlformats.org/drawingml/2006/main">
                        <a:graphicData uri="http://schemas.microsoft.com/office/word/2010/wordprocessingShape">
                          <wps:wsp>
                            <wps:cNvSpPr txBox="1"/>
                            <wps:spPr>
                              <a:xfrm>
                                <a:off x="0" y="0"/>
                                <a:ext cx="799465" cy="281940"/>
                              </a:xfrm>
                              <a:prstGeom prst="rect">
                                <a:avLst/>
                              </a:prstGeom>
                              <a:solidFill>
                                <a:srgbClr val="FFFFFF"/>
                              </a:solidFill>
                              <a:ln w="6350">
                                <a:solidFill>
                                  <a:prstClr val="black"/>
                                </a:solidFill>
                              </a:ln>
                              <a:effectLst/>
                            </wps:spPr>
                            <wps:txbx>
                              <w:txbxContent>
                                <w:p>
                                  <w:pPr>
                                    <w:jc w:val="center"/>
                                  </w:pPr>
                                  <w:r>
                                    <w:rPr>
                                      <w:rFonts w:hint="eastAsia"/>
                                    </w:rPr>
                                    <w:t>包装入库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45pt;margin-top:20.35pt;height:22.2pt;width:62.95pt;z-index:251684864;mso-width-relative:page;mso-height-relative:page;" fillcolor="#FFFFFF" filled="t" stroked="t" coordsize="21600,21600" o:gfxdata="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xguKD1wAAAAkBAAAPAAAAAAAAAAEAIAAA&#10;ACIAAABkcnMvZG93bnJldi54bWxQSwECFAAUAAAACACHTuJApG3NrkYCAAB4BAAADgAAAAAAAAAB&#10;ACAAAAAmAQAAZHJzL2Uyb0RvYy54bWxQSwUGAAAAAAYABgBZAQAA3gUAAAAA&#10;">
                      <v:fill on="t" focussize="0,0"/>
                      <v:stroke weight="0.5pt" color="#000000" joinstyle="round"/>
                      <v:imagedata o:title=""/>
                      <o:lock v:ext="edit" aspectratio="f"/>
                      <v:textbox>
                        <w:txbxContent>
                          <w:p>
                            <w:pPr>
                              <w:jc w:val="center"/>
                            </w:pPr>
                            <w:r>
                              <w:rPr>
                                <w:rFonts w:hint="eastAsia"/>
                              </w:rPr>
                              <w:t>包装入库</w:t>
                            </w:r>
                          </w:p>
                        </w:txbxContent>
                      </v:textbox>
                    </v:shape>
                  </w:pict>
                </mc:Fallback>
              </mc:AlternateContent>
            </w:r>
          </w:p>
          <w:p>
            <w:pPr>
              <w:autoSpaceDE w:val="0"/>
              <w:autoSpaceDN w:val="0"/>
              <w:adjustRightInd w:val="0"/>
              <w:snapToGrid w:val="0"/>
              <w:spacing w:line="460" w:lineRule="exact"/>
              <w:ind w:firstLine="482" w:firstLineChars="200"/>
              <w:rPr>
                <w:b/>
                <w:bCs/>
                <w:color w:val="000000" w:themeColor="text1"/>
                <w:sz w:val="24"/>
                <w14:textFill>
                  <w14:solidFill>
                    <w14:schemeClr w14:val="tx1"/>
                  </w14:solidFill>
                </w14:textFill>
              </w:rPr>
            </w:pPr>
          </w:p>
          <w:p>
            <w:pPr>
              <w:autoSpaceDE w:val="0"/>
              <w:autoSpaceDN w:val="0"/>
              <w:adjustRightInd w:val="0"/>
              <w:snapToGrid w:val="0"/>
              <w:spacing w:line="460" w:lineRule="exact"/>
              <w:rPr>
                <w:b/>
                <w:bCs/>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4309745</wp:posOffset>
                      </wp:positionH>
                      <wp:positionV relativeFrom="paragraph">
                        <wp:posOffset>71755</wp:posOffset>
                      </wp:positionV>
                      <wp:extent cx="801370" cy="962660"/>
                      <wp:effectExtent l="5080" t="4445" r="12700" b="23495"/>
                      <wp:wrapNone/>
                      <wp:docPr id="49" name="文本框 49"/>
                      <wp:cNvGraphicFramePr/>
                      <a:graphic xmlns:a="http://schemas.openxmlformats.org/drawingml/2006/main">
                        <a:graphicData uri="http://schemas.microsoft.com/office/word/2010/wordprocessingShape">
                          <wps:wsp>
                            <wps:cNvSpPr txBox="1"/>
                            <wps:spPr>
                              <a:xfrm>
                                <a:off x="4994910" y="3872865"/>
                                <a:ext cx="801370" cy="962660"/>
                              </a:xfrm>
                              <a:prstGeom prst="rect">
                                <a:avLst/>
                              </a:prstGeom>
                              <a:solidFill>
                                <a:srgbClr val="FFFFFF"/>
                              </a:solidFill>
                              <a:ln w="6350">
                                <a:solidFill>
                                  <a:prstClr val="black"/>
                                </a:solidFill>
                              </a:ln>
                              <a:effectLst/>
                            </wps:spPr>
                            <wps:txbx>
                              <w:txbxContent>
                                <w:p>
                                  <w:r>
                                    <w:rPr>
                                      <w:rFonts w:hint="eastAsia"/>
                                    </w:rPr>
                                    <w:t>图例：</w:t>
                                  </w:r>
                                </w:p>
                                <w:p>
                                  <w:pPr>
                                    <w:spacing w:line="360" w:lineRule="auto"/>
                                    <w:ind w:firstLine="420" w:firstLineChars="200"/>
                                  </w:pPr>
                                  <w:r>
                                    <w:rPr>
                                      <w:rFonts w:hint="eastAsia"/>
                                    </w:rPr>
                                    <w:t>废气</w:t>
                                  </w:r>
                                </w:p>
                                <w:p>
                                  <w:pPr>
                                    <w:spacing w:line="360" w:lineRule="auto"/>
                                    <w:ind w:firstLine="420" w:firstLineChars="200"/>
                                  </w:pPr>
                                  <w:r>
                                    <w:rPr>
                                      <w:rFonts w:hint="eastAsia"/>
                                    </w:rPr>
                                    <w:t>噪声</w:t>
                                  </w:r>
                                </w:p>
                                <w:p>
                                  <w:pPr>
                                    <w:spacing w:line="360" w:lineRule="auto"/>
                                    <w:ind w:firstLine="420" w:firstLineChars="200"/>
                                  </w:pPr>
                                  <w:r>
                                    <w:rPr>
                                      <w:rFonts w:hint="eastAsia"/>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35pt;margin-top:5.65pt;height:75.8pt;width:63.1pt;z-index:251662336;mso-width-relative:page;mso-height-relative:page;" fillcolor="#FFFFFF" filled="t" stroked="t" coordsize="21600,21600" o:gfxdata="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4cUit9cAAAAKAQAA&#10;DwAAAAAAAAABACAAAAAiAAAAZHJzL2Rvd25yZXYueG1sUEsBAhQAFAAAAAgAh07iQDHZnCtTAgAA&#10;hAQAAA4AAAAAAAAAAQAgAAAAJgEAAGRycy9lMm9Eb2MueG1sUEsFBgAAAAAGAAYAWQEAAOsFAAAA&#10;AA==&#10;">
                      <v:fill on="t" focussize="0,0"/>
                      <v:stroke weight="0.5pt" color="#000000" joinstyle="round"/>
                      <v:imagedata o:title=""/>
                      <o:lock v:ext="edit" aspectratio="f"/>
                      <v:textbox>
                        <w:txbxContent>
                          <w:p>
                            <w:r>
                              <w:rPr>
                                <w:rFonts w:hint="eastAsia"/>
                              </w:rPr>
                              <w:t>图例：</w:t>
                            </w:r>
                          </w:p>
                          <w:p>
                            <w:pPr>
                              <w:spacing w:line="360" w:lineRule="auto"/>
                              <w:ind w:firstLine="420" w:firstLineChars="200"/>
                            </w:pPr>
                            <w:r>
                              <w:rPr>
                                <w:rFonts w:hint="eastAsia"/>
                              </w:rPr>
                              <w:t>废气</w:t>
                            </w:r>
                          </w:p>
                          <w:p>
                            <w:pPr>
                              <w:spacing w:line="360" w:lineRule="auto"/>
                              <w:ind w:firstLine="420" w:firstLineChars="200"/>
                            </w:pPr>
                            <w:r>
                              <w:rPr>
                                <w:rFonts w:hint="eastAsia"/>
                              </w:rPr>
                              <w:t>噪声</w:t>
                            </w:r>
                          </w:p>
                          <w:p>
                            <w:pPr>
                              <w:spacing w:line="360" w:lineRule="auto"/>
                              <w:ind w:firstLine="420" w:firstLineChars="200"/>
                            </w:pPr>
                            <w:r>
                              <w:rPr>
                                <w:rFonts w:hint="eastAsia"/>
                              </w:rPr>
                              <w:t>固废</w:t>
                            </w:r>
                          </w:p>
                        </w:txbxContent>
                      </v:textbox>
                    </v:shape>
                  </w:pict>
                </mc:Fallback>
              </mc:AlternateContent>
            </w:r>
          </w:p>
          <w:p>
            <w:pPr>
              <w:autoSpaceDE w:val="0"/>
              <w:autoSpaceDN w:val="0"/>
              <w:adjustRightInd w:val="0"/>
              <w:snapToGrid w:val="0"/>
              <w:spacing w:line="460" w:lineRule="exact"/>
              <w:rPr>
                <w:b/>
                <w:bCs/>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4444365</wp:posOffset>
                      </wp:positionH>
                      <wp:positionV relativeFrom="paragraph">
                        <wp:posOffset>17780</wp:posOffset>
                      </wp:positionV>
                      <wp:extent cx="123825" cy="133350"/>
                      <wp:effectExtent l="6350" t="6350" r="22225" b="12700"/>
                      <wp:wrapNone/>
                      <wp:docPr id="50" name="椭圆 50"/>
                      <wp:cNvGraphicFramePr/>
                      <a:graphic xmlns:a="http://schemas.openxmlformats.org/drawingml/2006/main">
                        <a:graphicData uri="http://schemas.microsoft.com/office/word/2010/wordprocessingShape">
                          <wps:wsp>
                            <wps:cNvSpPr/>
                            <wps:spPr>
                              <a:xfrm>
                                <a:off x="5956935" y="3949065"/>
                                <a:ext cx="123825" cy="133350"/>
                              </a:xfrm>
                              <a:prstGeom prst="ellipse">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9.95pt;margin-top:1.4pt;height:10.5pt;width:9.75pt;z-index:251663360;v-text-anchor:middle;mso-width-relative:page;mso-height-relative:page;" fillcolor="#000000" filled="t" stroked="t" coordsize="21600,21600" o:gfxdata="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PcZ4tcAAAAIAQAADwAAAAAAAAABACAAAAAiAAAAZHJzL2Rvd25yZXYueG1sUEsBAhQAFAAA&#10;AAgAh07iQLycuuBiAgAAxAQAAA4AAAAAAAAAAQAgAAAAJgEAAGRycy9lMm9Eb2MueG1sUEsFBgAA&#10;AAAGAAYAWQEAAPoFAAAAAA==&#10;">
                      <v:fill on="t" focussize="0,0"/>
                      <v:stroke weight="1pt" color="#000000" miterlimit="8" joinstyle="miter"/>
                      <v:imagedata o:title=""/>
                      <o:lock v:ext="edit" aspectratio="f"/>
                      <v:textbox>
                        <w:txbxContent>
                          <w:p>
                            <w:pPr>
                              <w:jc w:val="center"/>
                            </w:pP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4443095</wp:posOffset>
                      </wp:positionH>
                      <wp:positionV relativeFrom="paragraph">
                        <wp:posOffset>264795</wp:posOffset>
                      </wp:positionV>
                      <wp:extent cx="142875" cy="133350"/>
                      <wp:effectExtent l="10795" t="13335" r="17780" b="24765"/>
                      <wp:wrapNone/>
                      <wp:docPr id="51" name="等腰三角形 51"/>
                      <wp:cNvGraphicFramePr/>
                      <a:graphic xmlns:a="http://schemas.openxmlformats.org/drawingml/2006/main">
                        <a:graphicData uri="http://schemas.microsoft.com/office/word/2010/wordprocessingShape">
                          <wps:wsp>
                            <wps:cNvSpPr/>
                            <wps:spPr>
                              <a:xfrm>
                                <a:off x="5956935" y="4149090"/>
                                <a:ext cx="142875" cy="133350"/>
                              </a:xfrm>
                              <a:prstGeom prst="triangle">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349.85pt;margin-top:20.85pt;height:10.5pt;width:11.25pt;z-index:251664384;v-text-anchor:middle;mso-width-relative:page;mso-height-relative:page;" fillcolor="#000000" filled="t" stroked="t" coordsize="21600,21600" o:gfxdata="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uZbLZ2QAAAAkBAAAPAAAAAAAAAAEAIAAAACIAAABk&#10;cnMvZG93bnJldi54bWxQSwECFAAUAAAACACHTuJA9ddnuXcCAADOBAAADgAAAAAAAAABACAAAAAo&#10;AQAAZHJzL2Uyb0RvYy54bWxQSwUGAAAAAAYABgBZAQAAEQYAAAAA&#10;" adj="10800">
                      <v:fill on="t" focussize="0,0"/>
                      <v:stroke weight="1pt" color="#000000" miterlimit="8" joinstyle="miter"/>
                      <v:imagedata o:title=""/>
                      <o:lock v:ext="edit" aspectratio="f"/>
                      <v:textbox>
                        <w:txbxContent>
                          <w:p>
                            <w:pPr>
                              <w:jc w:val="center"/>
                            </w:pPr>
                          </w:p>
                        </w:txbxContent>
                      </v:textbox>
                    </v:shape>
                  </w:pict>
                </mc:Fallback>
              </mc:AlternateContent>
            </w:r>
          </w:p>
          <w:p>
            <w:pPr>
              <w:autoSpaceDE w:val="0"/>
              <w:autoSpaceDN w:val="0"/>
              <w:adjustRightInd w:val="0"/>
              <w:snapToGrid w:val="0"/>
              <w:spacing w:line="460" w:lineRule="exact"/>
              <w:rPr>
                <w:b/>
                <w:bCs/>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4453890</wp:posOffset>
                      </wp:positionH>
                      <wp:positionV relativeFrom="paragraph">
                        <wp:posOffset>239395</wp:posOffset>
                      </wp:positionV>
                      <wp:extent cx="123825" cy="123825"/>
                      <wp:effectExtent l="6350" t="6350" r="22225" b="22225"/>
                      <wp:wrapNone/>
                      <wp:docPr id="52" name="矩形 52"/>
                      <wp:cNvGraphicFramePr/>
                      <a:graphic xmlns:a="http://schemas.openxmlformats.org/drawingml/2006/main">
                        <a:graphicData uri="http://schemas.microsoft.com/office/word/2010/wordprocessingShape">
                          <wps:wsp>
                            <wps:cNvSpPr/>
                            <wps:spPr>
                              <a:xfrm>
                                <a:off x="5966460" y="4425315"/>
                                <a:ext cx="123825" cy="123825"/>
                              </a:xfrm>
                              <a:prstGeom prst="rect">
                                <a:avLst/>
                              </a:prstGeom>
                              <a:solidFill>
                                <a:srgbClr val="000000"/>
                              </a:solidFill>
                              <a:ln w="12700" cap="flat" cmpd="sng" algn="ctr">
                                <a:solidFill>
                                  <a:srgbClr val="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7pt;margin-top:18.85pt;height:9.75pt;width:9.75pt;z-index:251665408;v-text-anchor:middle;mso-width-relative:page;mso-height-relative:page;" fillcolor="#000000" filled="t" stroked="t" coordsize="21600,21600" o:gfxdata="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0CYg2gAAAAkBAAAPAAAAAAAAAAEAIAAAACIAAABkcnMvZG93bnJldi54bWxQSwECFAAUAAAA&#10;CACHTuJAz15RX14CAADBBAAADgAAAAAAAAABACAAAAApAQAAZHJzL2Uyb0RvYy54bWxQSwUGAAAA&#10;AAYABgBZAQAA+QUAAAAA&#10;">
                      <v:fill on="t" focussize="0,0"/>
                      <v:stroke weight="1pt" color="#000000" miterlimit="8" joinstyle="miter"/>
                      <v:imagedata o:title=""/>
                      <o:lock v:ext="edit" aspectratio="f"/>
                      <v:textbox>
                        <w:txbxContent>
                          <w:p>
                            <w:pPr>
                              <w:jc w:val="center"/>
                            </w:pPr>
                          </w:p>
                        </w:txbxContent>
                      </v:textbox>
                    </v:rect>
                  </w:pict>
                </mc:Fallback>
              </mc:AlternateContent>
            </w:r>
          </w:p>
          <w:p>
            <w:pPr>
              <w:autoSpaceDE w:val="0"/>
              <w:autoSpaceDN w:val="0"/>
              <w:adjustRightInd w:val="0"/>
              <w:snapToGrid w:val="0"/>
              <w:spacing w:line="460" w:lineRule="exact"/>
              <w:rPr>
                <w:b/>
                <w:bCs/>
                <w:color w:val="000000" w:themeColor="text1"/>
                <w:sz w:val="24"/>
                <w14:textFill>
                  <w14:solidFill>
                    <w14:schemeClr w14:val="tx1"/>
                  </w14:solidFill>
                </w14:textFill>
              </w:rPr>
            </w:pPr>
          </w:p>
          <w:p>
            <w:pPr>
              <w:autoSpaceDE w:val="0"/>
              <w:autoSpaceDN w:val="0"/>
              <w:adjustRightInd w:val="0"/>
              <w:snapToGrid w:val="0"/>
              <w:spacing w:line="460" w:lineRule="exact"/>
              <w:rPr>
                <w:b/>
                <w:bCs/>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1444625</wp:posOffset>
                      </wp:positionH>
                      <wp:positionV relativeFrom="paragraph">
                        <wp:posOffset>57150</wp:posOffset>
                      </wp:positionV>
                      <wp:extent cx="2695575" cy="323850"/>
                      <wp:effectExtent l="0" t="0" r="0" b="0"/>
                      <wp:wrapNone/>
                      <wp:docPr id="81" name="文本框 81"/>
                      <wp:cNvGraphicFramePr/>
                      <a:graphic xmlns:a="http://schemas.openxmlformats.org/drawingml/2006/main">
                        <a:graphicData uri="http://schemas.microsoft.com/office/word/2010/wordprocessingShape">
                          <wps:wsp>
                            <wps:cNvSpPr txBox="1"/>
                            <wps:spPr>
                              <a:xfrm>
                                <a:off x="2889885" y="3215005"/>
                                <a:ext cx="2695575" cy="323850"/>
                              </a:xfrm>
                              <a:prstGeom prst="rect">
                                <a:avLst/>
                              </a:prstGeom>
                              <a:noFill/>
                              <a:ln w="6350">
                                <a:noFill/>
                              </a:ln>
                              <a:effectLst/>
                            </wps:spPr>
                            <wps:txbx>
                              <w:txbxContent>
                                <w:p>
                                  <w:pPr>
                                    <w:jc w:val="center"/>
                                    <w:rPr>
                                      <w:rFonts w:ascii="宋体" w:hAnsi="宋体" w:cs="宋体"/>
                                      <w:b/>
                                      <w:bCs/>
                                      <w:sz w:val="24"/>
                                    </w:rPr>
                                  </w:pPr>
                                  <w:r>
                                    <w:rPr>
                                      <w:rFonts w:hint="eastAsia" w:ascii="宋体" w:hAnsi="宋体" w:cs="宋体"/>
                                      <w:b/>
                                      <w:bCs/>
                                      <w:sz w:val="24"/>
                                    </w:rPr>
                                    <w:t>图1     生产工艺流程及产污环节图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75pt;margin-top:4.5pt;height:25.5pt;width:212.25pt;z-index:251661312;mso-width-relative:page;mso-height-relative:page;" filled="f" stroked="f" coordsize="21600,21600" o:gfxdata="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E9SQ3YAAAACAEAAA8AAAAAAAAAAQAgAAAAIgAAAGRycy9kb3ducmV2LnhtbFBL&#10;AQIUABQAAAAIAIdO4kCCREo3LwIAADQEAAAOAAAAAAAAAAEAIAAAACcBAABkcnMvZTJvRG9jLnht&#10;bFBLBQYAAAAABgAGAFkBAADIBQAAAAA=&#10;">
                      <v:fill on="f" focussize="0,0"/>
                      <v:stroke on="f" weight="0.5pt"/>
                      <v:imagedata o:title=""/>
                      <o:lock v:ext="edit" aspectratio="f"/>
                      <v:textbox>
                        <w:txbxContent>
                          <w:p>
                            <w:pPr>
                              <w:jc w:val="center"/>
                              <w:rPr>
                                <w:rFonts w:ascii="宋体" w:hAnsi="宋体" w:cs="宋体"/>
                                <w:b/>
                                <w:bCs/>
                                <w:sz w:val="24"/>
                              </w:rPr>
                            </w:pPr>
                            <w:r>
                              <w:rPr>
                                <w:rFonts w:hint="eastAsia" w:ascii="宋体" w:hAnsi="宋体" w:cs="宋体"/>
                                <w:b/>
                                <w:bCs/>
                                <w:sz w:val="24"/>
                              </w:rPr>
                              <w:t>图1     生产工艺流程及产污环节图</w:t>
                            </w:r>
                          </w:p>
                        </w:txbxContent>
                      </v:textbox>
                    </v:shape>
                  </w:pict>
                </mc:Fallback>
              </mc:AlternateContent>
            </w:r>
          </w:p>
          <w:p>
            <w:pPr>
              <w:autoSpaceDE w:val="0"/>
              <w:autoSpaceDN w:val="0"/>
              <w:adjustRightInd w:val="0"/>
              <w:snapToGrid w:val="0"/>
              <w:spacing w:line="460" w:lineRule="exact"/>
              <w:rPr>
                <w:b/>
                <w:bCs/>
                <w:color w:val="000000" w:themeColor="text1"/>
                <w:sz w:val="24"/>
                <w14:textFill>
                  <w14:solidFill>
                    <w14:schemeClr w14:val="tx1"/>
                  </w14:solidFill>
                </w14:textFill>
              </w:rPr>
            </w:pPr>
          </w:p>
          <w:p>
            <w:pPr>
              <w:autoSpaceDE w:val="0"/>
              <w:autoSpaceDN w:val="0"/>
              <w:adjustRightInd w:val="0"/>
              <w:snapToGrid w:val="0"/>
              <w:spacing w:line="460" w:lineRule="exac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工艺流程简述：</w:t>
            </w:r>
          </w:p>
          <w:p>
            <w:pPr>
              <w:autoSpaceDE w:val="0"/>
              <w:autoSpaceDN w:val="0"/>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①机加工、焊接：对外购钢板进行切割、冲压、折弯等操作，再对各板材及零部件进行焊接。</w:t>
            </w:r>
          </w:p>
          <w:p>
            <w:pPr>
              <w:pStyle w:val="6"/>
              <w:numPr>
                <w:ilvl w:val="0"/>
                <w:numId w:val="0"/>
              </w:numPr>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②</w:t>
            </w:r>
            <w:r>
              <w:rPr>
                <w:rFonts w:hint="eastAsia"/>
                <w:b w:val="0"/>
                <w:bCs/>
                <w:color w:val="000000" w:themeColor="text1"/>
                <w14:textFill>
                  <w14:solidFill>
                    <w14:schemeClr w14:val="tx1"/>
                  </w14:solidFill>
                </w14:textFill>
              </w:rPr>
              <w:t>表面处理：采用人工擦拭方式进行，</w:t>
            </w:r>
            <w:r>
              <w:rPr>
                <w:rFonts w:hint="eastAsia"/>
                <w:b w:val="0"/>
                <w:color w:val="000000" w:themeColor="text1"/>
                <w14:textFill>
                  <w14:solidFill>
                    <w14:schemeClr w14:val="tx1"/>
                  </w14:solidFill>
                </w14:textFill>
              </w:rPr>
              <w:t>用抹布蘸取磷化液手工对焊接好的钢制部件进行擦拭。擦拭时使用托盘盛接擦拭过程中滴落的磷化液，托盘中收集的磷化液可继续蘸取回用于表面处理。表面处理所使用抹布不用清洗，在磷化液中连续浸沾使用，对表面进行除油除锈。</w:t>
            </w:r>
          </w:p>
          <w:p>
            <w:pPr>
              <w:pStyle w:val="6"/>
              <w:numPr>
                <w:ilvl w:val="0"/>
                <w:numId w:val="0"/>
              </w:numPr>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③喷塑：对金属部件进行喷涂，防止部件表面腐化。喷塑采用的是树脂基材料(固体粉末状)，经静电喷涂吸附在工件表面，再经高温烘烤后溶化固定在工件表面。</w:t>
            </w:r>
          </w:p>
          <w:p>
            <w:pPr>
              <w:pStyle w:val="6"/>
              <w:numPr>
                <w:ilvl w:val="0"/>
                <w:numId w:val="0"/>
              </w:numPr>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④固化：项目设置固化室，采用电加热（加热温度约180</w:t>
            </w:r>
            <w:r>
              <w:rPr>
                <w:bCs/>
                <w:color w:val="000000" w:themeColor="text1"/>
                <w14:textFill>
                  <w14:solidFill>
                    <w14:schemeClr w14:val="tx1"/>
                  </w14:solidFill>
                </w14:textFill>
              </w:rPr>
              <w:t>℃</w:t>
            </w:r>
            <w:r>
              <w:rPr>
                <w:rFonts w:hint="eastAsia"/>
                <w:b w:val="0"/>
                <w:color w:val="000000" w:themeColor="text1"/>
                <w14:textFill>
                  <w14:solidFill>
                    <w14:schemeClr w14:val="tx1"/>
                  </w14:solidFill>
                </w14:textFill>
              </w:rPr>
              <w:t>~200</w:t>
            </w:r>
            <w:r>
              <w:rPr>
                <w:bCs/>
                <w:color w:val="000000" w:themeColor="text1"/>
                <w14:textFill>
                  <w14:solidFill>
                    <w14:schemeClr w14:val="tx1"/>
                  </w14:solidFill>
                </w14:textFill>
              </w:rPr>
              <w:t>℃</w:t>
            </w:r>
            <w:r>
              <w:rPr>
                <w:rFonts w:hint="eastAsia"/>
                <w:b w:val="0"/>
                <w:color w:val="000000" w:themeColor="text1"/>
                <w14:textFill>
                  <w14:solidFill>
                    <w14:schemeClr w14:val="tx1"/>
                  </w14:solidFill>
                </w14:textFill>
              </w:rPr>
              <w:t>）。喷涂后的部件送入固化室内加热，使塑粉固化在工件上。</w:t>
            </w:r>
          </w:p>
          <w:p>
            <w:pPr>
              <w:pStyle w:val="6"/>
              <w:numPr>
                <w:ilvl w:val="0"/>
                <w:numId w:val="0"/>
              </w:numPr>
              <w:ind w:firstLine="480" w:firstLineChars="200"/>
              <w:rPr>
                <w:b w:val="0"/>
                <w:color w:val="000000" w:themeColor="text1"/>
                <w14:textFill>
                  <w14:solidFill>
                    <w14:schemeClr w14:val="tx1"/>
                  </w14:solidFill>
                </w14:textFill>
              </w:rPr>
            </w:pPr>
            <w:r>
              <w:rPr>
                <w:rFonts w:hint="eastAsia"/>
                <w:b w:val="0"/>
                <w:color w:val="000000" w:themeColor="text1"/>
                <w14:textFill>
                  <w14:solidFill>
                    <w14:schemeClr w14:val="tx1"/>
                  </w14:solidFill>
                </w14:textFill>
              </w:rPr>
              <w:t>⑤组装：将各工件与配件进行组装，组装完成经检验合格后包装入库。</w:t>
            </w:r>
          </w:p>
          <w:p>
            <w:pPr>
              <w:autoSpaceDE w:val="0"/>
              <w:autoSpaceDN w:val="0"/>
              <w:adjustRightInd w:val="0"/>
              <w:snapToGrid w:val="0"/>
              <w:spacing w:line="46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主要污染工序：</w:t>
            </w:r>
          </w:p>
          <w:p>
            <w:pPr>
              <w:numPr>
                <w:ilvl w:val="0"/>
                <w:numId w:val="4"/>
              </w:numPr>
              <w:autoSpaceDE w:val="0"/>
              <w:autoSpaceDN w:val="0"/>
              <w:adjustRightInd w:val="0"/>
              <w:snapToGrid w:val="0"/>
              <w:spacing w:line="46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废气</w:t>
            </w:r>
          </w:p>
          <w:p>
            <w:pPr>
              <w:autoSpaceDE w:val="0"/>
              <w:autoSpaceDN w:val="0"/>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本项目营运过程中废气污染源主要为切割、焊接过程产生的烟尘，喷塑工序产生的粉尘、固化工序产生的少量非甲烷总烃。</w:t>
            </w:r>
          </w:p>
          <w:p>
            <w:pPr>
              <w:numPr>
                <w:ilvl w:val="0"/>
                <w:numId w:val="4"/>
              </w:numPr>
              <w:autoSpaceDE w:val="0"/>
              <w:autoSpaceDN w:val="0"/>
              <w:adjustRightInd w:val="0"/>
              <w:snapToGrid w:val="0"/>
              <w:spacing w:line="46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废水</w:t>
            </w:r>
          </w:p>
          <w:p>
            <w:pPr>
              <w:autoSpaceDE w:val="0"/>
              <w:autoSpaceDN w:val="0"/>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本项目营运期产生的废水主要为员工活动中产生的生活废水。</w:t>
            </w:r>
          </w:p>
          <w:p>
            <w:pPr>
              <w:numPr>
                <w:ilvl w:val="0"/>
                <w:numId w:val="4"/>
              </w:numPr>
              <w:autoSpaceDE w:val="0"/>
              <w:autoSpaceDN w:val="0"/>
              <w:adjustRightInd w:val="0"/>
              <w:snapToGrid w:val="0"/>
              <w:spacing w:line="46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噪声</w:t>
            </w:r>
          </w:p>
          <w:p>
            <w:pPr>
              <w:autoSpaceDE w:val="0"/>
              <w:autoSpaceDN w:val="0"/>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本项目运营期噪声主要为设备运行噪声。</w:t>
            </w:r>
          </w:p>
          <w:p>
            <w:pPr>
              <w:autoSpaceDE w:val="0"/>
              <w:autoSpaceDN w:val="0"/>
              <w:adjustRightInd w:val="0"/>
              <w:snapToGrid w:val="0"/>
              <w:spacing w:line="46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4、固体废物</w:t>
            </w:r>
          </w:p>
          <w:p>
            <w:pPr>
              <w:autoSpaceDE w:val="0"/>
              <w:autoSpaceDN w:val="0"/>
              <w:adjustRightInd w:val="0"/>
              <w:snapToGrid w:val="0"/>
              <w:spacing w:line="46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本项目生产过程中产生的固体废物主要为</w:t>
            </w:r>
            <w:r>
              <w:rPr>
                <w:rFonts w:hint="eastAsia"/>
                <w:bCs/>
                <w:color w:val="000000" w:themeColor="text1"/>
                <w:sz w:val="24"/>
                <w14:textFill>
                  <w14:solidFill>
                    <w14:schemeClr w14:val="tx1"/>
                  </w14:solidFill>
                </w14:textFill>
              </w:rPr>
              <w:t>废金属边角料、废纸箱、</w:t>
            </w:r>
            <w:r>
              <w:rPr>
                <w:rFonts w:hint="eastAsia"/>
                <w:color w:val="000000" w:themeColor="text1"/>
                <w:sz w:val="24"/>
                <w:szCs w:val="20"/>
                <w14:textFill>
                  <w14:solidFill>
                    <w14:schemeClr w14:val="tx1"/>
                  </w14:solidFill>
                </w14:textFill>
              </w:rPr>
              <w:t>旋风除尘器回收塑粉、</w:t>
            </w:r>
            <w:r>
              <w:rPr>
                <w:rFonts w:hint="eastAsia"/>
                <w:bCs/>
                <w:color w:val="000000" w:themeColor="text1"/>
                <w:sz w:val="24"/>
                <w14:textFill>
                  <w14:solidFill>
                    <w14:schemeClr w14:val="tx1"/>
                  </w14:solidFill>
                </w14:textFill>
              </w:rPr>
              <w:t>废滤筒、废液压液、废磷化液桶、废磷化抹布及手套、</w:t>
            </w:r>
            <w:r>
              <w:rPr>
                <w:rFonts w:hint="eastAsia"/>
                <w:color w:val="000000" w:themeColor="text1"/>
                <w:sz w:val="24"/>
                <w:szCs w:val="20"/>
                <w14:textFill>
                  <w14:solidFill>
                    <w14:schemeClr w14:val="tx1"/>
                  </w14:solidFill>
                </w14:textFill>
              </w:rPr>
              <w:t>废UV灯管、废活性炭、</w:t>
            </w:r>
            <w:r>
              <w:rPr>
                <w:rFonts w:hint="eastAsia"/>
                <w:bCs/>
                <w:color w:val="000000" w:themeColor="text1"/>
                <w:sz w:val="24"/>
                <w14:textFill>
                  <w14:solidFill>
                    <w14:schemeClr w14:val="tx1"/>
                  </w14:solidFill>
                </w14:textFill>
              </w:rPr>
              <w:t>职工生活垃圾。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1" w:hRule="atLeast"/>
          <w:jc w:val="center"/>
        </w:trPr>
        <w:tc>
          <w:tcPr>
            <w:tcW w:w="400" w:type="pct"/>
            <w:vAlign w:val="center"/>
          </w:tcPr>
          <w:p>
            <w:pPr>
              <w:spacing w:line="400" w:lineRule="exact"/>
              <w:rPr>
                <w:b/>
                <w:bCs/>
                <w:color w:val="000000" w:themeColor="text1"/>
                <w:sz w:val="28"/>
                <w:szCs w:val="28"/>
                <w14:textFill>
                  <w14:solidFill>
                    <w14:schemeClr w14:val="tx1"/>
                  </w14:solidFill>
                </w14:textFill>
              </w:rPr>
            </w:pPr>
            <w:r>
              <w:rPr>
                <w:rFonts w:hint="eastAsia"/>
                <w:b/>
                <w:bCs/>
                <w:color w:val="000000" w:themeColor="text1"/>
                <w:sz w:val="24"/>
                <w14:textFill>
                  <w14:solidFill>
                    <w14:schemeClr w14:val="tx1"/>
                  </w14:solidFill>
                </w14:textFill>
              </w:rPr>
              <w:t>与项目有关的原有环境污染问题</w:t>
            </w:r>
          </w:p>
        </w:tc>
        <w:tc>
          <w:tcPr>
            <w:tcW w:w="4542" w:type="pct"/>
          </w:tcPr>
          <w:p>
            <w:pPr>
              <w:autoSpaceDE w:val="0"/>
              <w:autoSpaceDN w:val="0"/>
              <w:adjustRightInd w:val="0"/>
              <w:snapToGrid w:val="0"/>
              <w:spacing w:line="460" w:lineRule="exact"/>
              <w:ind w:firstLine="480" w:firstLineChars="200"/>
              <w:rPr>
                <w:rFonts w:hint="eastAsia"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根据现场勘察，</w:t>
            </w:r>
            <w:r>
              <w:rPr>
                <w:rFonts w:hint="eastAsia" w:hAnsi="宋体"/>
                <w:color w:val="000000" w:themeColor="text1"/>
                <w:sz w:val="24"/>
                <w14:textFill>
                  <w14:solidFill>
                    <w14:schemeClr w14:val="tx1"/>
                  </w14:solidFill>
                </w14:textFill>
              </w:rPr>
              <w:t>本项目为租用</w:t>
            </w:r>
            <w:r>
              <w:rPr>
                <w:rFonts w:hint="eastAsia"/>
                <w:color w:val="000000" w:themeColor="text1"/>
                <w:sz w:val="24"/>
                <w14:textFill>
                  <w14:solidFill>
                    <w14:schemeClr w14:val="tx1"/>
                  </w14:solidFill>
                </w14:textFill>
              </w:rPr>
              <w:t>洛阳市博雅堂办公机具有限公司</w:t>
            </w:r>
            <w:r>
              <w:rPr>
                <w:rFonts w:hint="eastAsia" w:hAnsi="宋体"/>
                <w:color w:val="000000" w:themeColor="text1"/>
                <w:sz w:val="24"/>
                <w14:textFill>
                  <w14:solidFill>
                    <w14:schemeClr w14:val="tx1"/>
                  </w14:solidFill>
                </w14:textFill>
              </w:rPr>
              <w:t>厂房进行建设（租赁协议见附件3）。本项目租赁场地位于1#厂房东南侧，所在厂房内部分区域已租赁给洛阳市冠誉办公家具有限公司。</w:t>
            </w:r>
          </w:p>
          <w:p>
            <w:pPr>
              <w:autoSpaceDE w:val="0"/>
              <w:autoSpaceDN w:val="0"/>
              <w:adjustRightInd w:val="0"/>
              <w:snapToGrid w:val="0"/>
              <w:spacing w:line="460" w:lineRule="exact"/>
              <w:ind w:firstLine="482" w:firstLineChars="200"/>
              <w:rPr>
                <w:rFonts w:hAnsi="宋体"/>
                <w:color w:val="000000" w:themeColor="text1"/>
                <w:sz w:val="24"/>
                <w14:textFill>
                  <w14:solidFill>
                    <w14:schemeClr w14:val="tx1"/>
                  </w14:solidFill>
                </w14:textFill>
              </w:rPr>
            </w:pPr>
            <w:r>
              <w:rPr>
                <w:rFonts w:hint="eastAsia" w:hAnsi="宋体"/>
                <w:b/>
                <w:bCs/>
                <w:color w:val="000000" w:themeColor="text1"/>
                <w:sz w:val="24"/>
                <w:u w:val="single"/>
                <w14:textFill>
                  <w14:solidFill>
                    <w14:schemeClr w14:val="tx1"/>
                  </w14:solidFill>
                </w14:textFill>
              </w:rPr>
              <w:t>洛阳市冠誉办公家具有限公司现有工程《</w:t>
            </w:r>
            <w:r>
              <w:rPr>
                <w:rFonts w:hint="eastAsia"/>
                <w:b/>
                <w:bCs/>
                <w:color w:val="000000" w:themeColor="text1"/>
                <w:sz w:val="24"/>
                <w:u w:val="single"/>
                <w14:textFill>
                  <w14:solidFill>
                    <w14:schemeClr w14:val="tx1"/>
                  </w14:solidFill>
                </w14:textFill>
              </w:rPr>
              <w:t>洛阳市冠誉办公家具有限公司年产2万套钢制办公家具、以及3亿只金属瓶盖项目</w:t>
            </w:r>
            <w:r>
              <w:rPr>
                <w:rFonts w:hint="eastAsia" w:hAnsi="宋体"/>
                <w:b/>
                <w:bCs/>
                <w:color w:val="000000" w:themeColor="text1"/>
                <w:sz w:val="24"/>
                <w:u w:val="single"/>
                <w14:textFill>
                  <w14:solidFill>
                    <w14:schemeClr w14:val="tx1"/>
                  </w14:solidFill>
                </w14:textFill>
              </w:rPr>
              <w:t>》环评批复文号为偃环监表[2019]141号</w:t>
            </w:r>
            <w:r>
              <w:rPr>
                <w:rFonts w:hint="eastAsia" w:hAnsi="宋体"/>
                <w:b/>
                <w:bCs/>
                <w:color w:val="000000" w:themeColor="text1"/>
                <w:sz w:val="24"/>
                <w:u w:val="single"/>
                <w:lang w:eastAsia="zh-CN"/>
                <w14:textFill>
                  <w14:solidFill>
                    <w14:schemeClr w14:val="tx1"/>
                  </w14:solidFill>
                </w14:textFill>
              </w:rPr>
              <w:t>（</w:t>
            </w:r>
            <w:r>
              <w:rPr>
                <w:rFonts w:hint="eastAsia" w:hAnsi="宋体"/>
                <w:b/>
                <w:bCs/>
                <w:color w:val="000000" w:themeColor="text1"/>
                <w:sz w:val="24"/>
                <w:u w:val="single"/>
                <w:lang w:val="en-US" w:eastAsia="zh-CN"/>
                <w14:textFill>
                  <w14:solidFill>
                    <w14:schemeClr w14:val="tx1"/>
                  </w14:solidFill>
                </w14:textFill>
              </w:rPr>
              <w:t>附件8</w:t>
            </w:r>
            <w:r>
              <w:rPr>
                <w:rFonts w:hint="eastAsia" w:hAnsi="宋体"/>
                <w:b/>
                <w:bCs/>
                <w:color w:val="000000" w:themeColor="text1"/>
                <w:sz w:val="24"/>
                <w:u w:val="single"/>
                <w:lang w:eastAsia="zh-CN"/>
                <w14:textFill>
                  <w14:solidFill>
                    <w14:schemeClr w14:val="tx1"/>
                  </w14:solidFill>
                </w14:textFill>
              </w:rPr>
              <w:t>），</w:t>
            </w:r>
            <w:r>
              <w:rPr>
                <w:rFonts w:hint="eastAsia" w:hAnsi="宋体"/>
                <w:b/>
                <w:bCs/>
                <w:color w:val="000000" w:themeColor="text1"/>
                <w:sz w:val="24"/>
                <w:u w:val="single"/>
                <w:lang w:val="en-US" w:eastAsia="zh-CN"/>
                <w14:textFill>
                  <w14:solidFill>
                    <w14:schemeClr w14:val="tx1"/>
                  </w14:solidFill>
                </w14:textFill>
              </w:rPr>
              <w:t>于2019年12月完成自主验收（附件9）。</w:t>
            </w:r>
            <w:r>
              <w:rPr>
                <w:rFonts w:hint="eastAsia" w:hAnsi="宋体"/>
                <w:color w:val="000000" w:themeColor="text1"/>
                <w:sz w:val="24"/>
                <w14:textFill>
                  <w14:solidFill>
                    <w14:schemeClr w14:val="tx1"/>
                  </w14:solidFill>
                </w14:textFill>
              </w:rPr>
              <w:t>洛阳市冠誉办公家具有限公司生产过程污染物主要为废气烘干道及预烘干道产生的含二氧化硫、氮氧化物、烟尘、非甲烷总烃废气，喷粉、焊接、激光切割过程产生的颗粒物、噪声、生产废水、生活污水、固废。切割、焊接产生的烟尘经收集通过袋式除尘器处理后排放；抛丸过程产生的粉尘通过滤筒式除尘器处理后排放；喷粉过程产生的粉尘通过一级旋风除尘+二级滤芯脉冲反冲除尘设施处理后排放；烘干过程产生的有机废气经收集通过UV光解+活性炭吸附装置处理后排放；噪声经基础减震和厂房隔音，减少对周围环境的影响；生产废水经污水处理设施处理后用于厂区绿化和洒水降尘，生活污水经化粪池预处理后定期清掏用于周围农田施肥；一般固废合理处置，综合利用，废活性炭等危险废物经收集委托有资质单位进行处置。</w:t>
            </w:r>
          </w:p>
          <w:p>
            <w:pPr>
              <w:autoSpaceDE w:val="0"/>
              <w:autoSpaceDN w:val="0"/>
              <w:adjustRightInd w:val="0"/>
              <w:snapToGrid w:val="0"/>
              <w:spacing w:line="460" w:lineRule="exact"/>
              <w:ind w:firstLine="482" w:firstLineChars="200"/>
              <w:rPr>
                <w:rFonts w:hint="eastAsia"/>
                <w:color w:val="000000" w:themeColor="text1"/>
                <w:sz w:val="24"/>
                <w:szCs w:val="24"/>
                <w:lang w:eastAsia="zh-CN"/>
                <w14:textFill>
                  <w14:solidFill>
                    <w14:schemeClr w14:val="tx1"/>
                  </w14:solidFill>
                </w14:textFill>
              </w:rPr>
            </w:pPr>
            <w:r>
              <w:rPr>
                <w:rFonts w:hint="eastAsia" w:hAnsi="宋体"/>
                <w:b/>
                <w:bCs/>
                <w:color w:val="000000" w:themeColor="text1"/>
                <w:sz w:val="24"/>
                <w:u w:val="single"/>
                <w:lang w:val="en-US" w:eastAsia="zh-CN"/>
                <w14:textFill>
                  <w14:solidFill>
                    <w14:schemeClr w14:val="tx1"/>
                  </w14:solidFill>
                </w14:textFill>
              </w:rPr>
              <w:t>拟建工程《洛阳市冠誉办公家具有限公司年产1000吨塑料配件项目》已于2021年12月23日在洛阳市偃师区发展和改革委员会备案，备案代码为2112-410381-04-01-996648。目前正在开展环评工作，尚未进行建设</w:t>
            </w:r>
            <w:r>
              <w:rPr>
                <w:rFonts w:hint="eastAsia" w:hAnsi="宋体"/>
                <w:b/>
                <w:bCs/>
                <w:color w:val="000000" w:themeColor="text1"/>
                <w:sz w:val="24"/>
                <w:u w:val="single"/>
                <w:lang w:eastAsia="zh-CN"/>
                <w14:textFill>
                  <w14:solidFill>
                    <w14:schemeClr w14:val="tx1"/>
                  </w14:solidFill>
                </w14:textFill>
              </w:rPr>
              <w:t>，</w:t>
            </w:r>
            <w:r>
              <w:rPr>
                <w:rFonts w:hint="eastAsia"/>
                <w:b/>
                <w:bCs/>
                <w:color w:val="000000" w:themeColor="text1"/>
                <w:sz w:val="24"/>
                <w:szCs w:val="24"/>
                <w:u w:val="single"/>
                <w14:textFill>
                  <w14:solidFill>
                    <w14:schemeClr w14:val="tx1"/>
                  </w14:solidFill>
                </w14:textFill>
              </w:rPr>
              <w:t>废气主要为</w:t>
            </w:r>
            <w:r>
              <w:rPr>
                <w:rFonts w:hint="eastAsia"/>
                <w:b/>
                <w:bCs/>
                <w:color w:val="000000" w:themeColor="text1"/>
                <w:sz w:val="24"/>
                <w:szCs w:val="24"/>
                <w:u w:val="single"/>
                <w:lang w:val="en-US" w:eastAsia="zh-CN"/>
                <w14:textFill>
                  <w14:solidFill>
                    <w14:schemeClr w14:val="tx1"/>
                  </w14:solidFill>
                </w14:textFill>
              </w:rPr>
              <w:t>搅拌、破碎工序颗粒物、注塑工序非甲烷总烃、苯乙烯</w:t>
            </w:r>
            <w:r>
              <w:rPr>
                <w:rFonts w:hint="eastAsia"/>
                <w:b/>
                <w:bCs/>
                <w:color w:val="000000" w:themeColor="text1"/>
                <w:sz w:val="24"/>
                <w:szCs w:val="24"/>
                <w:u w:val="single"/>
                <w14:textFill>
                  <w14:solidFill>
                    <w14:schemeClr w14:val="tx1"/>
                  </w14:solidFill>
                </w14:textFill>
              </w:rPr>
              <w:t>；噪声主要为设备运行噪声；固废主要为废不合格</w:t>
            </w:r>
            <w:r>
              <w:rPr>
                <w:rFonts w:hint="eastAsia"/>
                <w:b/>
                <w:bCs/>
                <w:color w:val="000000" w:themeColor="text1"/>
                <w:sz w:val="24"/>
                <w:szCs w:val="24"/>
                <w:u w:val="single"/>
                <w:lang w:val="en-US" w:eastAsia="zh-CN"/>
                <w14:textFill>
                  <w14:solidFill>
                    <w14:schemeClr w14:val="tx1"/>
                  </w14:solidFill>
                </w14:textFill>
              </w:rPr>
              <w:t>品及边角料、废UV灯管、</w:t>
            </w:r>
            <w:r>
              <w:rPr>
                <w:rFonts w:hint="eastAsia"/>
                <w:b/>
                <w:bCs/>
                <w:color w:val="000000" w:themeColor="text1"/>
                <w:sz w:val="24"/>
                <w:szCs w:val="24"/>
                <w:u w:val="single"/>
                <w14:textFill>
                  <w14:solidFill>
                    <w14:schemeClr w14:val="tx1"/>
                  </w14:solidFill>
                </w14:textFill>
              </w:rPr>
              <w:t>废活性炭、</w:t>
            </w:r>
            <w:r>
              <w:rPr>
                <w:rFonts w:hint="eastAsia"/>
                <w:b/>
                <w:bCs/>
                <w:color w:val="000000" w:themeColor="text1"/>
                <w:sz w:val="24"/>
                <w:szCs w:val="24"/>
                <w:u w:val="single"/>
                <w:lang w:val="en-US" w:eastAsia="zh-CN"/>
                <w14:textFill>
                  <w14:solidFill>
                    <w14:schemeClr w14:val="tx1"/>
                  </w14:solidFill>
                </w14:textFill>
              </w:rPr>
              <w:t>废润滑油、废抹布及手套、</w:t>
            </w:r>
            <w:r>
              <w:rPr>
                <w:rFonts w:hint="eastAsia"/>
                <w:b/>
                <w:bCs/>
                <w:color w:val="000000" w:themeColor="text1"/>
                <w:sz w:val="24"/>
                <w:szCs w:val="24"/>
                <w:u w:val="single"/>
                <w14:textFill>
                  <w14:solidFill>
                    <w14:schemeClr w14:val="tx1"/>
                  </w14:solidFill>
                </w14:textFill>
              </w:rPr>
              <w:t>职工生活垃圾；废水主要为职工生活污水</w:t>
            </w:r>
            <w:r>
              <w:rPr>
                <w:rFonts w:hint="eastAsia"/>
                <w:b/>
                <w:bCs/>
                <w:color w:val="000000" w:themeColor="text1"/>
                <w:sz w:val="24"/>
                <w:szCs w:val="24"/>
                <w:u w:val="single"/>
                <w:lang w:eastAsia="zh-CN"/>
                <w14:textFill>
                  <w14:solidFill>
                    <w14:schemeClr w14:val="tx1"/>
                  </w14:solidFill>
                </w14:textFill>
              </w:rPr>
              <w:t>。</w:t>
            </w:r>
          </w:p>
          <w:p>
            <w:pPr>
              <w:autoSpaceDE w:val="0"/>
              <w:autoSpaceDN w:val="0"/>
              <w:adjustRightInd w:val="0"/>
              <w:snapToGrid w:val="0"/>
              <w:spacing w:line="460" w:lineRule="exact"/>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项目所在厂区内现有4家企业：洛阳市冠誉办公家具有限公司、洛阳致强办公家具有限公司、偃师市旭方塑料制品厂、洛阳睿曼实业有限公司。本项目所租用区域原作为仓库使用，且</w:t>
            </w:r>
            <w:r>
              <w:rPr>
                <w:rFonts w:hint="eastAsia"/>
                <w:color w:val="000000" w:themeColor="text1"/>
                <w:sz w:val="24"/>
                <w14:textFill>
                  <w14:solidFill>
                    <w14:schemeClr w14:val="tx1"/>
                  </w14:solidFill>
                </w14:textFill>
              </w:rPr>
              <w:t>本项目为</w:t>
            </w:r>
            <w:r>
              <w:rPr>
                <w:rFonts w:hint="eastAsia"/>
                <w:color w:val="000000" w:themeColor="text1"/>
                <w:sz w:val="24"/>
                <w:szCs w:val="22"/>
                <w14:textFill>
                  <w14:solidFill>
                    <w14:schemeClr w14:val="tx1"/>
                  </w14:solidFill>
                </w14:textFill>
              </w:rPr>
              <w:t>新建项目，现场勘察期间</w:t>
            </w:r>
            <w:r>
              <w:rPr>
                <w:color w:val="000000" w:themeColor="text1"/>
                <w:sz w:val="24"/>
                <w:szCs w:val="22"/>
                <w14:textFill>
                  <w14:solidFill>
                    <w14:schemeClr w14:val="tx1"/>
                  </w14:solidFill>
                </w14:textFill>
              </w:rPr>
              <w:t>不存在原有污染情况及与本项目有关的环境问题</w:t>
            </w:r>
            <w:r>
              <w:rPr>
                <w:color w:val="000000" w:themeColor="text1"/>
                <w:sz w:val="24"/>
                <w14:textFill>
                  <w14:solidFill>
                    <w14:schemeClr w14:val="tx1"/>
                  </w14:solidFill>
                </w14:textFill>
              </w:rPr>
              <w:t>。</w:t>
            </w:r>
          </w:p>
          <w:p>
            <w:pPr>
              <w:autoSpaceDE w:val="0"/>
              <w:autoSpaceDN w:val="0"/>
              <w:adjustRightInd w:val="0"/>
              <w:snapToGrid w:val="0"/>
              <w:spacing w:line="460" w:lineRule="exact"/>
              <w:ind w:firstLine="420" w:firstLineChars="200"/>
              <w:rPr>
                <w:bCs/>
                <w:color w:val="000000" w:themeColor="text1"/>
                <w:szCs w:val="21"/>
                <w14:textFill>
                  <w14:solidFill>
                    <w14:schemeClr w14:val="tx1"/>
                  </w14:solidFill>
                </w14:textFill>
              </w:rPr>
            </w:pPr>
          </w:p>
        </w:tc>
      </w:tr>
    </w:tbl>
    <w:p>
      <w:pPr>
        <w:pStyle w:val="16"/>
        <w:jc w:val="center"/>
        <w:rPr>
          <w:rFonts w:ascii="Times New Roman" w:hAnsi="Times New Roman" w:eastAsia="黑体"/>
          <w:snapToGrid w:val="0"/>
          <w:sz w:val="36"/>
          <w:szCs w:val="36"/>
        </w:rPr>
        <w:sectPr>
          <w:pgSz w:w="11906" w:h="16838"/>
          <w:pgMar w:top="1134" w:right="1417" w:bottom="1134" w:left="1417" w:header="851" w:footer="851" w:gutter="0"/>
          <w:pgNumType w:fmt="numberInDash"/>
          <w:cols w:space="720" w:num="1"/>
          <w:docGrid w:linePitch="312" w:charSpace="0"/>
        </w:sectPr>
      </w:pPr>
    </w:p>
    <w:p>
      <w:pPr>
        <w:pStyle w:val="16"/>
        <w:adjustRightInd w:val="0"/>
        <w:snapToGrid w:val="0"/>
        <w:spacing w:before="0" w:beforeAutospacing="0" w:after="0" w:afterAutospacing="0" w:line="14" w:lineRule="auto"/>
        <w:jc w:val="center"/>
        <w:rPr>
          <w:rFonts w:ascii="Times New Roman" w:hAnsi="Times New Roman" w:eastAsia="黑体"/>
          <w:snapToGrid w:val="0"/>
          <w:sz w:val="30"/>
          <w:szCs w:val="30"/>
        </w:rPr>
      </w:pPr>
    </w:p>
    <w:p>
      <w:pPr>
        <w:spacing w:before="120" w:beforeLines="50" w:after="120" w:afterLines="50"/>
        <w:outlineLvl w:val="0"/>
        <w:rPr>
          <w:rFonts w:eastAsia="黑体"/>
          <w:b/>
          <w:bCs/>
          <w:sz w:val="30"/>
          <w:szCs w:val="30"/>
        </w:rPr>
      </w:pPr>
      <w:r>
        <w:rPr>
          <w:rFonts w:eastAsia="黑体"/>
          <w:b/>
          <w:bCs/>
          <w:sz w:val="30"/>
          <w:szCs w:val="30"/>
        </w:rPr>
        <w:t>三、区域环境质量现状、环境保护目标及评价标准</w:t>
      </w:r>
    </w:p>
    <w:tbl>
      <w:tblPr>
        <w:tblStyle w:val="19"/>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8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00" w:type="pct"/>
            <w:vAlign w:val="center"/>
          </w:tcPr>
          <w:p>
            <w:pPr>
              <w:spacing w:line="400" w:lineRule="exact"/>
              <w:jc w:val="center"/>
              <w:rPr>
                <w:b/>
                <w:bCs/>
                <w:sz w:val="24"/>
              </w:rPr>
            </w:pPr>
            <w:r>
              <w:rPr>
                <w:b/>
                <w:bCs/>
                <w:sz w:val="24"/>
              </w:rPr>
              <w:t>区域</w:t>
            </w:r>
          </w:p>
          <w:p>
            <w:pPr>
              <w:spacing w:line="400" w:lineRule="exact"/>
              <w:jc w:val="center"/>
              <w:rPr>
                <w:b/>
                <w:bCs/>
                <w:sz w:val="24"/>
              </w:rPr>
            </w:pPr>
            <w:r>
              <w:rPr>
                <w:b/>
                <w:bCs/>
                <w:sz w:val="24"/>
              </w:rPr>
              <w:t>环境</w:t>
            </w:r>
          </w:p>
          <w:p>
            <w:pPr>
              <w:spacing w:line="400" w:lineRule="exact"/>
              <w:jc w:val="center"/>
              <w:rPr>
                <w:b/>
                <w:bCs/>
                <w:sz w:val="24"/>
              </w:rPr>
            </w:pPr>
            <w:r>
              <w:rPr>
                <w:b/>
                <w:bCs/>
                <w:sz w:val="24"/>
              </w:rPr>
              <w:t>质量</w:t>
            </w:r>
          </w:p>
          <w:p>
            <w:pPr>
              <w:spacing w:line="400" w:lineRule="exact"/>
              <w:jc w:val="center"/>
              <w:rPr>
                <w:b/>
                <w:bCs/>
                <w:sz w:val="28"/>
                <w:szCs w:val="28"/>
              </w:rPr>
            </w:pPr>
            <w:r>
              <w:rPr>
                <w:b/>
                <w:bCs/>
                <w:sz w:val="24"/>
              </w:rPr>
              <w:t>现状</w:t>
            </w:r>
          </w:p>
        </w:tc>
        <w:tc>
          <w:tcPr>
            <w:tcW w:w="4707" w:type="pct"/>
            <w:vAlign w:val="center"/>
          </w:tcPr>
          <w:p>
            <w:pPr>
              <w:pStyle w:val="33"/>
              <w:spacing w:line="460" w:lineRule="exact"/>
              <w:ind w:left="0" w:leftChars="0" w:firstLine="498" w:firstLineChars="200"/>
              <w:rPr>
                <w:rFonts w:ascii="Times New Roman" w:hAnsi="Times New Roman"/>
                <w:b/>
                <w:bCs/>
                <w:color w:val="000000"/>
                <w:sz w:val="24"/>
              </w:rPr>
            </w:pPr>
            <w:r>
              <w:rPr>
                <w:rFonts w:ascii="Times New Roman" w:hAnsi="Times New Roman"/>
                <w:b/>
                <w:bCs/>
                <w:color w:val="000000"/>
                <w:sz w:val="24"/>
              </w:rPr>
              <w:t>一、环境空气质量现状</w:t>
            </w:r>
          </w:p>
          <w:p>
            <w:pPr>
              <w:spacing w:line="460" w:lineRule="exact"/>
              <w:ind w:firstLine="482" w:firstLineChars="200"/>
              <w:rPr>
                <w:b/>
                <w:color w:val="000000"/>
                <w:sz w:val="24"/>
              </w:rPr>
            </w:pPr>
            <w:r>
              <w:rPr>
                <w:b/>
                <w:color w:val="000000"/>
                <w:sz w:val="24"/>
              </w:rPr>
              <w:t>1、空气质量达标区判定</w:t>
            </w:r>
          </w:p>
          <w:p>
            <w:pPr>
              <w:spacing w:line="460" w:lineRule="exact"/>
              <w:ind w:firstLine="480" w:firstLineChars="200"/>
              <w:rPr>
                <w:color w:val="000000"/>
                <w:sz w:val="24"/>
              </w:rPr>
            </w:pPr>
            <w:r>
              <w:rPr>
                <w:bCs/>
                <w:sz w:val="24"/>
              </w:rPr>
              <w:t>项目</w:t>
            </w:r>
            <w:r>
              <w:rPr>
                <w:color w:val="000000"/>
                <w:sz w:val="24"/>
              </w:rPr>
              <w:t>所在区域属于二类环境空气功能区，环境空气质量执行《环境空气质量标准》（GB3095-2012）二级标准。为了解建设项目所在区域环境空气质量现状，本次评价引用《</w:t>
            </w:r>
            <w:r>
              <w:rPr>
                <w:rFonts w:hint="eastAsia"/>
                <w:color w:val="000000"/>
                <w:sz w:val="24"/>
              </w:rPr>
              <w:t>2020年洛阳市生态环境状况公报</w:t>
            </w:r>
            <w:r>
              <w:rPr>
                <w:color w:val="000000"/>
                <w:sz w:val="24"/>
              </w:rPr>
              <w:t>》数据，评价因子为SO</w:t>
            </w:r>
            <w:r>
              <w:rPr>
                <w:color w:val="000000"/>
                <w:sz w:val="24"/>
                <w:vertAlign w:val="subscript"/>
              </w:rPr>
              <w:t>2</w:t>
            </w:r>
            <w:r>
              <w:rPr>
                <w:color w:val="000000"/>
                <w:sz w:val="24"/>
              </w:rPr>
              <w:t>、NO</w:t>
            </w:r>
            <w:r>
              <w:rPr>
                <w:color w:val="000000"/>
                <w:sz w:val="24"/>
                <w:vertAlign w:val="subscript"/>
              </w:rPr>
              <w:t>2</w:t>
            </w:r>
            <w:r>
              <w:rPr>
                <w:color w:val="000000"/>
                <w:sz w:val="24"/>
              </w:rPr>
              <w:t>、PM</w:t>
            </w:r>
            <w:r>
              <w:rPr>
                <w:color w:val="000000"/>
                <w:sz w:val="24"/>
                <w:vertAlign w:val="subscript"/>
              </w:rPr>
              <w:t>10</w:t>
            </w:r>
            <w:r>
              <w:rPr>
                <w:color w:val="000000"/>
                <w:sz w:val="24"/>
              </w:rPr>
              <w:t>、PM</w:t>
            </w:r>
            <w:r>
              <w:rPr>
                <w:color w:val="000000"/>
                <w:sz w:val="24"/>
                <w:vertAlign w:val="subscript"/>
              </w:rPr>
              <w:t>2.5</w:t>
            </w:r>
            <w:r>
              <w:rPr>
                <w:color w:val="000000"/>
                <w:sz w:val="24"/>
              </w:rPr>
              <w:t>、CO及O</w:t>
            </w:r>
            <w:r>
              <w:rPr>
                <w:color w:val="000000"/>
                <w:sz w:val="24"/>
                <w:vertAlign w:val="subscript"/>
              </w:rPr>
              <w:t>3</w:t>
            </w:r>
            <w:r>
              <w:rPr>
                <w:color w:val="000000"/>
                <w:sz w:val="24"/>
              </w:rPr>
              <w:t>，监测结果见下表。</w:t>
            </w:r>
          </w:p>
          <w:p>
            <w:pPr>
              <w:widowControl/>
              <w:adjustRightInd w:val="0"/>
              <w:snapToGrid w:val="0"/>
              <w:spacing w:line="460" w:lineRule="exact"/>
              <w:ind w:firstLine="482" w:firstLineChars="200"/>
              <w:rPr>
                <w:b/>
                <w:sz w:val="24"/>
              </w:rPr>
            </w:pPr>
            <w:r>
              <w:rPr>
                <w:b/>
                <w:sz w:val="24"/>
              </w:rPr>
              <w:t>表</w:t>
            </w:r>
            <w:r>
              <w:rPr>
                <w:rFonts w:hint="eastAsia"/>
                <w:b/>
                <w:sz w:val="24"/>
                <w:lang w:val="en-US" w:eastAsia="zh-CN"/>
              </w:rPr>
              <w:t>14</w:t>
            </w:r>
            <w:r>
              <w:rPr>
                <w:b/>
                <w:sz w:val="24"/>
              </w:rPr>
              <w:t xml:space="preserve">              洛阳市20</w:t>
            </w:r>
            <w:r>
              <w:rPr>
                <w:rFonts w:hint="eastAsia"/>
                <w:b/>
                <w:sz w:val="24"/>
              </w:rPr>
              <w:t>20</w:t>
            </w:r>
            <w:r>
              <w:rPr>
                <w:b/>
                <w:sz w:val="24"/>
              </w:rPr>
              <w:t>年空气质量现状评价表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3107"/>
              <w:gridCol w:w="1144"/>
              <w:gridCol w:w="1144"/>
              <w:gridCol w:w="108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污染物</w:t>
                  </w:r>
                </w:p>
              </w:tc>
              <w:tc>
                <w:tcPr>
                  <w:tcW w:w="1845" w:type="pct"/>
                  <w:tcBorders>
                    <w:tl2br w:val="nil"/>
                    <w:tr2bl w:val="nil"/>
                  </w:tcBorders>
                  <w:vAlign w:val="center"/>
                </w:tcPr>
                <w:p>
                  <w:pPr>
                    <w:spacing w:line="320" w:lineRule="exact"/>
                    <w:jc w:val="center"/>
                    <w:rPr>
                      <w:szCs w:val="21"/>
                    </w:rPr>
                  </w:pPr>
                  <w:r>
                    <w:rPr>
                      <w:szCs w:val="21"/>
                    </w:rPr>
                    <w:t>年评价指标</w:t>
                  </w:r>
                </w:p>
              </w:tc>
              <w:tc>
                <w:tcPr>
                  <w:tcW w:w="653" w:type="pct"/>
                  <w:tcBorders>
                    <w:tl2br w:val="nil"/>
                    <w:tr2bl w:val="nil"/>
                  </w:tcBorders>
                  <w:vAlign w:val="center"/>
                </w:tcPr>
                <w:p>
                  <w:pPr>
                    <w:spacing w:line="320" w:lineRule="exact"/>
                    <w:jc w:val="center"/>
                    <w:rPr>
                      <w:szCs w:val="21"/>
                    </w:rPr>
                  </w:pPr>
                  <w:r>
                    <w:rPr>
                      <w:szCs w:val="21"/>
                    </w:rPr>
                    <w:t>现状浓度</w:t>
                  </w:r>
                </w:p>
                <w:p>
                  <w:pPr>
                    <w:spacing w:line="320" w:lineRule="exact"/>
                    <w:jc w:val="center"/>
                    <w:rPr>
                      <w:szCs w:val="21"/>
                    </w:rPr>
                  </w:pPr>
                  <w:r>
                    <w:rPr>
                      <w:szCs w:val="21"/>
                    </w:rPr>
                    <w:t>（μg/m</w:t>
                  </w:r>
                  <w:r>
                    <w:rPr>
                      <w:szCs w:val="21"/>
                      <w:vertAlign w:val="superscript"/>
                    </w:rPr>
                    <w:t>3</w:t>
                  </w:r>
                  <w:r>
                    <w:rPr>
                      <w:szCs w:val="21"/>
                    </w:rPr>
                    <w:t>）</w:t>
                  </w:r>
                </w:p>
              </w:tc>
              <w:tc>
                <w:tcPr>
                  <w:tcW w:w="653" w:type="pct"/>
                  <w:tcBorders>
                    <w:tl2br w:val="nil"/>
                    <w:tr2bl w:val="nil"/>
                  </w:tcBorders>
                  <w:vAlign w:val="center"/>
                </w:tcPr>
                <w:p>
                  <w:pPr>
                    <w:spacing w:line="320" w:lineRule="exact"/>
                    <w:jc w:val="center"/>
                    <w:rPr>
                      <w:szCs w:val="21"/>
                    </w:rPr>
                  </w:pPr>
                  <w:r>
                    <w:rPr>
                      <w:szCs w:val="21"/>
                    </w:rPr>
                    <w:t>标准值</w:t>
                  </w:r>
                </w:p>
                <w:p>
                  <w:pPr>
                    <w:spacing w:line="320" w:lineRule="exact"/>
                    <w:jc w:val="center"/>
                    <w:rPr>
                      <w:szCs w:val="21"/>
                    </w:rPr>
                  </w:pPr>
                  <w:r>
                    <w:rPr>
                      <w:szCs w:val="21"/>
                    </w:rPr>
                    <w:t>（μg/m</w:t>
                  </w:r>
                  <w:r>
                    <w:rPr>
                      <w:szCs w:val="21"/>
                      <w:vertAlign w:val="superscript"/>
                    </w:rPr>
                    <w:t>3</w:t>
                  </w:r>
                  <w:r>
                    <w:rPr>
                      <w:szCs w:val="21"/>
                    </w:rPr>
                    <w:t>）</w:t>
                  </w:r>
                </w:p>
              </w:tc>
              <w:tc>
                <w:tcPr>
                  <w:tcW w:w="653" w:type="pct"/>
                  <w:tcBorders>
                    <w:tl2br w:val="nil"/>
                    <w:tr2bl w:val="nil"/>
                  </w:tcBorders>
                  <w:vAlign w:val="center"/>
                </w:tcPr>
                <w:p>
                  <w:pPr>
                    <w:spacing w:line="320" w:lineRule="exact"/>
                    <w:jc w:val="center"/>
                    <w:rPr>
                      <w:szCs w:val="21"/>
                    </w:rPr>
                  </w:pPr>
                  <w:r>
                    <w:rPr>
                      <w:szCs w:val="21"/>
                    </w:rPr>
                    <w:t>占标率</w:t>
                  </w:r>
                </w:p>
                <w:p>
                  <w:pPr>
                    <w:spacing w:line="320" w:lineRule="exact"/>
                    <w:jc w:val="center"/>
                    <w:rPr>
                      <w:szCs w:val="21"/>
                    </w:rPr>
                  </w:pPr>
                  <w:r>
                    <w:rPr>
                      <w:szCs w:val="21"/>
                    </w:rPr>
                    <w:t>（%）</w:t>
                  </w:r>
                </w:p>
              </w:tc>
              <w:tc>
                <w:tcPr>
                  <w:tcW w:w="655" w:type="pct"/>
                  <w:tcBorders>
                    <w:tl2br w:val="nil"/>
                    <w:tr2bl w:val="nil"/>
                  </w:tcBorders>
                  <w:vAlign w:val="center"/>
                </w:tcPr>
                <w:p>
                  <w:pPr>
                    <w:spacing w:line="320" w:lineRule="exact"/>
                    <w:jc w:val="center"/>
                    <w:rPr>
                      <w:szCs w:val="21"/>
                    </w:rPr>
                  </w:pPr>
                  <w:r>
                    <w:rPr>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PM</w:t>
                  </w:r>
                  <w:r>
                    <w:rPr>
                      <w:szCs w:val="21"/>
                      <w:vertAlign w:val="subscript"/>
                    </w:rPr>
                    <w:t>2.5</w:t>
                  </w:r>
                </w:p>
              </w:tc>
              <w:tc>
                <w:tcPr>
                  <w:tcW w:w="1845" w:type="pct"/>
                  <w:vMerge w:val="restart"/>
                  <w:tcBorders>
                    <w:tl2br w:val="nil"/>
                    <w:tr2bl w:val="nil"/>
                  </w:tcBorders>
                  <w:vAlign w:val="center"/>
                </w:tcPr>
                <w:p>
                  <w:pPr>
                    <w:spacing w:line="320" w:lineRule="exact"/>
                    <w:jc w:val="center"/>
                    <w:rPr>
                      <w:szCs w:val="21"/>
                    </w:rPr>
                  </w:pPr>
                  <w:r>
                    <w:rPr>
                      <w:szCs w:val="21"/>
                    </w:rPr>
                    <w:t>年平均质量浓度</w:t>
                  </w:r>
                </w:p>
              </w:tc>
              <w:tc>
                <w:tcPr>
                  <w:tcW w:w="653" w:type="pct"/>
                  <w:tcBorders>
                    <w:tl2br w:val="nil"/>
                    <w:tr2bl w:val="nil"/>
                  </w:tcBorders>
                  <w:vAlign w:val="center"/>
                </w:tcPr>
                <w:p>
                  <w:pPr>
                    <w:spacing w:line="320" w:lineRule="exact"/>
                    <w:jc w:val="center"/>
                    <w:rPr>
                      <w:szCs w:val="21"/>
                    </w:rPr>
                  </w:pPr>
                  <w:r>
                    <w:rPr>
                      <w:rFonts w:hint="eastAsia"/>
                      <w:szCs w:val="21"/>
                    </w:rPr>
                    <w:t>51</w:t>
                  </w:r>
                </w:p>
              </w:tc>
              <w:tc>
                <w:tcPr>
                  <w:tcW w:w="653" w:type="pct"/>
                  <w:tcBorders>
                    <w:tl2br w:val="nil"/>
                    <w:tr2bl w:val="nil"/>
                  </w:tcBorders>
                  <w:vAlign w:val="center"/>
                </w:tcPr>
                <w:p>
                  <w:pPr>
                    <w:spacing w:line="320" w:lineRule="exact"/>
                    <w:jc w:val="center"/>
                    <w:rPr>
                      <w:szCs w:val="21"/>
                    </w:rPr>
                  </w:pPr>
                  <w:r>
                    <w:rPr>
                      <w:szCs w:val="21"/>
                    </w:rPr>
                    <w:t>35</w:t>
                  </w:r>
                </w:p>
              </w:tc>
              <w:tc>
                <w:tcPr>
                  <w:tcW w:w="653" w:type="pct"/>
                  <w:tcBorders>
                    <w:tl2br w:val="nil"/>
                    <w:tr2bl w:val="nil"/>
                  </w:tcBorders>
                  <w:vAlign w:val="center"/>
                </w:tcPr>
                <w:p>
                  <w:pPr>
                    <w:spacing w:line="320" w:lineRule="exact"/>
                    <w:jc w:val="center"/>
                    <w:rPr>
                      <w:szCs w:val="21"/>
                    </w:rPr>
                  </w:pPr>
                  <w:r>
                    <w:rPr>
                      <w:rFonts w:hint="eastAsia"/>
                      <w:szCs w:val="21"/>
                    </w:rPr>
                    <w:t>145.7</w:t>
                  </w:r>
                </w:p>
              </w:tc>
              <w:tc>
                <w:tcPr>
                  <w:tcW w:w="655" w:type="pct"/>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PM</w:t>
                  </w:r>
                  <w:r>
                    <w:rPr>
                      <w:szCs w:val="21"/>
                      <w:vertAlign w:val="subscript"/>
                    </w:rPr>
                    <w:t>10</w:t>
                  </w:r>
                </w:p>
              </w:tc>
              <w:tc>
                <w:tcPr>
                  <w:tcW w:w="1845" w:type="pct"/>
                  <w:vMerge w:val="continue"/>
                  <w:tcBorders>
                    <w:tl2br w:val="nil"/>
                    <w:tr2bl w:val="nil"/>
                  </w:tcBorders>
                  <w:vAlign w:val="center"/>
                </w:tcPr>
                <w:p>
                  <w:pPr>
                    <w:spacing w:line="320" w:lineRule="exact"/>
                    <w:jc w:val="center"/>
                    <w:rPr>
                      <w:szCs w:val="21"/>
                    </w:rPr>
                  </w:pPr>
                </w:p>
              </w:tc>
              <w:tc>
                <w:tcPr>
                  <w:tcW w:w="653" w:type="pct"/>
                  <w:tcBorders>
                    <w:tl2br w:val="nil"/>
                    <w:tr2bl w:val="nil"/>
                  </w:tcBorders>
                  <w:vAlign w:val="center"/>
                </w:tcPr>
                <w:p>
                  <w:pPr>
                    <w:spacing w:line="320" w:lineRule="exact"/>
                    <w:jc w:val="center"/>
                    <w:rPr>
                      <w:szCs w:val="21"/>
                    </w:rPr>
                  </w:pPr>
                  <w:r>
                    <w:rPr>
                      <w:rFonts w:hint="eastAsia"/>
                      <w:szCs w:val="21"/>
                    </w:rPr>
                    <w:t>86</w:t>
                  </w:r>
                </w:p>
              </w:tc>
              <w:tc>
                <w:tcPr>
                  <w:tcW w:w="653" w:type="pct"/>
                  <w:tcBorders>
                    <w:tl2br w:val="nil"/>
                    <w:tr2bl w:val="nil"/>
                  </w:tcBorders>
                  <w:vAlign w:val="center"/>
                </w:tcPr>
                <w:p>
                  <w:pPr>
                    <w:spacing w:line="320" w:lineRule="exact"/>
                    <w:jc w:val="center"/>
                    <w:rPr>
                      <w:szCs w:val="21"/>
                    </w:rPr>
                  </w:pPr>
                  <w:r>
                    <w:rPr>
                      <w:szCs w:val="21"/>
                    </w:rPr>
                    <w:t>70</w:t>
                  </w:r>
                </w:p>
              </w:tc>
              <w:tc>
                <w:tcPr>
                  <w:tcW w:w="653" w:type="pct"/>
                  <w:tcBorders>
                    <w:tl2br w:val="nil"/>
                    <w:tr2bl w:val="nil"/>
                  </w:tcBorders>
                  <w:vAlign w:val="center"/>
                </w:tcPr>
                <w:p>
                  <w:pPr>
                    <w:spacing w:line="320" w:lineRule="exact"/>
                    <w:jc w:val="center"/>
                    <w:rPr>
                      <w:szCs w:val="21"/>
                    </w:rPr>
                  </w:pPr>
                  <w:r>
                    <w:rPr>
                      <w:rFonts w:hint="eastAsia"/>
                      <w:szCs w:val="21"/>
                    </w:rPr>
                    <w:t>122.9</w:t>
                  </w:r>
                </w:p>
              </w:tc>
              <w:tc>
                <w:tcPr>
                  <w:tcW w:w="655" w:type="pct"/>
                  <w:tcBorders>
                    <w:tl2br w:val="nil"/>
                    <w:tr2bl w:val="nil"/>
                  </w:tcBorders>
                  <w:vAlign w:val="center"/>
                </w:tcPr>
                <w:p>
                  <w:pPr>
                    <w:spacing w:line="320" w:lineRule="exact"/>
                    <w:jc w:val="center"/>
                    <w:rPr>
                      <w:szCs w:val="21"/>
                    </w:rPr>
                  </w:pPr>
                  <w:r>
                    <w:rPr>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SO</w:t>
                  </w:r>
                  <w:r>
                    <w:rPr>
                      <w:szCs w:val="21"/>
                      <w:vertAlign w:val="subscript"/>
                    </w:rPr>
                    <w:t>2</w:t>
                  </w:r>
                </w:p>
              </w:tc>
              <w:tc>
                <w:tcPr>
                  <w:tcW w:w="1845" w:type="pct"/>
                  <w:vMerge w:val="continue"/>
                  <w:tcBorders>
                    <w:tl2br w:val="nil"/>
                    <w:tr2bl w:val="nil"/>
                  </w:tcBorders>
                  <w:vAlign w:val="center"/>
                </w:tcPr>
                <w:p>
                  <w:pPr>
                    <w:spacing w:line="320" w:lineRule="exact"/>
                    <w:jc w:val="center"/>
                    <w:rPr>
                      <w:szCs w:val="21"/>
                    </w:rPr>
                  </w:pPr>
                </w:p>
              </w:tc>
              <w:tc>
                <w:tcPr>
                  <w:tcW w:w="653" w:type="pct"/>
                  <w:tcBorders>
                    <w:tl2br w:val="nil"/>
                    <w:tr2bl w:val="nil"/>
                  </w:tcBorders>
                  <w:vAlign w:val="center"/>
                </w:tcPr>
                <w:p>
                  <w:pPr>
                    <w:spacing w:line="320" w:lineRule="exact"/>
                    <w:jc w:val="center"/>
                    <w:rPr>
                      <w:szCs w:val="21"/>
                    </w:rPr>
                  </w:pPr>
                  <w:r>
                    <w:rPr>
                      <w:rFonts w:hint="eastAsia"/>
                      <w:szCs w:val="21"/>
                    </w:rPr>
                    <w:t>8</w:t>
                  </w:r>
                </w:p>
              </w:tc>
              <w:tc>
                <w:tcPr>
                  <w:tcW w:w="653" w:type="pct"/>
                  <w:tcBorders>
                    <w:tl2br w:val="nil"/>
                    <w:tr2bl w:val="nil"/>
                  </w:tcBorders>
                  <w:vAlign w:val="center"/>
                </w:tcPr>
                <w:p>
                  <w:pPr>
                    <w:spacing w:line="320" w:lineRule="exact"/>
                    <w:jc w:val="center"/>
                    <w:rPr>
                      <w:szCs w:val="21"/>
                    </w:rPr>
                  </w:pPr>
                  <w:r>
                    <w:rPr>
                      <w:szCs w:val="21"/>
                    </w:rPr>
                    <w:t>60</w:t>
                  </w:r>
                </w:p>
              </w:tc>
              <w:tc>
                <w:tcPr>
                  <w:tcW w:w="653" w:type="pct"/>
                  <w:tcBorders>
                    <w:tl2br w:val="nil"/>
                    <w:tr2bl w:val="nil"/>
                  </w:tcBorders>
                  <w:vAlign w:val="center"/>
                </w:tcPr>
                <w:p>
                  <w:pPr>
                    <w:spacing w:line="320" w:lineRule="exact"/>
                    <w:jc w:val="center"/>
                    <w:rPr>
                      <w:szCs w:val="21"/>
                    </w:rPr>
                  </w:pPr>
                  <w:r>
                    <w:rPr>
                      <w:rFonts w:hint="eastAsia"/>
                      <w:szCs w:val="21"/>
                    </w:rPr>
                    <w:t>13.33</w:t>
                  </w:r>
                </w:p>
              </w:tc>
              <w:tc>
                <w:tcPr>
                  <w:tcW w:w="655" w:type="pct"/>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NO</w:t>
                  </w:r>
                  <w:r>
                    <w:rPr>
                      <w:szCs w:val="21"/>
                      <w:vertAlign w:val="subscript"/>
                    </w:rPr>
                    <w:t>2</w:t>
                  </w:r>
                </w:p>
              </w:tc>
              <w:tc>
                <w:tcPr>
                  <w:tcW w:w="1845" w:type="pct"/>
                  <w:vMerge w:val="continue"/>
                  <w:tcBorders>
                    <w:tl2br w:val="nil"/>
                    <w:tr2bl w:val="nil"/>
                  </w:tcBorders>
                  <w:vAlign w:val="center"/>
                </w:tcPr>
                <w:p>
                  <w:pPr>
                    <w:spacing w:line="320" w:lineRule="exact"/>
                    <w:jc w:val="center"/>
                    <w:rPr>
                      <w:szCs w:val="21"/>
                    </w:rPr>
                  </w:pPr>
                </w:p>
              </w:tc>
              <w:tc>
                <w:tcPr>
                  <w:tcW w:w="653" w:type="pct"/>
                  <w:tcBorders>
                    <w:tl2br w:val="nil"/>
                    <w:tr2bl w:val="nil"/>
                  </w:tcBorders>
                  <w:vAlign w:val="center"/>
                </w:tcPr>
                <w:p>
                  <w:pPr>
                    <w:spacing w:line="320" w:lineRule="exact"/>
                    <w:jc w:val="center"/>
                    <w:rPr>
                      <w:szCs w:val="21"/>
                    </w:rPr>
                  </w:pPr>
                  <w:r>
                    <w:rPr>
                      <w:rFonts w:hint="eastAsia"/>
                      <w:szCs w:val="21"/>
                    </w:rPr>
                    <w:t>34</w:t>
                  </w:r>
                </w:p>
              </w:tc>
              <w:tc>
                <w:tcPr>
                  <w:tcW w:w="653" w:type="pct"/>
                  <w:tcBorders>
                    <w:tl2br w:val="nil"/>
                    <w:tr2bl w:val="nil"/>
                  </w:tcBorders>
                  <w:vAlign w:val="center"/>
                </w:tcPr>
                <w:p>
                  <w:pPr>
                    <w:spacing w:line="320" w:lineRule="exact"/>
                    <w:jc w:val="center"/>
                    <w:rPr>
                      <w:szCs w:val="21"/>
                    </w:rPr>
                  </w:pPr>
                  <w:r>
                    <w:rPr>
                      <w:szCs w:val="21"/>
                    </w:rPr>
                    <w:t>40</w:t>
                  </w:r>
                </w:p>
              </w:tc>
              <w:tc>
                <w:tcPr>
                  <w:tcW w:w="653" w:type="pct"/>
                  <w:tcBorders>
                    <w:tl2br w:val="nil"/>
                    <w:tr2bl w:val="nil"/>
                  </w:tcBorders>
                  <w:vAlign w:val="center"/>
                </w:tcPr>
                <w:p>
                  <w:pPr>
                    <w:spacing w:line="320" w:lineRule="exact"/>
                    <w:jc w:val="center"/>
                    <w:rPr>
                      <w:szCs w:val="21"/>
                    </w:rPr>
                  </w:pPr>
                  <w:r>
                    <w:rPr>
                      <w:rFonts w:hint="eastAsia"/>
                      <w:szCs w:val="21"/>
                    </w:rPr>
                    <w:t>85</w:t>
                  </w:r>
                </w:p>
              </w:tc>
              <w:tc>
                <w:tcPr>
                  <w:tcW w:w="655" w:type="pct"/>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CO</w:t>
                  </w:r>
                </w:p>
              </w:tc>
              <w:tc>
                <w:tcPr>
                  <w:tcW w:w="1845" w:type="pct"/>
                  <w:tcBorders>
                    <w:tl2br w:val="nil"/>
                    <w:tr2bl w:val="nil"/>
                  </w:tcBorders>
                  <w:vAlign w:val="center"/>
                </w:tcPr>
                <w:p>
                  <w:pPr>
                    <w:spacing w:line="320" w:lineRule="exact"/>
                    <w:jc w:val="center"/>
                    <w:rPr>
                      <w:szCs w:val="21"/>
                    </w:rPr>
                  </w:pPr>
                  <w:r>
                    <w:rPr>
                      <w:szCs w:val="21"/>
                    </w:rPr>
                    <w:t>24小时平均浓度第95百分位数</w:t>
                  </w:r>
                </w:p>
              </w:tc>
              <w:tc>
                <w:tcPr>
                  <w:tcW w:w="653" w:type="pct"/>
                  <w:tcBorders>
                    <w:tl2br w:val="nil"/>
                    <w:tr2bl w:val="nil"/>
                  </w:tcBorders>
                  <w:vAlign w:val="center"/>
                </w:tcPr>
                <w:p>
                  <w:pPr>
                    <w:spacing w:line="320" w:lineRule="exact"/>
                    <w:jc w:val="center"/>
                    <w:rPr>
                      <w:szCs w:val="21"/>
                    </w:rPr>
                  </w:pPr>
                  <w:r>
                    <w:rPr>
                      <w:rFonts w:hint="eastAsia"/>
                      <w:szCs w:val="21"/>
                    </w:rPr>
                    <w:t>1300</w:t>
                  </w:r>
                </w:p>
              </w:tc>
              <w:tc>
                <w:tcPr>
                  <w:tcW w:w="653" w:type="pct"/>
                  <w:tcBorders>
                    <w:tl2br w:val="nil"/>
                    <w:tr2bl w:val="nil"/>
                  </w:tcBorders>
                  <w:vAlign w:val="center"/>
                </w:tcPr>
                <w:p>
                  <w:pPr>
                    <w:spacing w:line="320" w:lineRule="exact"/>
                    <w:jc w:val="center"/>
                    <w:rPr>
                      <w:szCs w:val="21"/>
                    </w:rPr>
                  </w:pPr>
                  <w:r>
                    <w:rPr>
                      <w:szCs w:val="21"/>
                    </w:rPr>
                    <w:t>4000</w:t>
                  </w:r>
                </w:p>
              </w:tc>
              <w:tc>
                <w:tcPr>
                  <w:tcW w:w="653" w:type="pct"/>
                  <w:tcBorders>
                    <w:tl2br w:val="nil"/>
                    <w:tr2bl w:val="nil"/>
                  </w:tcBorders>
                  <w:vAlign w:val="center"/>
                </w:tcPr>
                <w:p>
                  <w:pPr>
                    <w:spacing w:line="320" w:lineRule="exact"/>
                    <w:jc w:val="center"/>
                    <w:rPr>
                      <w:szCs w:val="21"/>
                    </w:rPr>
                  </w:pPr>
                  <w:r>
                    <w:rPr>
                      <w:rFonts w:hint="eastAsia"/>
                      <w:szCs w:val="21"/>
                    </w:rPr>
                    <w:t>32.5</w:t>
                  </w:r>
                </w:p>
              </w:tc>
              <w:tc>
                <w:tcPr>
                  <w:tcW w:w="655" w:type="pct"/>
                  <w:tcBorders>
                    <w:tl2br w:val="nil"/>
                    <w:tr2bl w:val="nil"/>
                  </w:tcBorders>
                  <w:vAlign w:val="center"/>
                </w:tcPr>
                <w:p>
                  <w:pPr>
                    <w:spacing w:line="320" w:lineRule="exact"/>
                    <w:jc w:val="center"/>
                    <w:rPr>
                      <w:szCs w:val="21"/>
                    </w:rPr>
                  </w:pPr>
                  <w:r>
                    <w:rPr>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9" w:type="pct"/>
                  <w:tcBorders>
                    <w:tl2br w:val="nil"/>
                    <w:tr2bl w:val="nil"/>
                  </w:tcBorders>
                  <w:vAlign w:val="center"/>
                </w:tcPr>
                <w:p>
                  <w:pPr>
                    <w:spacing w:line="320" w:lineRule="exact"/>
                    <w:jc w:val="center"/>
                    <w:rPr>
                      <w:szCs w:val="21"/>
                    </w:rPr>
                  </w:pPr>
                  <w:r>
                    <w:rPr>
                      <w:szCs w:val="21"/>
                    </w:rPr>
                    <w:t>O</w:t>
                  </w:r>
                  <w:r>
                    <w:rPr>
                      <w:szCs w:val="21"/>
                      <w:vertAlign w:val="subscript"/>
                    </w:rPr>
                    <w:t>3</w:t>
                  </w:r>
                </w:p>
              </w:tc>
              <w:tc>
                <w:tcPr>
                  <w:tcW w:w="1845" w:type="pct"/>
                  <w:tcBorders>
                    <w:tl2br w:val="nil"/>
                    <w:tr2bl w:val="nil"/>
                  </w:tcBorders>
                  <w:vAlign w:val="center"/>
                </w:tcPr>
                <w:p>
                  <w:pPr>
                    <w:spacing w:line="320" w:lineRule="exact"/>
                    <w:jc w:val="center"/>
                    <w:rPr>
                      <w:szCs w:val="21"/>
                    </w:rPr>
                  </w:pPr>
                  <w:r>
                    <w:rPr>
                      <w:szCs w:val="21"/>
                    </w:rPr>
                    <w:t>日最大8小时滑动平均浓度值的第90百分位数</w:t>
                  </w:r>
                </w:p>
              </w:tc>
              <w:tc>
                <w:tcPr>
                  <w:tcW w:w="653" w:type="pct"/>
                  <w:tcBorders>
                    <w:tl2br w:val="nil"/>
                    <w:tr2bl w:val="nil"/>
                  </w:tcBorders>
                  <w:vAlign w:val="center"/>
                </w:tcPr>
                <w:p>
                  <w:pPr>
                    <w:spacing w:line="320" w:lineRule="exact"/>
                    <w:jc w:val="center"/>
                    <w:rPr>
                      <w:szCs w:val="21"/>
                    </w:rPr>
                  </w:pPr>
                  <w:r>
                    <w:rPr>
                      <w:rFonts w:hint="eastAsia"/>
                      <w:szCs w:val="21"/>
                    </w:rPr>
                    <w:t>166</w:t>
                  </w:r>
                </w:p>
              </w:tc>
              <w:tc>
                <w:tcPr>
                  <w:tcW w:w="653" w:type="pct"/>
                  <w:tcBorders>
                    <w:tl2br w:val="nil"/>
                    <w:tr2bl w:val="nil"/>
                  </w:tcBorders>
                  <w:vAlign w:val="center"/>
                </w:tcPr>
                <w:p>
                  <w:pPr>
                    <w:spacing w:line="320" w:lineRule="exact"/>
                    <w:jc w:val="center"/>
                    <w:rPr>
                      <w:szCs w:val="21"/>
                    </w:rPr>
                  </w:pPr>
                  <w:r>
                    <w:rPr>
                      <w:szCs w:val="21"/>
                    </w:rPr>
                    <w:t>160</w:t>
                  </w:r>
                </w:p>
              </w:tc>
              <w:tc>
                <w:tcPr>
                  <w:tcW w:w="653" w:type="pct"/>
                  <w:tcBorders>
                    <w:tl2br w:val="nil"/>
                    <w:tr2bl w:val="nil"/>
                  </w:tcBorders>
                  <w:vAlign w:val="center"/>
                </w:tcPr>
                <w:p>
                  <w:pPr>
                    <w:spacing w:line="320" w:lineRule="exact"/>
                    <w:jc w:val="center"/>
                    <w:rPr>
                      <w:szCs w:val="21"/>
                    </w:rPr>
                  </w:pPr>
                  <w:r>
                    <w:rPr>
                      <w:rFonts w:hint="eastAsia"/>
                      <w:szCs w:val="21"/>
                    </w:rPr>
                    <w:t>103.8</w:t>
                  </w:r>
                </w:p>
              </w:tc>
              <w:tc>
                <w:tcPr>
                  <w:tcW w:w="655" w:type="pct"/>
                  <w:tcBorders>
                    <w:tl2br w:val="nil"/>
                    <w:tr2bl w:val="nil"/>
                  </w:tcBorders>
                  <w:vAlign w:val="center"/>
                </w:tcPr>
                <w:p>
                  <w:pPr>
                    <w:spacing w:line="320" w:lineRule="exact"/>
                    <w:jc w:val="center"/>
                    <w:rPr>
                      <w:szCs w:val="21"/>
                    </w:rPr>
                  </w:pPr>
                  <w:r>
                    <w:rPr>
                      <w:szCs w:val="21"/>
                    </w:rPr>
                    <w:t>不达标</w:t>
                  </w:r>
                </w:p>
              </w:tc>
            </w:tr>
          </w:tbl>
          <w:p>
            <w:pPr>
              <w:snapToGrid w:val="0"/>
              <w:spacing w:line="460" w:lineRule="exact"/>
              <w:ind w:firstLine="480" w:firstLineChars="200"/>
              <w:rPr>
                <w:sz w:val="24"/>
              </w:rPr>
            </w:pPr>
            <w:r>
              <w:rPr>
                <w:sz w:val="24"/>
              </w:rPr>
              <w:t>由上表可知，洛阳市2020年度大气污染物PM</w:t>
            </w:r>
            <w:r>
              <w:rPr>
                <w:sz w:val="24"/>
                <w:vertAlign w:val="subscript"/>
              </w:rPr>
              <w:t>10</w:t>
            </w:r>
            <w:r>
              <w:rPr>
                <w:sz w:val="24"/>
              </w:rPr>
              <w:t>、PM</w:t>
            </w:r>
            <w:r>
              <w:rPr>
                <w:sz w:val="24"/>
                <w:vertAlign w:val="subscript"/>
              </w:rPr>
              <w:t>2.5</w:t>
            </w:r>
            <w:r>
              <w:rPr>
                <w:sz w:val="24"/>
              </w:rPr>
              <w:t>、O</w:t>
            </w:r>
            <w:r>
              <w:rPr>
                <w:sz w:val="24"/>
                <w:vertAlign w:val="subscript"/>
              </w:rPr>
              <w:t>3</w:t>
            </w:r>
            <w:r>
              <w:rPr>
                <w:sz w:val="24"/>
              </w:rPr>
              <w:t>的年均浓度超过《环境空气质量标准》（GB3095-2012）二级标准</w:t>
            </w:r>
            <w:r>
              <w:rPr>
                <w:rFonts w:hint="eastAsia"/>
                <w:sz w:val="24"/>
              </w:rPr>
              <w:t>，根据《环境影响评价技术导则 大气环境》（HJ2.2-2018）区域达标判定要求，洛阳市未满足六项因子全部达标</w:t>
            </w:r>
            <w:r>
              <w:rPr>
                <w:sz w:val="24"/>
              </w:rPr>
              <w:t>。因此本项目所在区域为环境空气质量不达标区。</w:t>
            </w:r>
          </w:p>
          <w:p>
            <w:pPr>
              <w:spacing w:line="460" w:lineRule="exact"/>
              <w:ind w:firstLine="480" w:firstLineChars="200"/>
              <w:rPr>
                <w:bCs/>
                <w:sz w:val="24"/>
              </w:rPr>
            </w:pPr>
            <w:r>
              <w:rPr>
                <w:rFonts w:hint="eastAsia"/>
                <w:bCs/>
                <w:sz w:val="24"/>
              </w:rPr>
              <w:t>洛阳市先后出台《洛阳市2021年大气、水、土壤污染防治攻坚战及农业农村污染治理攻坚战实施方案》（洛环攻坚办〔2021〕5号）、《洛阳市 2021 年挥发性有机物污染防治实施方案》（洛环攻坚办【2021】18号）等一系列措施，将不断改善区域大气环境质量。本项目产生的废气污染物采取严格集气净化措施后，对周围大气环境影响较小。</w:t>
            </w:r>
          </w:p>
          <w:p>
            <w:pPr>
              <w:snapToGrid w:val="0"/>
              <w:spacing w:line="460" w:lineRule="exact"/>
              <w:ind w:firstLine="480" w:firstLineChars="200"/>
              <w:contextualSpacing/>
              <w:rPr>
                <w:color w:val="000000"/>
                <w:sz w:val="24"/>
              </w:rPr>
            </w:pPr>
            <w:r>
              <w:rPr>
                <w:rFonts w:hint="eastAsia"/>
                <w:color w:val="000000"/>
                <w:sz w:val="24"/>
              </w:rPr>
              <w:t>2、基本污染物环境质量现状</w:t>
            </w:r>
          </w:p>
          <w:p>
            <w:pPr>
              <w:adjustRightInd w:val="0"/>
              <w:snapToGrid w:val="0"/>
              <w:spacing w:line="460" w:lineRule="exact"/>
              <w:ind w:firstLine="480" w:firstLineChars="200"/>
              <w:rPr>
                <w:color w:val="000000"/>
                <w:sz w:val="24"/>
              </w:rPr>
            </w:pPr>
            <w:r>
              <w:rPr>
                <w:rFonts w:hint="eastAsia"/>
                <w:color w:val="000000"/>
                <w:sz w:val="24"/>
              </w:rPr>
              <w:t>为了解该项目区域环境空气质量，根据偃师</w:t>
            </w:r>
            <w:r>
              <w:rPr>
                <w:rFonts w:hint="eastAsia"/>
                <w:color w:val="000000"/>
                <w:sz w:val="24"/>
                <w:lang w:val="en-US" w:eastAsia="zh-CN"/>
              </w:rPr>
              <w:t>区</w:t>
            </w:r>
            <w:r>
              <w:rPr>
                <w:rFonts w:hint="eastAsia"/>
                <w:color w:val="000000"/>
                <w:sz w:val="24"/>
              </w:rPr>
              <w:t>环境监测站2020年连续一年的常规监测数据，偃师</w:t>
            </w:r>
            <w:r>
              <w:rPr>
                <w:rFonts w:hint="eastAsia"/>
                <w:color w:val="000000"/>
                <w:sz w:val="24"/>
                <w:lang w:val="en-US" w:eastAsia="zh-CN"/>
              </w:rPr>
              <w:t>区</w:t>
            </w:r>
            <w:r>
              <w:rPr>
                <w:rFonts w:hint="eastAsia"/>
                <w:color w:val="000000"/>
                <w:sz w:val="24"/>
              </w:rPr>
              <w:t>2020年优良天数248天。监测因子为：细颗粒物（PM</w:t>
            </w:r>
            <w:r>
              <w:rPr>
                <w:rFonts w:hint="eastAsia"/>
                <w:color w:val="000000"/>
                <w:sz w:val="24"/>
                <w:vertAlign w:val="subscript"/>
              </w:rPr>
              <w:t>2.5</w:t>
            </w:r>
            <w:r>
              <w:rPr>
                <w:rFonts w:hint="eastAsia"/>
                <w:color w:val="000000"/>
                <w:sz w:val="24"/>
              </w:rPr>
              <w:t>）、可吸入颗粒物（PM</w:t>
            </w:r>
            <w:r>
              <w:rPr>
                <w:rFonts w:hint="eastAsia"/>
                <w:color w:val="000000"/>
                <w:sz w:val="24"/>
                <w:vertAlign w:val="subscript"/>
              </w:rPr>
              <w:t>10</w:t>
            </w:r>
            <w:r>
              <w:rPr>
                <w:rFonts w:hint="eastAsia"/>
                <w:color w:val="000000"/>
                <w:sz w:val="24"/>
              </w:rPr>
              <w:t>）、臭氧（O</w:t>
            </w:r>
            <w:r>
              <w:rPr>
                <w:rFonts w:hint="eastAsia"/>
                <w:color w:val="000000"/>
                <w:sz w:val="24"/>
                <w:vertAlign w:val="subscript"/>
              </w:rPr>
              <w:t>3</w:t>
            </w:r>
            <w:r>
              <w:rPr>
                <w:rFonts w:hint="eastAsia"/>
                <w:color w:val="000000"/>
                <w:sz w:val="24"/>
              </w:rPr>
              <w:t>）、二氧化氮（NO</w:t>
            </w:r>
            <w:r>
              <w:rPr>
                <w:rFonts w:hint="eastAsia"/>
                <w:color w:val="000000"/>
                <w:sz w:val="24"/>
                <w:vertAlign w:val="subscript"/>
              </w:rPr>
              <w:t>2</w:t>
            </w:r>
            <w:r>
              <w:rPr>
                <w:rFonts w:hint="eastAsia"/>
                <w:color w:val="000000"/>
                <w:sz w:val="24"/>
              </w:rPr>
              <w:t>）、一氧化碳（CO）和二氧化硫（SO</w:t>
            </w:r>
            <w:r>
              <w:rPr>
                <w:rFonts w:hint="eastAsia"/>
                <w:color w:val="000000"/>
                <w:sz w:val="24"/>
                <w:vertAlign w:val="subscript"/>
              </w:rPr>
              <w:t>2</w:t>
            </w:r>
            <w:r>
              <w:rPr>
                <w:rFonts w:hint="eastAsia"/>
                <w:color w:val="000000"/>
                <w:sz w:val="24"/>
              </w:rPr>
              <w:t>）。基本污染物环境质量现状见下表。</w:t>
            </w:r>
          </w:p>
          <w:p>
            <w:pPr>
              <w:pStyle w:val="6"/>
              <w:numPr>
                <w:ilvl w:val="0"/>
                <w:numId w:val="0"/>
              </w:numPr>
              <w:ind w:left="420" w:leftChars="200"/>
              <w:rPr>
                <w:b w:val="0"/>
                <w:color w:val="000000"/>
              </w:rPr>
            </w:pPr>
          </w:p>
          <w:p>
            <w:pPr>
              <w:pStyle w:val="6"/>
              <w:numPr>
                <w:ilvl w:val="0"/>
                <w:numId w:val="0"/>
              </w:numPr>
              <w:ind w:left="420" w:leftChars="200"/>
              <w:rPr>
                <w:bCs/>
                <w:color w:val="000000"/>
              </w:rPr>
            </w:pPr>
            <w:r>
              <w:rPr>
                <w:rFonts w:hint="eastAsia"/>
                <w:bCs/>
                <w:color w:val="000000"/>
              </w:rPr>
              <w:t>表</w:t>
            </w:r>
            <w:r>
              <w:rPr>
                <w:rFonts w:hint="eastAsia"/>
                <w:bCs/>
                <w:color w:val="000000"/>
                <w:lang w:val="en-US" w:eastAsia="zh-CN"/>
              </w:rPr>
              <w:t>15</w:t>
            </w:r>
            <w:r>
              <w:rPr>
                <w:rFonts w:hint="eastAsia"/>
                <w:bCs/>
                <w:color w:val="000000"/>
              </w:rPr>
              <w:t xml:space="preserve">           偃师</w:t>
            </w:r>
            <w:r>
              <w:rPr>
                <w:rFonts w:hint="eastAsia"/>
                <w:bCs/>
                <w:color w:val="000000"/>
                <w:lang w:val="en-US" w:eastAsia="zh-CN"/>
              </w:rPr>
              <w:t>区</w:t>
            </w:r>
            <w:r>
              <w:rPr>
                <w:rFonts w:hint="eastAsia"/>
                <w:bCs/>
                <w:color w:val="000000"/>
              </w:rPr>
              <w:t>空气质量现状评价表       单位：</w:t>
            </w:r>
            <w:r>
              <w:rPr>
                <w:bCs/>
                <w:color w:val="000000"/>
                <w:sz w:val="21"/>
                <w:szCs w:val="21"/>
              </w:rPr>
              <w:t>μg/m</w:t>
            </w:r>
            <w:r>
              <w:rPr>
                <w:bCs/>
                <w:color w:val="000000"/>
                <w:sz w:val="21"/>
                <w:szCs w:val="21"/>
                <w:vertAlign w:val="superscript"/>
              </w:rPr>
              <w:t>3</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234"/>
              <w:gridCol w:w="1361"/>
              <w:gridCol w:w="1668"/>
              <w:gridCol w:w="115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污染物</w:t>
                  </w:r>
                </w:p>
              </w:tc>
              <w:tc>
                <w:tcPr>
                  <w:tcW w:w="1318" w:type="pct"/>
                  <w:vAlign w:val="center"/>
                </w:tcPr>
                <w:p>
                  <w:pPr>
                    <w:pStyle w:val="11"/>
                    <w:snapToGrid w:val="0"/>
                    <w:spacing w:line="320" w:lineRule="exact"/>
                    <w:ind w:left="0" w:leftChars="0" w:right="0" w:rightChars="0"/>
                    <w:jc w:val="center"/>
                  </w:pPr>
                  <w:r>
                    <w:rPr>
                      <w:rFonts w:hint="eastAsia"/>
                    </w:rPr>
                    <w:t>评价指标</w:t>
                  </w:r>
                </w:p>
              </w:tc>
              <w:tc>
                <w:tcPr>
                  <w:tcW w:w="803" w:type="pct"/>
                  <w:vAlign w:val="center"/>
                </w:tcPr>
                <w:p>
                  <w:pPr>
                    <w:pStyle w:val="11"/>
                    <w:snapToGrid w:val="0"/>
                    <w:spacing w:line="320" w:lineRule="exact"/>
                    <w:ind w:left="0" w:leftChars="0" w:right="0" w:rightChars="0"/>
                    <w:jc w:val="center"/>
                  </w:pPr>
                  <w:r>
                    <w:rPr>
                      <w:rFonts w:hint="eastAsia"/>
                    </w:rPr>
                    <w:t>现状浓度/(μg/m</w:t>
                  </w:r>
                  <w:r>
                    <w:rPr>
                      <w:rFonts w:hint="eastAsia"/>
                      <w:vertAlign w:val="superscript"/>
                    </w:rPr>
                    <w:t>3</w:t>
                  </w:r>
                  <w:r>
                    <w:rPr>
                      <w:rFonts w:hint="eastAsia"/>
                    </w:rPr>
                    <w:t>)</w:t>
                  </w:r>
                </w:p>
              </w:tc>
              <w:tc>
                <w:tcPr>
                  <w:tcW w:w="984" w:type="pct"/>
                  <w:vAlign w:val="center"/>
                </w:tcPr>
                <w:p>
                  <w:pPr>
                    <w:pStyle w:val="11"/>
                    <w:snapToGrid w:val="0"/>
                    <w:spacing w:line="320" w:lineRule="exact"/>
                    <w:ind w:left="0" w:leftChars="0" w:right="0" w:rightChars="0"/>
                    <w:jc w:val="center"/>
                  </w:pPr>
                  <w:r>
                    <w:rPr>
                      <w:rFonts w:hint="eastAsia"/>
                    </w:rPr>
                    <w:t>标准值/(μg/m</w:t>
                  </w:r>
                  <w:r>
                    <w:rPr>
                      <w:rFonts w:hint="eastAsia"/>
                      <w:vertAlign w:val="superscript"/>
                    </w:rPr>
                    <w:t>3</w:t>
                  </w:r>
                  <w:r>
                    <w:rPr>
                      <w:rFonts w:hint="eastAsia"/>
                    </w:rPr>
                    <w:t>)</w:t>
                  </w:r>
                </w:p>
              </w:tc>
              <w:tc>
                <w:tcPr>
                  <w:tcW w:w="681" w:type="pct"/>
                  <w:vAlign w:val="center"/>
                </w:tcPr>
                <w:p>
                  <w:pPr>
                    <w:pStyle w:val="11"/>
                    <w:snapToGrid w:val="0"/>
                    <w:spacing w:line="320" w:lineRule="exact"/>
                    <w:ind w:left="0" w:leftChars="0" w:right="0" w:rightChars="0"/>
                    <w:jc w:val="center"/>
                  </w:pPr>
                  <w:r>
                    <w:rPr>
                      <w:rFonts w:hint="eastAsia"/>
                    </w:rPr>
                    <w:t>占标率/(%)</w:t>
                  </w:r>
                </w:p>
              </w:tc>
              <w:tc>
                <w:tcPr>
                  <w:tcW w:w="684" w:type="pct"/>
                  <w:vAlign w:val="center"/>
                </w:tcPr>
                <w:p>
                  <w:pPr>
                    <w:pStyle w:val="11"/>
                    <w:snapToGrid w:val="0"/>
                    <w:spacing w:line="320" w:lineRule="exact"/>
                    <w:ind w:left="0" w:leftChars="0" w:right="0" w:rightChars="0"/>
                    <w:jc w:val="center"/>
                  </w:pPr>
                  <w:r>
                    <w:rPr>
                      <w:rFonts w:hint="eastAsia"/>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7" w:type="pct"/>
                  <w:vAlign w:val="center"/>
                </w:tcPr>
                <w:p>
                  <w:pPr>
                    <w:pStyle w:val="11"/>
                    <w:snapToGrid w:val="0"/>
                    <w:spacing w:line="320" w:lineRule="exact"/>
                    <w:ind w:left="0" w:leftChars="0" w:right="0" w:rightChars="0"/>
                    <w:jc w:val="center"/>
                  </w:pPr>
                  <w:r>
                    <w:rPr>
                      <w:rFonts w:hint="eastAsia"/>
                    </w:rPr>
                    <w:t>SO</w:t>
                  </w:r>
                  <w:r>
                    <w:rPr>
                      <w:rFonts w:hint="eastAsia"/>
                      <w:vertAlign w:val="subscript"/>
                    </w:rPr>
                    <w:t>2</w:t>
                  </w:r>
                </w:p>
              </w:tc>
              <w:tc>
                <w:tcPr>
                  <w:tcW w:w="1318" w:type="pct"/>
                  <w:vAlign w:val="center"/>
                </w:tcPr>
                <w:p>
                  <w:pPr>
                    <w:pStyle w:val="11"/>
                    <w:snapToGrid w:val="0"/>
                    <w:spacing w:line="320" w:lineRule="exact"/>
                    <w:ind w:left="0" w:leftChars="0" w:right="0" w:rightChars="0"/>
                    <w:jc w:val="center"/>
                  </w:pPr>
                  <w:r>
                    <w:rPr>
                      <w:rFonts w:hint="eastAsia"/>
                    </w:rPr>
                    <w:t>年平均质量浓度</w:t>
                  </w:r>
                </w:p>
              </w:tc>
              <w:tc>
                <w:tcPr>
                  <w:tcW w:w="1361" w:type="dxa"/>
                  <w:vAlign w:val="center"/>
                </w:tcPr>
                <w:p>
                  <w:pPr>
                    <w:spacing w:line="360" w:lineRule="exact"/>
                    <w:jc w:val="center"/>
                  </w:pPr>
                  <w:r>
                    <w:rPr>
                      <w:rStyle w:val="51"/>
                    </w:rPr>
                    <w:t>8</w:t>
                  </w:r>
                </w:p>
              </w:tc>
              <w:tc>
                <w:tcPr>
                  <w:tcW w:w="1668" w:type="dxa"/>
                  <w:vAlign w:val="center"/>
                </w:tcPr>
                <w:p>
                  <w:pPr>
                    <w:spacing w:line="360" w:lineRule="exact"/>
                    <w:jc w:val="center"/>
                  </w:pPr>
                  <w:r>
                    <w:rPr>
                      <w:rStyle w:val="51"/>
                    </w:rPr>
                    <w:t>60</w:t>
                  </w:r>
                </w:p>
              </w:tc>
              <w:tc>
                <w:tcPr>
                  <w:tcW w:w="1154" w:type="dxa"/>
                  <w:vAlign w:val="center"/>
                </w:tcPr>
                <w:p>
                  <w:pPr>
                    <w:spacing w:line="360" w:lineRule="exact"/>
                    <w:jc w:val="center"/>
                  </w:pPr>
                  <w:r>
                    <w:rPr>
                      <w:rStyle w:val="51"/>
                    </w:rPr>
                    <w:t>13.3</w:t>
                  </w:r>
                </w:p>
              </w:tc>
              <w:tc>
                <w:tcPr>
                  <w:tcW w:w="1160" w:type="dxa"/>
                  <w:vAlign w:val="center"/>
                </w:tcPr>
                <w:p>
                  <w:pPr>
                    <w:spacing w:line="360" w:lineRule="exact"/>
                    <w:jc w:val="center"/>
                  </w:pPr>
                  <w:r>
                    <w:rPr>
                      <w:rStyle w:val="5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NO</w:t>
                  </w:r>
                  <w:r>
                    <w:rPr>
                      <w:rFonts w:hint="eastAsia"/>
                      <w:vertAlign w:val="subscript"/>
                    </w:rPr>
                    <w:t>2</w:t>
                  </w:r>
                </w:p>
              </w:tc>
              <w:tc>
                <w:tcPr>
                  <w:tcW w:w="1318" w:type="pct"/>
                  <w:vAlign w:val="center"/>
                </w:tcPr>
                <w:p>
                  <w:pPr>
                    <w:pStyle w:val="11"/>
                    <w:snapToGrid w:val="0"/>
                    <w:spacing w:line="320" w:lineRule="exact"/>
                    <w:ind w:left="0" w:leftChars="0" w:right="0" w:rightChars="0"/>
                    <w:jc w:val="center"/>
                  </w:pPr>
                  <w:r>
                    <w:rPr>
                      <w:rFonts w:hint="eastAsia"/>
                    </w:rPr>
                    <w:t>年平均质量浓度</w:t>
                  </w:r>
                </w:p>
              </w:tc>
              <w:tc>
                <w:tcPr>
                  <w:tcW w:w="1361" w:type="dxa"/>
                  <w:vAlign w:val="center"/>
                </w:tcPr>
                <w:p>
                  <w:pPr>
                    <w:spacing w:line="360" w:lineRule="exact"/>
                    <w:jc w:val="center"/>
                  </w:pPr>
                  <w:r>
                    <w:rPr>
                      <w:rStyle w:val="51"/>
                    </w:rPr>
                    <w:t>24</w:t>
                  </w:r>
                </w:p>
              </w:tc>
              <w:tc>
                <w:tcPr>
                  <w:tcW w:w="1668" w:type="dxa"/>
                  <w:vAlign w:val="center"/>
                </w:tcPr>
                <w:p>
                  <w:pPr>
                    <w:spacing w:line="360" w:lineRule="exact"/>
                    <w:jc w:val="center"/>
                  </w:pPr>
                  <w:r>
                    <w:rPr>
                      <w:rStyle w:val="51"/>
                    </w:rPr>
                    <w:t>40</w:t>
                  </w:r>
                </w:p>
              </w:tc>
              <w:tc>
                <w:tcPr>
                  <w:tcW w:w="1154" w:type="dxa"/>
                  <w:vAlign w:val="center"/>
                </w:tcPr>
                <w:p>
                  <w:pPr>
                    <w:spacing w:line="360" w:lineRule="exact"/>
                    <w:jc w:val="center"/>
                  </w:pPr>
                  <w:r>
                    <w:rPr>
                      <w:rStyle w:val="51"/>
                    </w:rPr>
                    <w:t>60</w:t>
                  </w:r>
                </w:p>
              </w:tc>
              <w:tc>
                <w:tcPr>
                  <w:tcW w:w="1160" w:type="dxa"/>
                  <w:vAlign w:val="center"/>
                </w:tcPr>
                <w:p>
                  <w:pPr>
                    <w:spacing w:line="360" w:lineRule="exact"/>
                    <w:jc w:val="center"/>
                  </w:pPr>
                  <w:r>
                    <w:rPr>
                      <w:rStyle w:val="5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PM</w:t>
                  </w:r>
                  <w:r>
                    <w:rPr>
                      <w:rFonts w:hint="eastAsia"/>
                      <w:vertAlign w:val="subscript"/>
                    </w:rPr>
                    <w:t>2.5</w:t>
                  </w:r>
                </w:p>
              </w:tc>
              <w:tc>
                <w:tcPr>
                  <w:tcW w:w="1318" w:type="pct"/>
                  <w:vAlign w:val="center"/>
                </w:tcPr>
                <w:p>
                  <w:pPr>
                    <w:pStyle w:val="11"/>
                    <w:snapToGrid w:val="0"/>
                    <w:spacing w:line="320" w:lineRule="exact"/>
                    <w:ind w:left="0" w:leftChars="0" w:right="0" w:rightChars="0"/>
                    <w:jc w:val="center"/>
                  </w:pPr>
                  <w:r>
                    <w:rPr>
                      <w:rFonts w:hint="eastAsia"/>
                    </w:rPr>
                    <w:t>年平均质量浓度</w:t>
                  </w:r>
                </w:p>
              </w:tc>
              <w:tc>
                <w:tcPr>
                  <w:tcW w:w="1361" w:type="dxa"/>
                  <w:vAlign w:val="center"/>
                </w:tcPr>
                <w:p>
                  <w:pPr>
                    <w:spacing w:line="360" w:lineRule="exact"/>
                    <w:jc w:val="center"/>
                  </w:pPr>
                  <w:r>
                    <w:rPr>
                      <w:rStyle w:val="51"/>
                    </w:rPr>
                    <w:t>45</w:t>
                  </w:r>
                </w:p>
              </w:tc>
              <w:tc>
                <w:tcPr>
                  <w:tcW w:w="1668" w:type="dxa"/>
                  <w:vAlign w:val="center"/>
                </w:tcPr>
                <w:p>
                  <w:pPr>
                    <w:spacing w:line="360" w:lineRule="exact"/>
                    <w:jc w:val="center"/>
                  </w:pPr>
                  <w:r>
                    <w:rPr>
                      <w:rStyle w:val="51"/>
                    </w:rPr>
                    <w:t>35</w:t>
                  </w:r>
                </w:p>
              </w:tc>
              <w:tc>
                <w:tcPr>
                  <w:tcW w:w="1154" w:type="dxa"/>
                  <w:vAlign w:val="center"/>
                </w:tcPr>
                <w:p>
                  <w:pPr>
                    <w:spacing w:line="360" w:lineRule="exact"/>
                    <w:jc w:val="center"/>
                  </w:pPr>
                  <w:r>
                    <w:rPr>
                      <w:rStyle w:val="51"/>
                    </w:rPr>
                    <w:t>128.6</w:t>
                  </w:r>
                </w:p>
              </w:tc>
              <w:tc>
                <w:tcPr>
                  <w:tcW w:w="1160" w:type="dxa"/>
                  <w:vAlign w:val="center"/>
                </w:tcPr>
                <w:p>
                  <w:pPr>
                    <w:spacing w:line="360" w:lineRule="exact"/>
                    <w:jc w:val="center"/>
                  </w:pPr>
                  <w:r>
                    <w:rPr>
                      <w:rStyle w:val="5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PM</w:t>
                  </w:r>
                  <w:r>
                    <w:rPr>
                      <w:rFonts w:hint="eastAsia"/>
                      <w:vertAlign w:val="subscript"/>
                    </w:rPr>
                    <w:t>10</w:t>
                  </w:r>
                </w:p>
              </w:tc>
              <w:tc>
                <w:tcPr>
                  <w:tcW w:w="1318" w:type="pct"/>
                  <w:vAlign w:val="center"/>
                </w:tcPr>
                <w:p>
                  <w:pPr>
                    <w:pStyle w:val="11"/>
                    <w:snapToGrid w:val="0"/>
                    <w:spacing w:line="320" w:lineRule="exact"/>
                    <w:ind w:left="0" w:leftChars="0" w:right="0" w:rightChars="0"/>
                    <w:jc w:val="center"/>
                  </w:pPr>
                  <w:r>
                    <w:rPr>
                      <w:rFonts w:hint="eastAsia"/>
                    </w:rPr>
                    <w:t>年平均质量浓度</w:t>
                  </w:r>
                </w:p>
              </w:tc>
              <w:tc>
                <w:tcPr>
                  <w:tcW w:w="1361" w:type="dxa"/>
                  <w:vAlign w:val="center"/>
                </w:tcPr>
                <w:p>
                  <w:pPr>
                    <w:spacing w:line="360" w:lineRule="exact"/>
                    <w:jc w:val="center"/>
                  </w:pPr>
                  <w:r>
                    <w:rPr>
                      <w:rStyle w:val="51"/>
                    </w:rPr>
                    <w:t>83</w:t>
                  </w:r>
                </w:p>
              </w:tc>
              <w:tc>
                <w:tcPr>
                  <w:tcW w:w="1668" w:type="dxa"/>
                  <w:vAlign w:val="center"/>
                </w:tcPr>
                <w:p>
                  <w:pPr>
                    <w:spacing w:line="360" w:lineRule="exact"/>
                    <w:jc w:val="center"/>
                  </w:pPr>
                  <w:r>
                    <w:rPr>
                      <w:rStyle w:val="51"/>
                    </w:rPr>
                    <w:t>70</w:t>
                  </w:r>
                </w:p>
              </w:tc>
              <w:tc>
                <w:tcPr>
                  <w:tcW w:w="1154" w:type="dxa"/>
                  <w:vAlign w:val="center"/>
                </w:tcPr>
                <w:p>
                  <w:pPr>
                    <w:spacing w:line="360" w:lineRule="exact"/>
                    <w:jc w:val="center"/>
                  </w:pPr>
                  <w:r>
                    <w:rPr>
                      <w:rStyle w:val="51"/>
                    </w:rPr>
                    <w:t>118.6</w:t>
                  </w:r>
                </w:p>
              </w:tc>
              <w:tc>
                <w:tcPr>
                  <w:tcW w:w="1160" w:type="dxa"/>
                  <w:vAlign w:val="center"/>
                </w:tcPr>
                <w:p>
                  <w:pPr>
                    <w:spacing w:line="360" w:lineRule="exact"/>
                    <w:jc w:val="center"/>
                  </w:pPr>
                  <w:r>
                    <w:rPr>
                      <w:rStyle w:val="5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CO</w:t>
                  </w:r>
                </w:p>
              </w:tc>
              <w:tc>
                <w:tcPr>
                  <w:tcW w:w="1318" w:type="pct"/>
                  <w:vAlign w:val="center"/>
                </w:tcPr>
                <w:p>
                  <w:pPr>
                    <w:pStyle w:val="11"/>
                    <w:snapToGrid w:val="0"/>
                    <w:spacing w:line="320" w:lineRule="exact"/>
                    <w:ind w:left="0" w:leftChars="0" w:right="0" w:rightChars="0"/>
                    <w:jc w:val="center"/>
                  </w:pPr>
                  <w:r>
                    <w:rPr>
                      <w:rFonts w:hint="eastAsia"/>
                    </w:rPr>
                    <w:t>第95百分位数浓度</w:t>
                  </w:r>
                </w:p>
              </w:tc>
              <w:tc>
                <w:tcPr>
                  <w:tcW w:w="1361" w:type="dxa"/>
                  <w:vAlign w:val="center"/>
                </w:tcPr>
                <w:p>
                  <w:pPr>
                    <w:spacing w:line="360" w:lineRule="exact"/>
                    <w:jc w:val="center"/>
                  </w:pPr>
                  <w:r>
                    <w:rPr>
                      <w:rStyle w:val="51"/>
                    </w:rPr>
                    <w:t>1.3</w:t>
                  </w:r>
                  <w:r>
                    <w:rPr>
                      <w:szCs w:val="21"/>
                    </w:rPr>
                    <w:t>mg/m</w:t>
                  </w:r>
                  <w:r>
                    <w:rPr>
                      <w:szCs w:val="21"/>
                      <w:vertAlign w:val="superscript"/>
                    </w:rPr>
                    <w:t>3</w:t>
                  </w:r>
                </w:p>
              </w:tc>
              <w:tc>
                <w:tcPr>
                  <w:tcW w:w="1668" w:type="dxa"/>
                  <w:vAlign w:val="center"/>
                </w:tcPr>
                <w:p>
                  <w:pPr>
                    <w:spacing w:line="360" w:lineRule="exact"/>
                    <w:jc w:val="center"/>
                  </w:pPr>
                  <w:r>
                    <w:rPr>
                      <w:rStyle w:val="51"/>
                    </w:rPr>
                    <w:t>4</w:t>
                  </w:r>
                  <w:r>
                    <w:rPr>
                      <w:szCs w:val="21"/>
                    </w:rPr>
                    <w:t>mg/m</w:t>
                  </w:r>
                  <w:r>
                    <w:rPr>
                      <w:szCs w:val="21"/>
                      <w:vertAlign w:val="superscript"/>
                    </w:rPr>
                    <w:t>3</w:t>
                  </w:r>
                </w:p>
              </w:tc>
              <w:tc>
                <w:tcPr>
                  <w:tcW w:w="1154" w:type="dxa"/>
                  <w:vAlign w:val="center"/>
                </w:tcPr>
                <w:p>
                  <w:pPr>
                    <w:spacing w:line="360" w:lineRule="exact"/>
                    <w:jc w:val="center"/>
                  </w:pPr>
                  <w:r>
                    <w:rPr>
                      <w:rStyle w:val="51"/>
                    </w:rPr>
                    <w:t>32.5</w:t>
                  </w:r>
                </w:p>
              </w:tc>
              <w:tc>
                <w:tcPr>
                  <w:tcW w:w="1160" w:type="dxa"/>
                  <w:vAlign w:val="center"/>
                </w:tcPr>
                <w:p>
                  <w:pPr>
                    <w:spacing w:line="360" w:lineRule="exact"/>
                    <w:jc w:val="center"/>
                  </w:pPr>
                  <w:r>
                    <w:rPr>
                      <w:rStyle w:val="5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27" w:type="pct"/>
                  <w:vAlign w:val="center"/>
                </w:tcPr>
                <w:p>
                  <w:pPr>
                    <w:pStyle w:val="11"/>
                    <w:snapToGrid w:val="0"/>
                    <w:spacing w:line="320" w:lineRule="exact"/>
                    <w:ind w:left="0" w:leftChars="0" w:right="0" w:rightChars="0"/>
                    <w:jc w:val="center"/>
                  </w:pPr>
                  <w:r>
                    <w:rPr>
                      <w:rFonts w:hint="eastAsia"/>
                    </w:rPr>
                    <w:t>O</w:t>
                  </w:r>
                  <w:r>
                    <w:rPr>
                      <w:rFonts w:hint="eastAsia"/>
                      <w:vertAlign w:val="subscript"/>
                    </w:rPr>
                    <w:t>3</w:t>
                  </w:r>
                </w:p>
              </w:tc>
              <w:tc>
                <w:tcPr>
                  <w:tcW w:w="1318" w:type="pct"/>
                  <w:vAlign w:val="center"/>
                </w:tcPr>
                <w:p>
                  <w:pPr>
                    <w:pStyle w:val="11"/>
                    <w:snapToGrid w:val="0"/>
                    <w:spacing w:line="320" w:lineRule="exact"/>
                    <w:ind w:left="0" w:leftChars="0" w:right="0" w:rightChars="0"/>
                    <w:jc w:val="center"/>
                  </w:pPr>
                  <w:r>
                    <w:rPr>
                      <w:rFonts w:hint="eastAsia"/>
                    </w:rPr>
                    <w:t>8h平均质量浓度</w:t>
                  </w:r>
                </w:p>
              </w:tc>
              <w:tc>
                <w:tcPr>
                  <w:tcW w:w="1361" w:type="dxa"/>
                  <w:vAlign w:val="center"/>
                </w:tcPr>
                <w:p>
                  <w:pPr>
                    <w:spacing w:line="360" w:lineRule="exact"/>
                    <w:jc w:val="center"/>
                  </w:pPr>
                  <w:r>
                    <w:rPr>
                      <w:rStyle w:val="51"/>
                    </w:rPr>
                    <w:t>182</w:t>
                  </w:r>
                </w:p>
              </w:tc>
              <w:tc>
                <w:tcPr>
                  <w:tcW w:w="1668" w:type="dxa"/>
                  <w:vAlign w:val="center"/>
                </w:tcPr>
                <w:p>
                  <w:pPr>
                    <w:spacing w:line="360" w:lineRule="exact"/>
                    <w:jc w:val="center"/>
                  </w:pPr>
                  <w:r>
                    <w:rPr>
                      <w:rStyle w:val="51"/>
                    </w:rPr>
                    <w:t>160</w:t>
                  </w:r>
                </w:p>
              </w:tc>
              <w:tc>
                <w:tcPr>
                  <w:tcW w:w="1154" w:type="dxa"/>
                  <w:vAlign w:val="center"/>
                </w:tcPr>
                <w:p>
                  <w:pPr>
                    <w:spacing w:line="360" w:lineRule="exact"/>
                    <w:jc w:val="center"/>
                  </w:pPr>
                  <w:r>
                    <w:rPr>
                      <w:rStyle w:val="51"/>
                    </w:rPr>
                    <w:t>113.8</w:t>
                  </w:r>
                </w:p>
              </w:tc>
              <w:tc>
                <w:tcPr>
                  <w:tcW w:w="1160" w:type="dxa"/>
                  <w:vAlign w:val="center"/>
                </w:tcPr>
                <w:p>
                  <w:pPr>
                    <w:spacing w:line="360" w:lineRule="exact"/>
                    <w:jc w:val="center"/>
                  </w:pPr>
                  <w:r>
                    <w:rPr>
                      <w:rStyle w:val="51"/>
                    </w:rPr>
                    <w:t>不达标</w:t>
                  </w:r>
                </w:p>
              </w:tc>
            </w:tr>
          </w:tbl>
          <w:p>
            <w:pPr>
              <w:adjustRightInd w:val="0"/>
              <w:snapToGrid w:val="0"/>
              <w:spacing w:line="460" w:lineRule="exact"/>
              <w:ind w:firstLine="480" w:firstLineChars="200"/>
              <w:rPr>
                <w:color w:val="000000"/>
                <w:sz w:val="24"/>
              </w:rPr>
            </w:pPr>
            <w:r>
              <w:rPr>
                <w:rFonts w:hint="eastAsia"/>
                <w:color w:val="000000"/>
                <w:sz w:val="24"/>
              </w:rPr>
              <w:t>由上表可知SO</w:t>
            </w:r>
            <w:r>
              <w:rPr>
                <w:rFonts w:hint="eastAsia"/>
                <w:color w:val="000000"/>
                <w:sz w:val="24"/>
                <w:vertAlign w:val="subscript"/>
              </w:rPr>
              <w:t>2</w:t>
            </w:r>
            <w:r>
              <w:rPr>
                <w:rFonts w:hint="eastAsia"/>
                <w:color w:val="000000"/>
                <w:sz w:val="24"/>
              </w:rPr>
              <w:t>、NO</w:t>
            </w:r>
            <w:r>
              <w:rPr>
                <w:rFonts w:hint="eastAsia"/>
                <w:color w:val="000000"/>
                <w:sz w:val="24"/>
                <w:vertAlign w:val="subscript"/>
              </w:rPr>
              <w:t>2</w:t>
            </w:r>
            <w:r>
              <w:rPr>
                <w:rFonts w:hint="eastAsia"/>
                <w:color w:val="000000"/>
                <w:sz w:val="24"/>
              </w:rPr>
              <w:t>、CO相应浓度满足《环境空气质量标准》（GB3095-2012）二级标准，PM</w:t>
            </w:r>
            <w:r>
              <w:rPr>
                <w:rFonts w:hint="eastAsia"/>
                <w:color w:val="000000"/>
                <w:sz w:val="24"/>
                <w:vertAlign w:val="subscript"/>
              </w:rPr>
              <w:t>10</w:t>
            </w:r>
            <w:r>
              <w:rPr>
                <w:rFonts w:hint="eastAsia"/>
                <w:color w:val="000000"/>
                <w:sz w:val="24"/>
              </w:rPr>
              <w:t>、PM</w:t>
            </w:r>
            <w:r>
              <w:rPr>
                <w:rFonts w:hint="eastAsia"/>
                <w:color w:val="000000"/>
                <w:sz w:val="24"/>
                <w:vertAlign w:val="subscript"/>
              </w:rPr>
              <w:t>2.5</w:t>
            </w:r>
            <w:r>
              <w:rPr>
                <w:rFonts w:hint="eastAsia"/>
                <w:color w:val="000000"/>
                <w:sz w:val="24"/>
              </w:rPr>
              <w:t>、O</w:t>
            </w:r>
            <w:r>
              <w:rPr>
                <w:rFonts w:hint="eastAsia"/>
                <w:color w:val="000000"/>
                <w:sz w:val="24"/>
                <w:vertAlign w:val="subscript"/>
              </w:rPr>
              <w:t>3</w:t>
            </w:r>
            <w:r>
              <w:rPr>
                <w:rFonts w:hint="eastAsia"/>
                <w:color w:val="000000"/>
                <w:sz w:val="24"/>
              </w:rPr>
              <w:t>相应浓度不满足《环境空气质量标准》（GB3095-2012）二级标准。</w:t>
            </w:r>
          </w:p>
          <w:p>
            <w:pPr>
              <w:adjustRightInd w:val="0"/>
              <w:snapToGrid w:val="0"/>
              <w:spacing w:line="460" w:lineRule="exact"/>
              <w:ind w:firstLine="480" w:firstLineChars="200"/>
              <w:rPr>
                <w:b/>
                <w:bCs/>
                <w:color w:val="000000"/>
                <w:sz w:val="24"/>
              </w:rPr>
            </w:pPr>
            <w:r>
              <w:rPr>
                <w:rFonts w:hint="eastAsia"/>
                <w:color w:val="000000"/>
                <w:sz w:val="24"/>
              </w:rPr>
              <w:t>偃师</w:t>
            </w:r>
            <w:r>
              <w:rPr>
                <w:rFonts w:hint="eastAsia"/>
                <w:color w:val="000000"/>
                <w:sz w:val="24"/>
                <w:lang w:val="en-US" w:eastAsia="zh-CN"/>
              </w:rPr>
              <w:t>区</w:t>
            </w:r>
            <w:r>
              <w:rPr>
                <w:rFonts w:hint="eastAsia"/>
                <w:color w:val="000000"/>
                <w:sz w:val="24"/>
              </w:rPr>
              <w:t>先后出台《偃师区污染防治攻坚战领导小组关于印发2021年大气、水、土壤污染防治攻坚战及农业农村污染治理攻坚战实施方案的通知》（偃环攻坚〔2021〕4号）等一系列措施，预计将不断改善区域大气环境质量。</w:t>
            </w:r>
          </w:p>
          <w:p>
            <w:pPr>
              <w:spacing w:line="460" w:lineRule="exact"/>
              <w:ind w:firstLine="482" w:firstLineChars="200"/>
              <w:rPr>
                <w:b/>
                <w:color w:val="000000"/>
                <w:sz w:val="24"/>
              </w:rPr>
            </w:pPr>
            <w:r>
              <w:rPr>
                <w:b/>
                <w:color w:val="000000"/>
                <w:sz w:val="24"/>
              </w:rPr>
              <w:t>3、特征污染物环境质量现状</w:t>
            </w:r>
          </w:p>
          <w:p>
            <w:pPr>
              <w:pStyle w:val="46"/>
            </w:pPr>
            <w:r>
              <w:t>为了解项目所在区域其他污染因子的环境质量现状，</w:t>
            </w:r>
            <w:r>
              <w:rPr>
                <w:rFonts w:hint="eastAsia"/>
              </w:rPr>
              <w:t>本次评价借用区域内《洛阳睿曼实业有限公司校用设备迁建项目》中的监测数据，监测时间为2021年2月17日~2月23日，监测点为大屯村，位于本项目南侧120</w:t>
            </w:r>
            <w:r>
              <w:rPr>
                <w:rFonts w:hint="eastAsia"/>
                <w:lang w:val="en-US" w:eastAsia="zh-CN"/>
              </w:rPr>
              <w:t>m</w:t>
            </w:r>
            <w:r>
              <w:rPr>
                <w:rFonts w:hint="eastAsia"/>
              </w:rPr>
              <w:t>处，检测因子为非甲烷总烃，</w:t>
            </w:r>
            <w:r>
              <w:t>具体监测结果见</w:t>
            </w:r>
            <w:r>
              <w:rPr>
                <w:rFonts w:hint="eastAsia"/>
              </w:rPr>
              <w:t>下</w:t>
            </w:r>
            <w:r>
              <w:t>表。</w:t>
            </w:r>
          </w:p>
          <w:p>
            <w:pPr>
              <w:pStyle w:val="6"/>
              <w:numPr>
                <w:ilvl w:val="0"/>
                <w:numId w:val="0"/>
              </w:numPr>
              <w:ind w:firstLine="482" w:firstLineChars="200"/>
              <w:rPr>
                <w:bCs/>
                <w:color w:val="000000"/>
              </w:rPr>
            </w:pPr>
            <w:r>
              <w:rPr>
                <w:rFonts w:hint="eastAsia"/>
                <w:bCs/>
                <w:color w:val="000000"/>
              </w:rPr>
              <w:t>表</w:t>
            </w:r>
            <w:r>
              <w:rPr>
                <w:rFonts w:hint="eastAsia"/>
                <w:bCs/>
                <w:color w:val="000000"/>
                <w:lang w:val="en-US" w:eastAsia="zh-CN"/>
              </w:rPr>
              <w:t>16</w:t>
            </w:r>
            <w:r>
              <w:rPr>
                <w:bCs/>
                <w:color w:val="000000"/>
              </w:rPr>
              <w:t xml:space="preserve">            特征污染物现状监测结果表          </w:t>
            </w:r>
            <w:r>
              <w:rPr>
                <w:bCs/>
                <w:color w:val="000000"/>
                <w:sz w:val="21"/>
                <w:szCs w:val="21"/>
              </w:rPr>
              <w:t xml:space="preserve"> </w:t>
            </w:r>
            <w:r>
              <w:rPr>
                <w:color w:val="000000"/>
                <w:sz w:val="21"/>
                <w:szCs w:val="21"/>
              </w:rPr>
              <w:t>单位：mg/m</w:t>
            </w:r>
            <w:r>
              <w:rPr>
                <w:color w:val="000000"/>
                <w:sz w:val="21"/>
                <w:szCs w:val="21"/>
                <w:vertAlign w:val="superscript"/>
              </w:rPr>
              <w:t>3</w:t>
            </w:r>
          </w:p>
          <w:tbl>
            <w:tblPr>
              <w:tblStyle w:val="19"/>
              <w:tblW w:w="4998" w:type="pct"/>
              <w:tblInd w:w="0" w:type="dxa"/>
              <w:tblLayout w:type="autofit"/>
              <w:tblCellMar>
                <w:top w:w="0" w:type="dxa"/>
                <w:left w:w="108" w:type="dxa"/>
                <w:bottom w:w="0" w:type="dxa"/>
                <w:right w:w="108" w:type="dxa"/>
              </w:tblCellMar>
            </w:tblPr>
            <w:tblGrid>
              <w:gridCol w:w="1256"/>
              <w:gridCol w:w="1342"/>
              <w:gridCol w:w="1748"/>
              <w:gridCol w:w="1190"/>
              <w:gridCol w:w="1196"/>
              <w:gridCol w:w="1748"/>
            </w:tblGrid>
            <w:tr>
              <w:tblPrEx>
                <w:tblCellMar>
                  <w:top w:w="0" w:type="dxa"/>
                  <w:left w:w="108" w:type="dxa"/>
                  <w:bottom w:w="0" w:type="dxa"/>
                  <w:right w:w="108" w:type="dxa"/>
                </w:tblCellMar>
              </w:tblPrEx>
              <w:trPr>
                <w:trHeight w:val="23" w:hRule="atLeast"/>
              </w:trPr>
              <w:tc>
                <w:tcPr>
                  <w:tcW w:w="740"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szCs w:val="21"/>
                    </w:rPr>
                  </w:pPr>
                  <w:r>
                    <w:rPr>
                      <w:szCs w:val="21"/>
                    </w:rPr>
                    <w:t>监测点</w:t>
                  </w:r>
                </w:p>
              </w:tc>
              <w:tc>
                <w:tcPr>
                  <w:tcW w:w="791" w:type="pct"/>
                  <w:tcBorders>
                    <w:top w:val="single" w:color="auto" w:sz="4" w:space="0"/>
                    <w:left w:val="nil"/>
                    <w:bottom w:val="single" w:color="auto" w:sz="4" w:space="0"/>
                    <w:right w:val="single" w:color="auto" w:sz="4" w:space="0"/>
                  </w:tcBorders>
                  <w:vAlign w:val="center"/>
                </w:tcPr>
                <w:p>
                  <w:pPr>
                    <w:spacing w:line="320" w:lineRule="exact"/>
                    <w:jc w:val="center"/>
                    <w:rPr>
                      <w:szCs w:val="21"/>
                    </w:rPr>
                  </w:pPr>
                  <w:r>
                    <w:rPr>
                      <w:rFonts w:hint="eastAsia"/>
                      <w:szCs w:val="21"/>
                    </w:rPr>
                    <w:t>监测因子</w:t>
                  </w:r>
                </w:p>
              </w:tc>
              <w:tc>
                <w:tcPr>
                  <w:tcW w:w="1030" w:type="pct"/>
                  <w:tcBorders>
                    <w:top w:val="single" w:color="auto" w:sz="4" w:space="0"/>
                    <w:left w:val="nil"/>
                    <w:bottom w:val="single" w:color="auto" w:sz="4" w:space="0"/>
                    <w:right w:val="single" w:color="auto" w:sz="4" w:space="0"/>
                  </w:tcBorders>
                  <w:vAlign w:val="center"/>
                </w:tcPr>
                <w:p>
                  <w:pPr>
                    <w:spacing w:line="320" w:lineRule="exact"/>
                    <w:jc w:val="center"/>
                    <w:rPr>
                      <w:szCs w:val="21"/>
                    </w:rPr>
                  </w:pPr>
                  <w:r>
                    <w:rPr>
                      <w:szCs w:val="21"/>
                    </w:rPr>
                    <w:t>监测浓度</w:t>
                  </w:r>
                </w:p>
              </w:tc>
              <w:tc>
                <w:tcPr>
                  <w:tcW w:w="701" w:type="pct"/>
                  <w:tcBorders>
                    <w:top w:val="single" w:color="auto" w:sz="4" w:space="0"/>
                    <w:left w:val="nil"/>
                    <w:bottom w:val="single" w:color="auto" w:sz="4" w:space="0"/>
                    <w:right w:val="single" w:color="auto" w:sz="4" w:space="0"/>
                  </w:tcBorders>
                  <w:vAlign w:val="center"/>
                </w:tcPr>
                <w:p>
                  <w:pPr>
                    <w:spacing w:line="320" w:lineRule="exact"/>
                    <w:jc w:val="center"/>
                    <w:rPr>
                      <w:szCs w:val="21"/>
                    </w:rPr>
                  </w:pPr>
                  <w:r>
                    <w:rPr>
                      <w:rFonts w:hint="eastAsia"/>
                      <w:szCs w:val="21"/>
                    </w:rPr>
                    <w:t>标准值</w:t>
                  </w:r>
                </w:p>
              </w:tc>
              <w:tc>
                <w:tcPr>
                  <w:tcW w:w="70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超标率(%)</w:t>
                  </w:r>
                </w:p>
              </w:tc>
              <w:tc>
                <w:tcPr>
                  <w:tcW w:w="103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最大超标倍数</w:t>
                  </w:r>
                </w:p>
              </w:tc>
            </w:tr>
            <w:tr>
              <w:tblPrEx>
                <w:tblCellMar>
                  <w:top w:w="0" w:type="dxa"/>
                  <w:left w:w="108" w:type="dxa"/>
                  <w:bottom w:w="0" w:type="dxa"/>
                  <w:right w:w="108" w:type="dxa"/>
                </w:tblCellMar>
              </w:tblPrEx>
              <w:trPr>
                <w:trHeight w:val="90" w:hRule="atLeast"/>
              </w:trPr>
              <w:tc>
                <w:tcPr>
                  <w:tcW w:w="74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大屯村</w:t>
                  </w:r>
                </w:p>
              </w:tc>
              <w:tc>
                <w:tcPr>
                  <w:tcW w:w="791" w:type="pct"/>
                  <w:tcBorders>
                    <w:top w:val="single" w:color="auto" w:sz="4" w:space="0"/>
                    <w:left w:val="nil"/>
                    <w:bottom w:val="single" w:color="auto" w:sz="4" w:space="0"/>
                    <w:right w:val="single" w:color="auto" w:sz="4" w:space="0"/>
                  </w:tcBorders>
                  <w:vAlign w:val="center"/>
                </w:tcPr>
                <w:p>
                  <w:pPr>
                    <w:snapToGrid w:val="0"/>
                    <w:spacing w:line="320" w:lineRule="exact"/>
                    <w:jc w:val="center"/>
                    <w:rPr>
                      <w:szCs w:val="21"/>
                    </w:rPr>
                  </w:pPr>
                  <w:r>
                    <w:rPr>
                      <w:rFonts w:hint="eastAsia"/>
                      <w:szCs w:val="21"/>
                    </w:rPr>
                    <w:t>非甲烷总烃</w:t>
                  </w:r>
                </w:p>
              </w:tc>
              <w:tc>
                <w:tcPr>
                  <w:tcW w:w="1030" w:type="pct"/>
                  <w:tcBorders>
                    <w:top w:val="single" w:color="auto" w:sz="4" w:space="0"/>
                    <w:left w:val="nil"/>
                    <w:bottom w:val="single" w:color="auto" w:sz="4" w:space="0"/>
                    <w:right w:val="single" w:color="auto" w:sz="4" w:space="0"/>
                  </w:tcBorders>
                  <w:vAlign w:val="center"/>
                </w:tcPr>
                <w:p>
                  <w:pPr>
                    <w:pStyle w:val="47"/>
                    <w:spacing w:line="320" w:lineRule="exact"/>
                  </w:pPr>
                  <w:r>
                    <w:rPr>
                      <w:rFonts w:hint="eastAsia"/>
                    </w:rPr>
                    <w:t>0.63~0.79</w:t>
                  </w:r>
                  <w:r>
                    <w:t>mg/m</w:t>
                  </w:r>
                  <w:r>
                    <w:rPr>
                      <w:vertAlign w:val="superscript"/>
                    </w:rPr>
                    <w:t>3</w:t>
                  </w:r>
                </w:p>
              </w:tc>
              <w:tc>
                <w:tcPr>
                  <w:tcW w:w="701" w:type="pct"/>
                  <w:tcBorders>
                    <w:top w:val="single" w:color="auto" w:sz="4" w:space="0"/>
                    <w:left w:val="nil"/>
                    <w:bottom w:val="single" w:color="auto" w:sz="4" w:space="0"/>
                    <w:right w:val="single" w:color="auto" w:sz="4" w:space="0"/>
                  </w:tcBorders>
                  <w:vAlign w:val="center"/>
                </w:tcPr>
                <w:p>
                  <w:pPr>
                    <w:spacing w:line="320" w:lineRule="exact"/>
                    <w:jc w:val="center"/>
                    <w:rPr>
                      <w:szCs w:val="21"/>
                    </w:rPr>
                  </w:pPr>
                  <w:r>
                    <w:rPr>
                      <w:rFonts w:hint="eastAsia"/>
                      <w:szCs w:val="21"/>
                    </w:rPr>
                    <w:t>2</w:t>
                  </w:r>
                </w:p>
              </w:tc>
              <w:tc>
                <w:tcPr>
                  <w:tcW w:w="70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0</w:t>
                  </w:r>
                </w:p>
              </w:tc>
              <w:tc>
                <w:tcPr>
                  <w:tcW w:w="1030"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0</w:t>
                  </w:r>
                </w:p>
              </w:tc>
            </w:tr>
          </w:tbl>
          <w:p>
            <w:pPr>
              <w:spacing w:line="520" w:lineRule="exact"/>
              <w:ind w:firstLine="480" w:firstLineChars="200"/>
              <w:rPr>
                <w:b/>
                <w:bCs/>
                <w:color w:val="000000"/>
                <w:sz w:val="24"/>
              </w:rPr>
            </w:pPr>
            <w:r>
              <w:rPr>
                <w:bCs/>
                <w:color w:val="000000"/>
                <w:sz w:val="24"/>
              </w:rPr>
              <w:t>由上表可知，</w:t>
            </w:r>
            <w:r>
              <w:rPr>
                <w:color w:val="000000"/>
                <w:sz w:val="24"/>
              </w:rPr>
              <w:t>拟建</w:t>
            </w:r>
            <w:r>
              <w:rPr>
                <w:bCs/>
                <w:color w:val="000000"/>
                <w:sz w:val="24"/>
              </w:rPr>
              <w:t>项目评价范围</w:t>
            </w:r>
            <w:r>
              <w:rPr>
                <w:rFonts w:hint="eastAsia"/>
                <w:bCs/>
                <w:color w:val="000000"/>
                <w:sz w:val="24"/>
              </w:rPr>
              <w:t>的</w:t>
            </w:r>
            <w:r>
              <w:rPr>
                <w:color w:val="000000"/>
                <w:sz w:val="24"/>
              </w:rPr>
              <w:t>特征污染因子非甲烷总烃</w:t>
            </w:r>
            <w:r>
              <w:rPr>
                <w:rFonts w:hint="eastAsia"/>
                <w:bCs/>
                <w:color w:val="000000"/>
                <w:sz w:val="24"/>
              </w:rPr>
              <w:t>1小时平均浓度满足《大气污染物综合排放标准详解》中非甲烷总烃≤2mg/m</w:t>
            </w:r>
            <w:r>
              <w:rPr>
                <w:rFonts w:hint="eastAsia"/>
                <w:bCs/>
                <w:color w:val="000000"/>
                <w:sz w:val="24"/>
                <w:vertAlign w:val="superscript"/>
              </w:rPr>
              <w:t>3</w:t>
            </w:r>
            <w:r>
              <w:rPr>
                <w:rFonts w:hint="eastAsia"/>
                <w:bCs/>
                <w:color w:val="000000"/>
                <w:sz w:val="24"/>
              </w:rPr>
              <w:t>的要求。</w:t>
            </w:r>
          </w:p>
          <w:p>
            <w:pPr>
              <w:spacing w:line="460" w:lineRule="exact"/>
              <w:ind w:firstLine="482" w:firstLineChars="200"/>
              <w:rPr>
                <w:b/>
                <w:bCs/>
                <w:color w:val="000000"/>
                <w:sz w:val="24"/>
                <w:szCs w:val="20"/>
              </w:rPr>
            </w:pPr>
            <w:r>
              <w:rPr>
                <w:rFonts w:hint="eastAsia"/>
                <w:b/>
                <w:bCs/>
                <w:color w:val="000000"/>
                <w:sz w:val="24"/>
                <w:szCs w:val="20"/>
              </w:rPr>
              <w:t>二</w:t>
            </w:r>
            <w:r>
              <w:rPr>
                <w:b/>
                <w:bCs/>
                <w:color w:val="000000"/>
                <w:sz w:val="24"/>
                <w:szCs w:val="20"/>
              </w:rPr>
              <w:t>、地表水质量现状</w:t>
            </w:r>
          </w:p>
          <w:p>
            <w:pPr>
              <w:spacing w:line="460" w:lineRule="exact"/>
              <w:ind w:firstLine="480" w:firstLineChars="200"/>
              <w:rPr>
                <w:b/>
                <w:bCs/>
                <w:color w:val="000000"/>
                <w:sz w:val="24"/>
              </w:rPr>
            </w:pPr>
            <w:r>
              <w:rPr>
                <w:color w:val="000000"/>
                <w:sz w:val="24"/>
              </w:rPr>
              <w:t>为了解该项目所在区域的地表水环境质量现状，本次评价借用洛阳市环境监测站公开发布的20</w:t>
            </w:r>
            <w:r>
              <w:rPr>
                <w:rFonts w:hint="eastAsia"/>
                <w:color w:val="000000"/>
                <w:sz w:val="24"/>
              </w:rPr>
              <w:t>20</w:t>
            </w:r>
            <w:r>
              <w:rPr>
                <w:color w:val="000000"/>
                <w:sz w:val="24"/>
              </w:rPr>
              <w:t>年1-12月份洛阳市环境质量监测月报中的</w:t>
            </w:r>
            <w:r>
              <w:rPr>
                <w:bCs/>
                <w:sz w:val="24"/>
              </w:rPr>
              <w:t>洛河伊洛河汇合口断</w:t>
            </w:r>
            <w:r>
              <w:rPr>
                <w:color w:val="000000"/>
                <w:sz w:val="24"/>
              </w:rPr>
              <w:t>面的环境监测数据进行统计（</w:t>
            </w:r>
            <w:r>
              <w:rPr>
                <w:rFonts w:hint="eastAsia"/>
                <w:color w:val="000000"/>
                <w:sz w:val="24"/>
              </w:rPr>
              <w:t>http://sthj.ly.gov.cn/Info?cateID=28</w:t>
            </w:r>
            <w:r>
              <w:rPr>
                <w:color w:val="000000"/>
                <w:sz w:val="24"/>
              </w:rPr>
              <w:t>）。根据洛阳市地面水环境功能区划分，</w:t>
            </w:r>
            <w:r>
              <w:rPr>
                <w:bCs/>
                <w:sz w:val="24"/>
              </w:rPr>
              <w:t>洛河伊洛河汇合口</w:t>
            </w:r>
            <w:r>
              <w:rPr>
                <w:color w:val="000000"/>
                <w:sz w:val="24"/>
              </w:rPr>
              <w:t>断面执行《地表水环境质量标准》（GB3838-2002）Ⅲ类标准</w:t>
            </w:r>
            <w:r>
              <w:rPr>
                <w:rFonts w:hint="eastAsia"/>
                <w:color w:val="000000"/>
                <w:sz w:val="24"/>
              </w:rPr>
              <w:t>，</w:t>
            </w:r>
            <w:r>
              <w:rPr>
                <w:color w:val="000000"/>
                <w:sz w:val="24"/>
              </w:rPr>
              <w:t>监测结果见</w:t>
            </w:r>
            <w:r>
              <w:rPr>
                <w:rFonts w:hint="eastAsia"/>
                <w:color w:val="000000"/>
                <w:sz w:val="24"/>
              </w:rPr>
              <w:t>下</w:t>
            </w:r>
            <w:r>
              <w:rPr>
                <w:color w:val="000000"/>
                <w:sz w:val="24"/>
              </w:rPr>
              <w:t>表</w:t>
            </w:r>
            <w:r>
              <w:rPr>
                <w:bCs/>
                <w:color w:val="000000"/>
                <w:sz w:val="24"/>
              </w:rPr>
              <w:t>。</w:t>
            </w:r>
          </w:p>
          <w:p>
            <w:pPr>
              <w:adjustRightInd w:val="0"/>
              <w:spacing w:line="460" w:lineRule="exact"/>
              <w:ind w:firstLine="482" w:firstLineChars="200"/>
              <w:rPr>
                <w:b/>
                <w:color w:val="000000"/>
                <w:kern w:val="0"/>
                <w:sz w:val="24"/>
              </w:rPr>
            </w:pPr>
            <w:r>
              <w:rPr>
                <w:rFonts w:hint="eastAsia"/>
                <w:b/>
                <w:bCs/>
                <w:color w:val="000000"/>
                <w:kern w:val="0"/>
                <w:sz w:val="24"/>
              </w:rPr>
              <w:t>表</w:t>
            </w:r>
            <w:r>
              <w:rPr>
                <w:rFonts w:hint="eastAsia"/>
                <w:b/>
                <w:bCs/>
                <w:color w:val="000000"/>
                <w:kern w:val="0"/>
                <w:sz w:val="24"/>
                <w:lang w:val="en-US" w:eastAsia="zh-CN"/>
              </w:rPr>
              <w:t>17</w:t>
            </w:r>
            <w:r>
              <w:rPr>
                <w:b/>
                <w:bCs/>
                <w:color w:val="000000"/>
                <w:kern w:val="0"/>
                <w:sz w:val="24"/>
              </w:rPr>
              <w:t xml:space="preserve">          </w:t>
            </w:r>
            <w:r>
              <w:rPr>
                <w:rFonts w:hint="eastAsia"/>
                <w:b/>
                <w:bCs/>
                <w:color w:val="000000"/>
                <w:kern w:val="0"/>
                <w:sz w:val="24"/>
              </w:rPr>
              <w:t>伊洛河汇合处</w:t>
            </w:r>
            <w:r>
              <w:rPr>
                <w:b/>
                <w:bCs/>
                <w:color w:val="000000"/>
                <w:kern w:val="0"/>
                <w:sz w:val="24"/>
              </w:rPr>
              <w:t xml:space="preserve">控制断面监测结果       </w:t>
            </w:r>
            <w:r>
              <w:rPr>
                <w:b/>
                <w:bCs/>
                <w:color w:val="000000"/>
                <w:kern w:val="0"/>
                <w:szCs w:val="21"/>
              </w:rPr>
              <w:t>单位：mg/L</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1"/>
              <w:gridCol w:w="751"/>
              <w:gridCol w:w="983"/>
              <w:gridCol w:w="785"/>
              <w:gridCol w:w="834"/>
              <w:gridCol w:w="805"/>
              <w:gridCol w:w="834"/>
              <w:gridCol w:w="788"/>
              <w:gridCol w:w="75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restart"/>
                  <w:vAlign w:val="center"/>
                </w:tcPr>
                <w:p>
                  <w:pPr>
                    <w:adjustRightInd w:val="0"/>
                    <w:snapToGrid w:val="0"/>
                    <w:jc w:val="center"/>
                    <w:rPr>
                      <w:szCs w:val="21"/>
                    </w:rPr>
                  </w:pPr>
                  <w:r>
                    <w:rPr>
                      <w:szCs w:val="21"/>
                    </w:rPr>
                    <w:t>时间</w:t>
                  </w:r>
                </w:p>
              </w:tc>
              <w:tc>
                <w:tcPr>
                  <w:tcW w:w="1487" w:type="pct"/>
                  <w:gridSpan w:val="3"/>
                  <w:vAlign w:val="center"/>
                </w:tcPr>
                <w:p>
                  <w:pPr>
                    <w:adjustRightInd w:val="0"/>
                    <w:snapToGrid w:val="0"/>
                    <w:jc w:val="center"/>
                    <w:rPr>
                      <w:szCs w:val="21"/>
                    </w:rPr>
                  </w:pPr>
                  <w:r>
                    <w:rPr>
                      <w:szCs w:val="21"/>
                    </w:rPr>
                    <w:t>COD</w:t>
                  </w:r>
                </w:p>
              </w:tc>
              <w:tc>
                <w:tcPr>
                  <w:tcW w:w="1459" w:type="pct"/>
                  <w:gridSpan w:val="3"/>
                  <w:vAlign w:val="center"/>
                </w:tcPr>
                <w:p>
                  <w:pPr>
                    <w:adjustRightInd w:val="0"/>
                    <w:snapToGrid w:val="0"/>
                    <w:jc w:val="center"/>
                    <w:rPr>
                      <w:szCs w:val="21"/>
                    </w:rPr>
                  </w:pPr>
                  <w:r>
                    <w:rPr>
                      <w:szCs w:val="21"/>
                    </w:rPr>
                    <w:t>NH</w:t>
                  </w:r>
                  <w:r>
                    <w:rPr>
                      <w:szCs w:val="21"/>
                      <w:vertAlign w:val="subscript"/>
                    </w:rPr>
                    <w:t>3</w:t>
                  </w:r>
                  <w:r>
                    <w:rPr>
                      <w:szCs w:val="21"/>
                    </w:rPr>
                    <w:t>-N</w:t>
                  </w:r>
                </w:p>
              </w:tc>
              <w:tc>
                <w:tcPr>
                  <w:tcW w:w="1378" w:type="pct"/>
                  <w:gridSpan w:val="3"/>
                  <w:vAlign w:val="center"/>
                </w:tcPr>
                <w:p>
                  <w:pPr>
                    <w:adjustRightInd w:val="0"/>
                    <w:snapToGrid w:val="0"/>
                    <w:jc w:val="center"/>
                    <w:rPr>
                      <w:szCs w:val="21"/>
                    </w:rPr>
                  </w:pPr>
                  <w:r>
                    <w:rPr>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Merge w:val="continue"/>
                  <w:vAlign w:val="center"/>
                </w:tcPr>
                <w:p>
                  <w:pPr>
                    <w:adjustRightInd w:val="0"/>
                    <w:snapToGrid w:val="0"/>
                    <w:jc w:val="center"/>
                    <w:rPr>
                      <w:szCs w:val="21"/>
                    </w:rPr>
                  </w:pPr>
                </w:p>
              </w:tc>
              <w:tc>
                <w:tcPr>
                  <w:tcW w:w="444" w:type="pct"/>
                  <w:vAlign w:val="center"/>
                </w:tcPr>
                <w:p>
                  <w:pPr>
                    <w:adjustRightInd w:val="0"/>
                    <w:snapToGrid w:val="0"/>
                    <w:jc w:val="center"/>
                    <w:rPr>
                      <w:szCs w:val="21"/>
                    </w:rPr>
                  </w:pPr>
                  <w:r>
                    <w:rPr>
                      <w:szCs w:val="21"/>
                    </w:rPr>
                    <w:t>监测值</w:t>
                  </w:r>
                </w:p>
              </w:tc>
              <w:tc>
                <w:tcPr>
                  <w:tcW w:w="580" w:type="pct"/>
                  <w:vAlign w:val="center"/>
                </w:tcPr>
                <w:p>
                  <w:pPr>
                    <w:adjustRightInd w:val="0"/>
                    <w:snapToGrid w:val="0"/>
                    <w:jc w:val="center"/>
                    <w:rPr>
                      <w:szCs w:val="21"/>
                    </w:rPr>
                  </w:pPr>
                  <w:r>
                    <w:rPr>
                      <w:szCs w:val="21"/>
                    </w:rPr>
                    <w:t>Ⅲ类标准</w:t>
                  </w:r>
                </w:p>
              </w:tc>
              <w:tc>
                <w:tcPr>
                  <w:tcW w:w="462" w:type="pct"/>
                  <w:vAlign w:val="center"/>
                </w:tcPr>
                <w:p>
                  <w:pPr>
                    <w:adjustRightInd w:val="0"/>
                    <w:snapToGrid w:val="0"/>
                    <w:jc w:val="center"/>
                    <w:rPr>
                      <w:szCs w:val="21"/>
                    </w:rPr>
                  </w:pPr>
                  <w:r>
                    <w:rPr>
                      <w:szCs w:val="21"/>
                    </w:rPr>
                    <w:t>超标倍数</w:t>
                  </w:r>
                </w:p>
              </w:tc>
              <w:tc>
                <w:tcPr>
                  <w:tcW w:w="492" w:type="pct"/>
                  <w:vAlign w:val="center"/>
                </w:tcPr>
                <w:p>
                  <w:pPr>
                    <w:adjustRightInd w:val="0"/>
                    <w:snapToGrid w:val="0"/>
                    <w:jc w:val="center"/>
                    <w:rPr>
                      <w:szCs w:val="21"/>
                    </w:rPr>
                  </w:pPr>
                  <w:r>
                    <w:rPr>
                      <w:szCs w:val="21"/>
                    </w:rPr>
                    <w:t>监测值</w:t>
                  </w:r>
                </w:p>
              </w:tc>
              <w:tc>
                <w:tcPr>
                  <w:tcW w:w="475" w:type="pct"/>
                  <w:vAlign w:val="center"/>
                </w:tcPr>
                <w:p>
                  <w:pPr>
                    <w:adjustRightInd w:val="0"/>
                    <w:snapToGrid w:val="0"/>
                    <w:jc w:val="center"/>
                    <w:rPr>
                      <w:szCs w:val="21"/>
                    </w:rPr>
                  </w:pPr>
                  <w:r>
                    <w:rPr>
                      <w:szCs w:val="21"/>
                    </w:rPr>
                    <w:t>Ⅲ类标准</w:t>
                  </w:r>
                </w:p>
              </w:tc>
              <w:tc>
                <w:tcPr>
                  <w:tcW w:w="492" w:type="pct"/>
                  <w:vAlign w:val="center"/>
                </w:tcPr>
                <w:p>
                  <w:pPr>
                    <w:adjustRightInd w:val="0"/>
                    <w:snapToGrid w:val="0"/>
                    <w:jc w:val="center"/>
                    <w:rPr>
                      <w:szCs w:val="21"/>
                    </w:rPr>
                  </w:pPr>
                  <w:r>
                    <w:rPr>
                      <w:szCs w:val="21"/>
                    </w:rPr>
                    <w:t>超标倍数</w:t>
                  </w:r>
                </w:p>
              </w:tc>
              <w:tc>
                <w:tcPr>
                  <w:tcW w:w="465" w:type="pct"/>
                  <w:vAlign w:val="center"/>
                </w:tcPr>
                <w:p>
                  <w:pPr>
                    <w:adjustRightInd w:val="0"/>
                    <w:snapToGrid w:val="0"/>
                    <w:jc w:val="center"/>
                    <w:rPr>
                      <w:szCs w:val="21"/>
                    </w:rPr>
                  </w:pPr>
                  <w:r>
                    <w:rPr>
                      <w:szCs w:val="21"/>
                    </w:rPr>
                    <w:t>监测值</w:t>
                  </w:r>
                </w:p>
              </w:tc>
              <w:tc>
                <w:tcPr>
                  <w:tcW w:w="448" w:type="pct"/>
                  <w:vAlign w:val="center"/>
                </w:tcPr>
                <w:p>
                  <w:pPr>
                    <w:adjustRightInd w:val="0"/>
                    <w:snapToGrid w:val="0"/>
                    <w:jc w:val="center"/>
                    <w:rPr>
                      <w:szCs w:val="21"/>
                    </w:rPr>
                  </w:pPr>
                  <w:r>
                    <w:rPr>
                      <w:szCs w:val="21"/>
                    </w:rPr>
                    <w:t>Ⅲ类标准</w:t>
                  </w:r>
                </w:p>
              </w:tc>
              <w:tc>
                <w:tcPr>
                  <w:tcW w:w="465" w:type="pct"/>
                  <w:vAlign w:val="center"/>
                </w:tcPr>
                <w:p>
                  <w:pPr>
                    <w:adjustRightInd w:val="0"/>
                    <w:snapToGrid w:val="0"/>
                    <w:jc w:val="center"/>
                    <w:rPr>
                      <w:szCs w:val="21"/>
                    </w:rPr>
                  </w:pPr>
                  <w:r>
                    <w:rPr>
                      <w:szCs w:val="21"/>
                    </w:rPr>
                    <w:t>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rFonts w:hint="eastAsia"/>
                      <w:szCs w:val="21"/>
                    </w:rPr>
                    <w:t>2020.01</w:t>
                  </w:r>
                </w:p>
              </w:tc>
              <w:tc>
                <w:tcPr>
                  <w:tcW w:w="444" w:type="pct"/>
                  <w:vAlign w:val="center"/>
                </w:tcPr>
                <w:p>
                  <w:pPr>
                    <w:adjustRightInd w:val="0"/>
                    <w:snapToGrid w:val="0"/>
                    <w:jc w:val="center"/>
                    <w:rPr>
                      <w:szCs w:val="21"/>
                    </w:rPr>
                  </w:pPr>
                  <w:r>
                    <w:rPr>
                      <w:szCs w:val="21"/>
                    </w:rPr>
                    <w:t>1</w:t>
                  </w:r>
                  <w:r>
                    <w:rPr>
                      <w:rFonts w:hint="eastAsia"/>
                      <w:szCs w:val="21"/>
                    </w:rPr>
                    <w:t>6</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szCs w:val="21"/>
                    </w:rPr>
                    <w:t>0.</w:t>
                  </w:r>
                  <w:r>
                    <w:rPr>
                      <w:rFonts w:hint="eastAsia"/>
                      <w:szCs w:val="21"/>
                    </w:rPr>
                    <w:t>489</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w:t>
                  </w:r>
                  <w:r>
                    <w:rPr>
                      <w:rFonts w:hint="eastAsia"/>
                      <w:szCs w:val="21"/>
                    </w:rPr>
                    <w:t>076</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20.02</w:t>
                  </w:r>
                </w:p>
              </w:tc>
              <w:tc>
                <w:tcPr>
                  <w:tcW w:w="444" w:type="pct"/>
                  <w:vAlign w:val="center"/>
                </w:tcPr>
                <w:p>
                  <w:pPr>
                    <w:adjustRightInd w:val="0"/>
                    <w:snapToGrid w:val="0"/>
                    <w:jc w:val="center"/>
                    <w:rPr>
                      <w:szCs w:val="21"/>
                    </w:rPr>
                  </w:pPr>
                  <w:r>
                    <w:rPr>
                      <w:rFonts w:hint="eastAsia"/>
                      <w:szCs w:val="21"/>
                    </w:rPr>
                    <w:t>18</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rFonts w:hint="eastAsia"/>
                      <w:szCs w:val="21"/>
                    </w:rPr>
                    <w:t>0.594</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rFonts w:hint="eastAsia"/>
                      <w:szCs w:val="21"/>
                    </w:rPr>
                    <w:t>/</w:t>
                  </w:r>
                </w:p>
              </w:tc>
              <w:tc>
                <w:tcPr>
                  <w:tcW w:w="465" w:type="pct"/>
                  <w:vAlign w:val="center"/>
                </w:tcPr>
                <w:p>
                  <w:pPr>
                    <w:adjustRightInd w:val="0"/>
                    <w:snapToGrid w:val="0"/>
                    <w:jc w:val="center"/>
                    <w:rPr>
                      <w:szCs w:val="21"/>
                    </w:rPr>
                  </w:pPr>
                  <w:r>
                    <w:rPr>
                      <w:szCs w:val="21"/>
                    </w:rPr>
                    <w:t>0.</w:t>
                  </w:r>
                  <w:r>
                    <w:rPr>
                      <w:rFonts w:hint="eastAsia"/>
                      <w:szCs w:val="21"/>
                    </w:rPr>
                    <w:t>054</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20.03</w:t>
                  </w:r>
                </w:p>
              </w:tc>
              <w:tc>
                <w:tcPr>
                  <w:tcW w:w="444" w:type="pct"/>
                  <w:vAlign w:val="center"/>
                </w:tcPr>
                <w:p>
                  <w:pPr>
                    <w:adjustRightInd w:val="0"/>
                    <w:snapToGrid w:val="0"/>
                    <w:jc w:val="center"/>
                    <w:rPr>
                      <w:szCs w:val="21"/>
                    </w:rPr>
                  </w:pPr>
                  <w:r>
                    <w:rPr>
                      <w:rFonts w:hint="eastAsia"/>
                      <w:szCs w:val="21"/>
                    </w:rPr>
                    <w:t>20</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rFonts w:hint="eastAsia"/>
                      <w:szCs w:val="21"/>
                    </w:rPr>
                    <w:t>/</w:t>
                  </w:r>
                </w:p>
              </w:tc>
              <w:tc>
                <w:tcPr>
                  <w:tcW w:w="492" w:type="pct"/>
                  <w:vAlign w:val="center"/>
                </w:tcPr>
                <w:p>
                  <w:pPr>
                    <w:adjustRightInd w:val="0"/>
                    <w:snapToGrid w:val="0"/>
                    <w:jc w:val="center"/>
                    <w:rPr>
                      <w:szCs w:val="21"/>
                    </w:rPr>
                  </w:pPr>
                  <w:r>
                    <w:rPr>
                      <w:rFonts w:hint="eastAsia"/>
                      <w:szCs w:val="21"/>
                    </w:rPr>
                    <w:t>0.331</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rFonts w:hint="eastAsia"/>
                      <w:szCs w:val="21"/>
                    </w:rPr>
                    <w:t>/</w:t>
                  </w:r>
                </w:p>
              </w:tc>
              <w:tc>
                <w:tcPr>
                  <w:tcW w:w="465" w:type="pct"/>
                  <w:vAlign w:val="center"/>
                </w:tcPr>
                <w:p>
                  <w:pPr>
                    <w:adjustRightInd w:val="0"/>
                    <w:snapToGrid w:val="0"/>
                    <w:jc w:val="center"/>
                    <w:rPr>
                      <w:szCs w:val="21"/>
                    </w:rPr>
                  </w:pPr>
                  <w:r>
                    <w:rPr>
                      <w:szCs w:val="21"/>
                    </w:rPr>
                    <w:t>0.</w:t>
                  </w:r>
                  <w:r>
                    <w:rPr>
                      <w:rFonts w:hint="eastAsia"/>
                      <w:szCs w:val="21"/>
                    </w:rPr>
                    <w:t>050</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20.04</w:t>
                  </w:r>
                </w:p>
              </w:tc>
              <w:tc>
                <w:tcPr>
                  <w:tcW w:w="444" w:type="pct"/>
                  <w:vAlign w:val="center"/>
                </w:tcPr>
                <w:p>
                  <w:pPr>
                    <w:adjustRightInd w:val="0"/>
                    <w:snapToGrid w:val="0"/>
                    <w:jc w:val="center"/>
                    <w:rPr>
                      <w:szCs w:val="21"/>
                    </w:rPr>
                  </w:pPr>
                  <w:r>
                    <w:rPr>
                      <w:rFonts w:hint="eastAsia"/>
                      <w:szCs w:val="21"/>
                    </w:rPr>
                    <w:t>20</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szCs w:val="21"/>
                    </w:rPr>
                    <w:t>0.</w:t>
                  </w:r>
                  <w:r>
                    <w:rPr>
                      <w:rFonts w:hint="eastAsia"/>
                      <w:szCs w:val="21"/>
                    </w:rPr>
                    <w:t>26</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w:t>
                  </w:r>
                  <w:r>
                    <w:rPr>
                      <w:rFonts w:hint="eastAsia"/>
                      <w:szCs w:val="21"/>
                    </w:rPr>
                    <w:t>05</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20.05</w:t>
                  </w:r>
                </w:p>
              </w:tc>
              <w:tc>
                <w:tcPr>
                  <w:tcW w:w="444" w:type="pct"/>
                  <w:vAlign w:val="center"/>
                </w:tcPr>
                <w:p>
                  <w:pPr>
                    <w:adjustRightInd w:val="0"/>
                    <w:snapToGrid w:val="0"/>
                    <w:jc w:val="center"/>
                    <w:rPr>
                      <w:szCs w:val="21"/>
                    </w:rPr>
                  </w:pPr>
                  <w:r>
                    <w:rPr>
                      <w:rFonts w:hint="eastAsia"/>
                      <w:szCs w:val="21"/>
                    </w:rPr>
                    <w:t>18</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rFonts w:hint="eastAsia"/>
                      <w:szCs w:val="21"/>
                    </w:rPr>
                    <w:t>/</w:t>
                  </w:r>
                </w:p>
              </w:tc>
              <w:tc>
                <w:tcPr>
                  <w:tcW w:w="492" w:type="pct"/>
                  <w:vAlign w:val="center"/>
                </w:tcPr>
                <w:p>
                  <w:pPr>
                    <w:adjustRightInd w:val="0"/>
                    <w:snapToGrid w:val="0"/>
                    <w:jc w:val="center"/>
                    <w:rPr>
                      <w:szCs w:val="21"/>
                    </w:rPr>
                  </w:pPr>
                  <w:r>
                    <w:rPr>
                      <w:rFonts w:hint="eastAsia"/>
                      <w:szCs w:val="21"/>
                    </w:rPr>
                    <w:t>0.520</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rFonts w:hint="eastAsia"/>
                      <w:szCs w:val="21"/>
                    </w:rPr>
                    <w:t>/</w:t>
                  </w:r>
                </w:p>
              </w:tc>
              <w:tc>
                <w:tcPr>
                  <w:tcW w:w="465" w:type="pct"/>
                  <w:vAlign w:val="center"/>
                </w:tcPr>
                <w:p>
                  <w:pPr>
                    <w:adjustRightInd w:val="0"/>
                    <w:snapToGrid w:val="0"/>
                    <w:jc w:val="center"/>
                    <w:rPr>
                      <w:szCs w:val="21"/>
                    </w:rPr>
                  </w:pPr>
                  <w:r>
                    <w:rPr>
                      <w:szCs w:val="21"/>
                    </w:rPr>
                    <w:t>0.</w:t>
                  </w:r>
                  <w:r>
                    <w:rPr>
                      <w:rFonts w:hint="eastAsia"/>
                      <w:szCs w:val="21"/>
                    </w:rPr>
                    <w:t>09</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20.06</w:t>
                  </w:r>
                </w:p>
              </w:tc>
              <w:tc>
                <w:tcPr>
                  <w:tcW w:w="444" w:type="pct"/>
                  <w:vAlign w:val="center"/>
                </w:tcPr>
                <w:p>
                  <w:pPr>
                    <w:adjustRightInd w:val="0"/>
                    <w:snapToGrid w:val="0"/>
                    <w:jc w:val="center"/>
                    <w:rPr>
                      <w:szCs w:val="21"/>
                    </w:rPr>
                  </w:pPr>
                  <w:r>
                    <w:rPr>
                      <w:rFonts w:hint="eastAsia"/>
                      <w:szCs w:val="21"/>
                    </w:rPr>
                    <w:t>20</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szCs w:val="21"/>
                    </w:rPr>
                    <w:t>0.</w:t>
                  </w:r>
                  <w:r>
                    <w:rPr>
                      <w:rFonts w:hint="eastAsia"/>
                      <w:szCs w:val="21"/>
                    </w:rPr>
                    <w:t>410</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w:t>
                  </w:r>
                  <w:r>
                    <w:rPr>
                      <w:rFonts w:hint="eastAsia"/>
                      <w:szCs w:val="21"/>
                    </w:rPr>
                    <w:t>05</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20.07</w:t>
                  </w:r>
                </w:p>
              </w:tc>
              <w:tc>
                <w:tcPr>
                  <w:tcW w:w="4325" w:type="pct"/>
                  <w:gridSpan w:val="9"/>
                  <w:vAlign w:val="center"/>
                </w:tcPr>
                <w:p>
                  <w:pPr>
                    <w:adjustRightInd w:val="0"/>
                    <w:snapToGrid w:val="0"/>
                    <w:jc w:val="cente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20.08</w:t>
                  </w:r>
                </w:p>
              </w:tc>
              <w:tc>
                <w:tcPr>
                  <w:tcW w:w="4325" w:type="pct"/>
                  <w:gridSpan w:val="9"/>
                  <w:vAlign w:val="center"/>
                </w:tcPr>
                <w:p>
                  <w:pPr>
                    <w:adjustRightInd w:val="0"/>
                    <w:snapToGrid w:val="0"/>
                    <w:jc w:val="cente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w:t>
                  </w:r>
                  <w:r>
                    <w:rPr>
                      <w:szCs w:val="21"/>
                    </w:rPr>
                    <w:t>.</w:t>
                  </w:r>
                  <w:r>
                    <w:rPr>
                      <w:rFonts w:hint="eastAsia"/>
                      <w:szCs w:val="21"/>
                    </w:rPr>
                    <w:t>09</w:t>
                  </w:r>
                </w:p>
              </w:tc>
              <w:tc>
                <w:tcPr>
                  <w:tcW w:w="444" w:type="pct"/>
                  <w:vAlign w:val="center"/>
                </w:tcPr>
                <w:p>
                  <w:pPr>
                    <w:adjustRightInd w:val="0"/>
                    <w:snapToGrid w:val="0"/>
                    <w:jc w:val="center"/>
                    <w:rPr>
                      <w:szCs w:val="21"/>
                    </w:rPr>
                  </w:pPr>
                  <w:r>
                    <w:rPr>
                      <w:rFonts w:hint="eastAsia"/>
                      <w:szCs w:val="21"/>
                    </w:rPr>
                    <w:t>9</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rFonts w:hint="eastAsia"/>
                      <w:szCs w:val="21"/>
                    </w:rPr>
                    <w:t>0.15</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0.0</w:t>
                  </w:r>
                  <w:r>
                    <w:rPr>
                      <w:rFonts w:hint="eastAsia"/>
                      <w:szCs w:val="21"/>
                    </w:rPr>
                    <w:t>4</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w:t>
                  </w:r>
                  <w:r>
                    <w:rPr>
                      <w:szCs w:val="21"/>
                    </w:rPr>
                    <w:t>.10</w:t>
                  </w:r>
                </w:p>
              </w:tc>
              <w:tc>
                <w:tcPr>
                  <w:tcW w:w="444" w:type="pct"/>
                  <w:vAlign w:val="center"/>
                </w:tcPr>
                <w:p>
                  <w:pPr>
                    <w:adjustRightInd w:val="0"/>
                    <w:snapToGrid w:val="0"/>
                    <w:jc w:val="center"/>
                    <w:rPr>
                      <w:szCs w:val="21"/>
                    </w:rPr>
                  </w:pPr>
                  <w:r>
                    <w:rPr>
                      <w:szCs w:val="21"/>
                    </w:rPr>
                    <w:t>1</w:t>
                  </w:r>
                  <w:r>
                    <w:rPr>
                      <w:rFonts w:hint="eastAsia"/>
                      <w:szCs w:val="21"/>
                    </w:rPr>
                    <w:t>7</w:t>
                  </w:r>
                </w:p>
              </w:tc>
              <w:tc>
                <w:tcPr>
                  <w:tcW w:w="580" w:type="pct"/>
                  <w:vAlign w:val="center"/>
                </w:tcPr>
                <w:p>
                  <w:pPr>
                    <w:adjustRightInd w:val="0"/>
                    <w:snapToGrid w:val="0"/>
                    <w:jc w:val="center"/>
                    <w:rPr>
                      <w:szCs w:val="21"/>
                    </w:rPr>
                  </w:pPr>
                  <w:r>
                    <w:rPr>
                      <w:szCs w:val="21"/>
                    </w:rPr>
                    <w:t>20</w:t>
                  </w:r>
                </w:p>
              </w:tc>
              <w:tc>
                <w:tcPr>
                  <w:tcW w:w="462" w:type="pct"/>
                  <w:vAlign w:val="center"/>
                </w:tcPr>
                <w:p>
                  <w:pPr>
                    <w:adjustRightInd w:val="0"/>
                    <w:snapToGrid w:val="0"/>
                    <w:jc w:val="center"/>
                    <w:rPr>
                      <w:szCs w:val="21"/>
                    </w:rPr>
                  </w:pPr>
                  <w:r>
                    <w:rPr>
                      <w:szCs w:val="21"/>
                    </w:rPr>
                    <w:t>/</w:t>
                  </w:r>
                </w:p>
              </w:tc>
              <w:tc>
                <w:tcPr>
                  <w:tcW w:w="492" w:type="pct"/>
                  <w:vAlign w:val="center"/>
                </w:tcPr>
                <w:p>
                  <w:pPr>
                    <w:adjustRightInd w:val="0"/>
                    <w:snapToGrid w:val="0"/>
                    <w:jc w:val="center"/>
                    <w:rPr>
                      <w:szCs w:val="21"/>
                    </w:rPr>
                  </w:pPr>
                  <w:r>
                    <w:rPr>
                      <w:szCs w:val="21"/>
                    </w:rPr>
                    <w:t>0.1</w:t>
                  </w:r>
                  <w:r>
                    <w:rPr>
                      <w:rFonts w:hint="eastAsia"/>
                      <w:szCs w:val="21"/>
                    </w:rPr>
                    <w:t>8</w:t>
                  </w:r>
                </w:p>
              </w:tc>
              <w:tc>
                <w:tcPr>
                  <w:tcW w:w="475" w:type="pct"/>
                  <w:vAlign w:val="center"/>
                </w:tcPr>
                <w:p>
                  <w:pPr>
                    <w:adjustRightInd w:val="0"/>
                    <w:snapToGrid w:val="0"/>
                    <w:jc w:val="center"/>
                    <w:rPr>
                      <w:szCs w:val="21"/>
                    </w:rPr>
                  </w:pPr>
                  <w:r>
                    <w:rPr>
                      <w:szCs w:val="21"/>
                    </w:rPr>
                    <w:t>1.0</w:t>
                  </w:r>
                </w:p>
              </w:tc>
              <w:tc>
                <w:tcPr>
                  <w:tcW w:w="492" w:type="pct"/>
                  <w:vAlign w:val="center"/>
                </w:tcPr>
                <w:p>
                  <w:pPr>
                    <w:adjustRightInd w:val="0"/>
                    <w:snapToGrid w:val="0"/>
                    <w:jc w:val="center"/>
                    <w:rPr>
                      <w:szCs w:val="21"/>
                    </w:rPr>
                  </w:pPr>
                  <w:r>
                    <w:rPr>
                      <w:szCs w:val="21"/>
                    </w:rPr>
                    <w:t>/</w:t>
                  </w:r>
                </w:p>
              </w:tc>
              <w:tc>
                <w:tcPr>
                  <w:tcW w:w="465" w:type="pct"/>
                  <w:vAlign w:val="center"/>
                </w:tcPr>
                <w:p>
                  <w:pPr>
                    <w:adjustRightInd w:val="0"/>
                    <w:snapToGrid w:val="0"/>
                    <w:jc w:val="center"/>
                    <w:rPr>
                      <w:szCs w:val="21"/>
                    </w:rPr>
                  </w:pPr>
                  <w:r>
                    <w:rPr>
                      <w:szCs w:val="21"/>
                    </w:rPr>
                    <w:t>0.0</w:t>
                  </w:r>
                  <w:r>
                    <w:rPr>
                      <w:rFonts w:hint="eastAsia"/>
                      <w:szCs w:val="21"/>
                    </w:rPr>
                    <w:t>4</w:t>
                  </w:r>
                </w:p>
              </w:tc>
              <w:tc>
                <w:tcPr>
                  <w:tcW w:w="448" w:type="pct"/>
                  <w:vAlign w:val="center"/>
                </w:tcPr>
                <w:p>
                  <w:pPr>
                    <w:adjustRightInd w:val="0"/>
                    <w:snapToGrid w:val="0"/>
                    <w:jc w:val="center"/>
                    <w:rPr>
                      <w:szCs w:val="21"/>
                    </w:rPr>
                  </w:pPr>
                  <w:r>
                    <w:rPr>
                      <w:szCs w:val="21"/>
                    </w:rPr>
                    <w:t>0.2</w:t>
                  </w:r>
                </w:p>
              </w:tc>
              <w:tc>
                <w:tcPr>
                  <w:tcW w:w="465" w:type="pct"/>
                  <w:vAlign w:val="center"/>
                </w:tcPr>
                <w:p>
                  <w:pPr>
                    <w:adjustRightInd w:val="0"/>
                    <w:snapToGrid w:val="0"/>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w:t>
                  </w:r>
                  <w:r>
                    <w:rPr>
                      <w:szCs w:val="21"/>
                    </w:rPr>
                    <w:t>.11</w:t>
                  </w:r>
                </w:p>
              </w:tc>
              <w:tc>
                <w:tcPr>
                  <w:tcW w:w="4325" w:type="pct"/>
                  <w:gridSpan w:val="9"/>
                  <w:vAlign w:val="center"/>
                </w:tcPr>
                <w:p>
                  <w:pPr>
                    <w:adjustRightInd w:val="0"/>
                    <w:snapToGrid w:val="0"/>
                    <w:jc w:val="center"/>
                    <w:rPr>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4" w:type="pct"/>
                  <w:vAlign w:val="center"/>
                </w:tcPr>
                <w:p>
                  <w:pPr>
                    <w:adjustRightInd w:val="0"/>
                    <w:snapToGrid w:val="0"/>
                    <w:jc w:val="center"/>
                    <w:rPr>
                      <w:szCs w:val="21"/>
                    </w:rPr>
                  </w:pPr>
                  <w:r>
                    <w:rPr>
                      <w:szCs w:val="21"/>
                    </w:rPr>
                    <w:t>20</w:t>
                  </w:r>
                  <w:r>
                    <w:rPr>
                      <w:rFonts w:hint="eastAsia"/>
                      <w:szCs w:val="21"/>
                    </w:rPr>
                    <w:t>20.12</w:t>
                  </w:r>
                </w:p>
              </w:tc>
              <w:tc>
                <w:tcPr>
                  <w:tcW w:w="4325" w:type="pct"/>
                  <w:gridSpan w:val="9"/>
                  <w:vAlign w:val="center"/>
                </w:tcPr>
                <w:p>
                  <w:pPr>
                    <w:adjustRightInd w:val="0"/>
                    <w:snapToGrid w:val="0"/>
                    <w:jc w:val="center"/>
                    <w:rPr>
                      <w:szCs w:val="21"/>
                    </w:rPr>
                  </w:pPr>
                  <w:r>
                    <w:rPr>
                      <w:rFonts w:hint="eastAsia"/>
                      <w:szCs w:val="21"/>
                    </w:rPr>
                    <w:t>无</w:t>
                  </w:r>
                </w:p>
              </w:tc>
            </w:tr>
          </w:tbl>
          <w:p>
            <w:pPr>
              <w:spacing w:line="460" w:lineRule="exact"/>
              <w:ind w:firstLine="480" w:firstLineChars="200"/>
              <w:jc w:val="left"/>
              <w:rPr>
                <w:color w:val="000000"/>
                <w:sz w:val="24"/>
              </w:rPr>
            </w:pPr>
            <w:r>
              <w:rPr>
                <w:color w:val="000000"/>
                <w:sz w:val="24"/>
              </w:rPr>
              <w:t>由上表可知，20</w:t>
            </w:r>
            <w:r>
              <w:rPr>
                <w:rFonts w:hint="eastAsia"/>
                <w:color w:val="000000"/>
                <w:sz w:val="24"/>
              </w:rPr>
              <w:t>20</w:t>
            </w:r>
            <w:r>
              <w:rPr>
                <w:color w:val="000000"/>
                <w:sz w:val="24"/>
              </w:rPr>
              <w:t>年1月～20</w:t>
            </w:r>
            <w:r>
              <w:rPr>
                <w:rFonts w:hint="eastAsia"/>
                <w:color w:val="000000"/>
                <w:sz w:val="24"/>
              </w:rPr>
              <w:t>20</w:t>
            </w:r>
            <w:r>
              <w:rPr>
                <w:color w:val="000000"/>
                <w:sz w:val="24"/>
              </w:rPr>
              <w:t>年12月中伊洛河交汇处断面COD</w:t>
            </w:r>
            <w:r>
              <w:rPr>
                <w:rFonts w:hint="eastAsia"/>
                <w:color w:val="000000"/>
                <w:sz w:val="24"/>
              </w:rPr>
              <w:t>、</w:t>
            </w:r>
            <w:r>
              <w:rPr>
                <w:color w:val="000000"/>
                <w:sz w:val="24"/>
              </w:rPr>
              <w:t>NH</w:t>
            </w:r>
            <w:r>
              <w:rPr>
                <w:color w:val="000000"/>
                <w:sz w:val="24"/>
                <w:vertAlign w:val="subscript"/>
              </w:rPr>
              <w:t>3</w:t>
            </w:r>
            <w:r>
              <w:rPr>
                <w:color w:val="000000"/>
                <w:sz w:val="24"/>
              </w:rPr>
              <w:t>-N</w:t>
            </w:r>
            <w:r>
              <w:rPr>
                <w:rFonts w:hint="eastAsia"/>
                <w:color w:val="000000"/>
                <w:sz w:val="24"/>
              </w:rPr>
              <w:t>、</w:t>
            </w:r>
            <w:r>
              <w:rPr>
                <w:color w:val="000000"/>
                <w:sz w:val="24"/>
              </w:rPr>
              <w:t>TP</w:t>
            </w:r>
            <w:r>
              <w:rPr>
                <w:rFonts w:hint="eastAsia"/>
                <w:color w:val="000000"/>
                <w:sz w:val="24"/>
              </w:rPr>
              <w:t>均</w:t>
            </w:r>
            <w:r>
              <w:rPr>
                <w:color w:val="000000"/>
                <w:sz w:val="24"/>
              </w:rPr>
              <w:t>未出现超标，能够满足《地表水环境质量标准》（GB3838-2002）表1中Ⅲ类标准要求。</w:t>
            </w:r>
          </w:p>
          <w:p>
            <w:pPr>
              <w:adjustRightInd w:val="0"/>
              <w:snapToGrid w:val="0"/>
              <w:spacing w:line="460" w:lineRule="exact"/>
              <w:ind w:firstLine="482" w:firstLineChars="200"/>
              <w:rPr>
                <w:b/>
                <w:bCs/>
                <w:color w:val="000000"/>
                <w:sz w:val="24"/>
                <w:szCs w:val="20"/>
              </w:rPr>
            </w:pPr>
            <w:r>
              <w:rPr>
                <w:rFonts w:hint="eastAsia"/>
                <w:b/>
                <w:bCs/>
                <w:color w:val="000000"/>
                <w:sz w:val="24"/>
                <w:szCs w:val="20"/>
                <w:lang w:val="en-US" w:eastAsia="zh-CN"/>
              </w:rPr>
              <w:t>三</w:t>
            </w:r>
            <w:r>
              <w:rPr>
                <w:b/>
                <w:bCs/>
                <w:color w:val="000000"/>
                <w:sz w:val="24"/>
                <w:szCs w:val="20"/>
              </w:rPr>
              <w:t>、生态环境</w:t>
            </w:r>
          </w:p>
          <w:p>
            <w:pPr>
              <w:adjustRightInd w:val="0"/>
              <w:snapToGrid w:val="0"/>
              <w:spacing w:line="460" w:lineRule="exact"/>
              <w:ind w:firstLine="480" w:firstLineChars="200"/>
              <w:jc w:val="left"/>
              <w:rPr>
                <w:color w:val="000000"/>
                <w:sz w:val="24"/>
              </w:rPr>
            </w:pPr>
            <w:r>
              <w:rPr>
                <w:color w:val="000000"/>
                <w:sz w:val="24"/>
              </w:rPr>
              <w:t>经现场调查，本项目周边由于长期人为活动和自然条件的影响，生态环境以人工生态环境为主，区域内主要植物以人工栽培</w:t>
            </w:r>
            <w:r>
              <w:rPr>
                <w:rFonts w:hint="eastAsia"/>
                <w:color w:val="000000"/>
                <w:sz w:val="24"/>
              </w:rPr>
              <w:t>植物</w:t>
            </w:r>
            <w:r>
              <w:rPr>
                <w:color w:val="000000"/>
                <w:sz w:val="24"/>
              </w:rPr>
              <w:t>为主，无野生植被、大型野生动物以及受国家保护的动植物种类</w:t>
            </w:r>
            <w:r>
              <w:rPr>
                <w:rFonts w:hint="eastAsia"/>
                <w:color w:val="000000"/>
                <w:sz w:val="24"/>
              </w:rPr>
              <w:t>，附近无自然生态保护区。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400" w:type="pct"/>
            <w:vAlign w:val="center"/>
          </w:tcPr>
          <w:p>
            <w:pPr>
              <w:spacing w:line="400" w:lineRule="exact"/>
              <w:jc w:val="center"/>
              <w:rPr>
                <w:b/>
                <w:bCs/>
                <w:sz w:val="24"/>
              </w:rPr>
            </w:pPr>
            <w:r>
              <w:rPr>
                <w:b/>
                <w:bCs/>
                <w:sz w:val="24"/>
              </w:rPr>
              <w:t>环境</w:t>
            </w:r>
          </w:p>
          <w:p>
            <w:pPr>
              <w:spacing w:line="400" w:lineRule="exact"/>
              <w:jc w:val="center"/>
              <w:rPr>
                <w:b/>
                <w:bCs/>
                <w:sz w:val="24"/>
              </w:rPr>
            </w:pPr>
            <w:r>
              <w:rPr>
                <w:b/>
                <w:bCs/>
                <w:sz w:val="24"/>
              </w:rPr>
              <w:t>保护</w:t>
            </w:r>
          </w:p>
          <w:p>
            <w:pPr>
              <w:spacing w:line="400" w:lineRule="exact"/>
              <w:jc w:val="center"/>
              <w:rPr>
                <w:b/>
                <w:bCs/>
                <w:sz w:val="28"/>
                <w:szCs w:val="28"/>
              </w:rPr>
            </w:pPr>
            <w:r>
              <w:rPr>
                <w:b/>
                <w:bCs/>
                <w:sz w:val="24"/>
              </w:rPr>
              <w:t>目标</w:t>
            </w:r>
          </w:p>
        </w:tc>
        <w:tc>
          <w:tcPr>
            <w:tcW w:w="4707" w:type="pct"/>
            <w:vAlign w:val="center"/>
          </w:tcPr>
          <w:p>
            <w:pPr>
              <w:spacing w:line="520" w:lineRule="exact"/>
              <w:ind w:firstLine="480" w:firstLineChars="200"/>
              <w:contextualSpacing/>
              <w:jc w:val="left"/>
              <w:textAlignment w:val="baseline"/>
            </w:pPr>
            <w:r>
              <w:rPr>
                <w:color w:val="000000"/>
                <w:sz w:val="24"/>
              </w:rPr>
              <w:t>本</w:t>
            </w:r>
            <w:r>
              <w:rPr>
                <w:rFonts w:hint="eastAsia" w:hAnsi="宋体" w:cs="宋体"/>
                <w:color w:val="000000"/>
                <w:kern w:val="0"/>
                <w:sz w:val="24"/>
                <w:szCs w:val="21"/>
              </w:rPr>
              <w:t>项目厂界外50m范围内无声环境保护目标，厂界外500m范围内也无地下水集中式饮用水水源和热水、矿泉水、温泉等地下水环境保护目标。</w:t>
            </w:r>
            <w:r>
              <w:rPr>
                <w:color w:val="000000"/>
                <w:sz w:val="24"/>
              </w:rPr>
              <w:t>主要环境保护目标见</w:t>
            </w:r>
            <w:r>
              <w:rPr>
                <w:rFonts w:hint="eastAsia"/>
                <w:color w:val="000000"/>
                <w:sz w:val="24"/>
              </w:rPr>
              <w:t>下</w:t>
            </w:r>
            <w:r>
              <w:rPr>
                <w:color w:val="000000"/>
                <w:sz w:val="24"/>
              </w:rPr>
              <w:t>表。</w:t>
            </w:r>
          </w:p>
          <w:p>
            <w:pPr>
              <w:pStyle w:val="6"/>
              <w:numPr>
                <w:ilvl w:val="0"/>
                <w:numId w:val="0"/>
              </w:numPr>
              <w:ind w:firstLine="482" w:firstLineChars="200"/>
              <w:rPr>
                <w:bCs/>
                <w:color w:val="000000"/>
              </w:rPr>
            </w:pPr>
            <w:r>
              <w:rPr>
                <w:rFonts w:hint="eastAsia"/>
                <w:bCs/>
                <w:color w:val="000000"/>
              </w:rPr>
              <w:t>表</w:t>
            </w:r>
            <w:r>
              <w:rPr>
                <w:rFonts w:hint="eastAsia"/>
                <w:bCs/>
                <w:color w:val="000000"/>
                <w:lang w:val="en-US" w:eastAsia="zh-CN"/>
              </w:rPr>
              <w:t>18</w:t>
            </w:r>
            <w:r>
              <w:rPr>
                <w:rFonts w:hint="eastAsia"/>
                <w:bCs/>
                <w:color w:val="000000"/>
              </w:rPr>
              <w:t xml:space="preserve">            本项目主要环境保护目标一览表</w:t>
            </w:r>
          </w:p>
          <w:tbl>
            <w:tblPr>
              <w:tblStyle w:val="19"/>
              <w:tblpPr w:leftFromText="180" w:rightFromText="180" w:vertAnchor="text" w:horzAnchor="page" w:tblpX="88" w:tblpY="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53"/>
              <w:gridCol w:w="849"/>
              <w:gridCol w:w="1553"/>
              <w:gridCol w:w="1463"/>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84" w:type="pct"/>
                  <w:vAlign w:val="center"/>
                </w:tcPr>
                <w:p>
                  <w:pPr>
                    <w:widowControl/>
                    <w:spacing w:line="320" w:lineRule="exact"/>
                    <w:contextualSpacing/>
                    <w:jc w:val="center"/>
                    <w:rPr>
                      <w:kern w:val="0"/>
                      <w:szCs w:val="21"/>
                    </w:rPr>
                  </w:pPr>
                  <w:r>
                    <w:rPr>
                      <w:kern w:val="0"/>
                      <w:szCs w:val="21"/>
                    </w:rPr>
                    <w:t>环境</w:t>
                  </w:r>
                </w:p>
              </w:tc>
              <w:tc>
                <w:tcPr>
                  <w:tcW w:w="739" w:type="pct"/>
                  <w:vAlign w:val="center"/>
                </w:tcPr>
                <w:p>
                  <w:pPr>
                    <w:widowControl/>
                    <w:spacing w:line="320" w:lineRule="exact"/>
                    <w:contextualSpacing/>
                    <w:jc w:val="center"/>
                    <w:rPr>
                      <w:kern w:val="0"/>
                      <w:szCs w:val="21"/>
                    </w:rPr>
                  </w:pPr>
                  <w:r>
                    <w:rPr>
                      <w:kern w:val="0"/>
                      <w:szCs w:val="21"/>
                    </w:rPr>
                    <w:t>保护对象</w:t>
                  </w:r>
                </w:p>
              </w:tc>
              <w:tc>
                <w:tcPr>
                  <w:tcW w:w="501" w:type="pct"/>
                  <w:vAlign w:val="center"/>
                </w:tcPr>
                <w:p>
                  <w:pPr>
                    <w:widowControl/>
                    <w:spacing w:line="320" w:lineRule="exact"/>
                    <w:contextualSpacing/>
                    <w:jc w:val="center"/>
                    <w:rPr>
                      <w:kern w:val="0"/>
                      <w:szCs w:val="21"/>
                    </w:rPr>
                  </w:pPr>
                  <w:r>
                    <w:rPr>
                      <w:kern w:val="0"/>
                      <w:szCs w:val="21"/>
                    </w:rPr>
                    <w:t>方位</w:t>
                  </w:r>
                </w:p>
              </w:tc>
              <w:tc>
                <w:tcPr>
                  <w:tcW w:w="916" w:type="pct"/>
                  <w:vAlign w:val="center"/>
                </w:tcPr>
                <w:p>
                  <w:pPr>
                    <w:widowControl/>
                    <w:spacing w:line="320" w:lineRule="exact"/>
                    <w:contextualSpacing/>
                    <w:jc w:val="center"/>
                    <w:rPr>
                      <w:kern w:val="0"/>
                      <w:szCs w:val="21"/>
                    </w:rPr>
                  </w:pPr>
                  <w:r>
                    <w:rPr>
                      <w:kern w:val="0"/>
                      <w:szCs w:val="21"/>
                    </w:rPr>
                    <w:t>相对厂界距离(m)</w:t>
                  </w:r>
                </w:p>
              </w:tc>
              <w:tc>
                <w:tcPr>
                  <w:tcW w:w="863" w:type="pct"/>
                  <w:vAlign w:val="center"/>
                </w:tcPr>
                <w:p>
                  <w:pPr>
                    <w:widowControl/>
                    <w:spacing w:line="320" w:lineRule="exact"/>
                    <w:contextualSpacing/>
                    <w:jc w:val="center"/>
                    <w:rPr>
                      <w:kern w:val="0"/>
                      <w:szCs w:val="21"/>
                    </w:rPr>
                  </w:pPr>
                  <w:r>
                    <w:rPr>
                      <w:kern w:val="0"/>
                      <w:szCs w:val="21"/>
                    </w:rPr>
                    <w:t>保护对象</w:t>
                  </w:r>
                </w:p>
              </w:tc>
              <w:tc>
                <w:tcPr>
                  <w:tcW w:w="1495" w:type="pct"/>
                  <w:vAlign w:val="center"/>
                </w:tcPr>
                <w:p>
                  <w:pPr>
                    <w:widowControl/>
                    <w:spacing w:line="320" w:lineRule="exact"/>
                    <w:contextualSpacing/>
                    <w:jc w:val="center"/>
                    <w:rPr>
                      <w:kern w:val="0"/>
                      <w:szCs w:val="21"/>
                    </w:rPr>
                  </w:pPr>
                  <w:r>
                    <w:rPr>
                      <w:kern w:val="0"/>
                      <w:szCs w:val="21"/>
                    </w:rPr>
                    <w:t>环境功能区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4" w:type="pct"/>
                  <w:vAlign w:val="center"/>
                </w:tcPr>
                <w:p>
                  <w:pPr>
                    <w:widowControl/>
                    <w:spacing w:line="320" w:lineRule="exact"/>
                    <w:contextualSpacing/>
                    <w:jc w:val="center"/>
                    <w:rPr>
                      <w:kern w:val="0"/>
                      <w:szCs w:val="21"/>
                    </w:rPr>
                  </w:pPr>
                  <w:r>
                    <w:rPr>
                      <w:kern w:val="0"/>
                      <w:szCs w:val="21"/>
                    </w:rPr>
                    <w:t>环境</w:t>
                  </w:r>
                </w:p>
                <w:p>
                  <w:pPr>
                    <w:widowControl/>
                    <w:spacing w:line="320" w:lineRule="exact"/>
                    <w:contextualSpacing/>
                    <w:jc w:val="center"/>
                    <w:rPr>
                      <w:kern w:val="0"/>
                      <w:szCs w:val="21"/>
                    </w:rPr>
                  </w:pPr>
                  <w:r>
                    <w:rPr>
                      <w:kern w:val="0"/>
                      <w:szCs w:val="21"/>
                    </w:rPr>
                    <w:t>空气</w:t>
                  </w:r>
                </w:p>
              </w:tc>
              <w:tc>
                <w:tcPr>
                  <w:tcW w:w="739" w:type="pct"/>
                  <w:vAlign w:val="center"/>
                </w:tcPr>
                <w:p>
                  <w:pPr>
                    <w:widowControl/>
                    <w:adjustRightInd w:val="0"/>
                    <w:snapToGrid w:val="0"/>
                    <w:spacing w:line="320" w:lineRule="exact"/>
                    <w:jc w:val="center"/>
                    <w:rPr>
                      <w:szCs w:val="21"/>
                    </w:rPr>
                  </w:pPr>
                  <w:r>
                    <w:rPr>
                      <w:rFonts w:hint="eastAsia"/>
                      <w:bCs/>
                      <w:szCs w:val="21"/>
                    </w:rPr>
                    <w:t>大屯村</w:t>
                  </w:r>
                </w:p>
              </w:tc>
              <w:tc>
                <w:tcPr>
                  <w:tcW w:w="501" w:type="pct"/>
                  <w:vAlign w:val="center"/>
                </w:tcPr>
                <w:p>
                  <w:pPr>
                    <w:widowControl/>
                    <w:spacing w:line="320" w:lineRule="exact"/>
                    <w:contextualSpacing/>
                    <w:jc w:val="center"/>
                    <w:rPr>
                      <w:kern w:val="0"/>
                      <w:szCs w:val="21"/>
                    </w:rPr>
                  </w:pPr>
                  <w:r>
                    <w:rPr>
                      <w:rFonts w:hint="eastAsia"/>
                      <w:kern w:val="0"/>
                      <w:szCs w:val="21"/>
                    </w:rPr>
                    <w:t>南</w:t>
                  </w:r>
                </w:p>
              </w:tc>
              <w:tc>
                <w:tcPr>
                  <w:tcW w:w="916" w:type="pct"/>
                  <w:vAlign w:val="center"/>
                </w:tcPr>
                <w:p>
                  <w:pPr>
                    <w:spacing w:line="320" w:lineRule="exact"/>
                    <w:contextualSpacing/>
                    <w:jc w:val="center"/>
                    <w:rPr>
                      <w:szCs w:val="21"/>
                    </w:rPr>
                  </w:pPr>
                  <w:r>
                    <w:rPr>
                      <w:rFonts w:hint="eastAsia"/>
                      <w:szCs w:val="21"/>
                    </w:rPr>
                    <w:t>120</w:t>
                  </w:r>
                </w:p>
              </w:tc>
              <w:tc>
                <w:tcPr>
                  <w:tcW w:w="863" w:type="pct"/>
                  <w:vAlign w:val="center"/>
                </w:tcPr>
                <w:p>
                  <w:pPr>
                    <w:spacing w:line="320" w:lineRule="exact"/>
                    <w:contextualSpacing/>
                    <w:jc w:val="center"/>
                    <w:rPr>
                      <w:szCs w:val="21"/>
                    </w:rPr>
                  </w:pPr>
                  <w:r>
                    <w:rPr>
                      <w:rFonts w:hint="eastAsia"/>
                      <w:szCs w:val="21"/>
                    </w:rPr>
                    <w:t>2350人</w:t>
                  </w:r>
                </w:p>
              </w:tc>
              <w:tc>
                <w:tcPr>
                  <w:tcW w:w="1495" w:type="pct"/>
                  <w:vAlign w:val="center"/>
                </w:tcPr>
                <w:p>
                  <w:pPr>
                    <w:widowControl/>
                    <w:spacing w:line="320" w:lineRule="exact"/>
                    <w:contextualSpacing/>
                    <w:jc w:val="center"/>
                    <w:rPr>
                      <w:kern w:val="0"/>
                      <w:szCs w:val="21"/>
                    </w:rPr>
                  </w:pPr>
                  <w:r>
                    <w:rPr>
                      <w:kern w:val="0"/>
                      <w:szCs w:val="21"/>
                    </w:rPr>
                    <w:t>《环境空气质量标准》</w:t>
                  </w:r>
                </w:p>
                <w:p>
                  <w:pPr>
                    <w:spacing w:line="320" w:lineRule="exact"/>
                    <w:contextualSpacing/>
                    <w:jc w:val="center"/>
                    <w:rPr>
                      <w:szCs w:val="21"/>
                    </w:rPr>
                  </w:pPr>
                  <w:r>
                    <w:rPr>
                      <w:kern w:val="0"/>
                      <w:szCs w:val="21"/>
                    </w:rPr>
                    <w:t>（GB3095-2012）二级标准</w:t>
                  </w:r>
                </w:p>
              </w:tc>
            </w:tr>
          </w:tbl>
          <w:p>
            <w:pPr>
              <w:spacing w:line="520" w:lineRule="exact"/>
              <w:ind w:firstLine="480" w:firstLineChars="200"/>
              <w:contextualSpacing/>
              <w:jc w:val="left"/>
              <w:textAlignment w:val="baseline"/>
              <w:rPr>
                <w:color w:val="000000"/>
                <w:sz w:val="24"/>
              </w:rPr>
            </w:pPr>
          </w:p>
          <w:p>
            <w:pPr>
              <w:pStyle w:val="2"/>
            </w:pPr>
          </w:p>
          <w:p>
            <w:pPr>
              <w:spacing w:line="520" w:lineRule="exact"/>
              <w:ind w:firstLine="480" w:firstLineChars="200"/>
              <w:contextualSpacing/>
              <w:jc w:val="left"/>
              <w:textAlignment w:val="baseline"/>
              <w:rPr>
                <w:color w:val="000000"/>
                <w:sz w:val="24"/>
              </w:rPr>
            </w:pPr>
          </w:p>
          <w:p>
            <w:pPr>
              <w:spacing w:line="520" w:lineRule="exact"/>
              <w:ind w:firstLine="480" w:firstLineChars="200"/>
              <w:contextualSpacing/>
              <w:jc w:val="left"/>
              <w:textAlignment w:val="baseline"/>
              <w:rPr>
                <w:color w:val="000000"/>
                <w:sz w:val="24"/>
              </w:rPr>
            </w:pPr>
          </w:p>
          <w:p>
            <w:pPr>
              <w:adjustRightInd w:val="0"/>
              <w:snapToGrid w:val="0"/>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tcMar>
              <w:left w:w="28" w:type="dxa"/>
              <w:right w:w="28" w:type="dxa"/>
            </w:tcMar>
            <w:vAlign w:val="center"/>
          </w:tcPr>
          <w:p>
            <w:pPr>
              <w:spacing w:line="400" w:lineRule="exact"/>
              <w:jc w:val="center"/>
              <w:rPr>
                <w:b/>
                <w:bCs/>
                <w:sz w:val="24"/>
              </w:rPr>
            </w:pPr>
            <w:r>
              <w:rPr>
                <w:b/>
                <w:bCs/>
                <w:sz w:val="24"/>
              </w:rPr>
              <w:t>污染</w:t>
            </w:r>
          </w:p>
          <w:p>
            <w:pPr>
              <w:spacing w:line="400" w:lineRule="exact"/>
              <w:jc w:val="center"/>
              <w:rPr>
                <w:b/>
                <w:bCs/>
                <w:sz w:val="24"/>
              </w:rPr>
            </w:pPr>
            <w:r>
              <w:rPr>
                <w:b/>
                <w:bCs/>
                <w:sz w:val="24"/>
              </w:rPr>
              <w:t>物排</w:t>
            </w:r>
          </w:p>
          <w:p>
            <w:pPr>
              <w:spacing w:line="400" w:lineRule="exact"/>
              <w:jc w:val="center"/>
              <w:rPr>
                <w:b/>
                <w:bCs/>
                <w:sz w:val="24"/>
              </w:rPr>
            </w:pPr>
            <w:r>
              <w:rPr>
                <w:b/>
                <w:bCs/>
                <w:sz w:val="24"/>
              </w:rPr>
              <w:t>放控</w:t>
            </w:r>
          </w:p>
          <w:p>
            <w:pPr>
              <w:spacing w:line="400" w:lineRule="exact"/>
              <w:jc w:val="center"/>
              <w:rPr>
                <w:b/>
                <w:bCs/>
                <w:sz w:val="24"/>
              </w:rPr>
            </w:pPr>
            <w:r>
              <w:rPr>
                <w:b/>
                <w:bCs/>
                <w:sz w:val="24"/>
              </w:rPr>
              <w:t>制标</w:t>
            </w:r>
          </w:p>
          <w:p>
            <w:pPr>
              <w:spacing w:line="400" w:lineRule="exact"/>
              <w:jc w:val="center"/>
              <w:rPr>
                <w:b/>
                <w:bCs/>
                <w:sz w:val="28"/>
                <w:szCs w:val="28"/>
              </w:rPr>
            </w:pPr>
            <w:r>
              <w:rPr>
                <w:b/>
                <w:bCs/>
                <w:sz w:val="24"/>
              </w:rPr>
              <w:t>准</w:t>
            </w:r>
          </w:p>
        </w:tc>
        <w:tc>
          <w:tcPr>
            <w:tcW w:w="8741" w:type="dxa"/>
            <w:vAlign w:val="center"/>
          </w:tcPr>
          <w:p>
            <w:pPr>
              <w:spacing w:line="520" w:lineRule="exact"/>
              <w:contextualSpacing/>
              <w:jc w:val="left"/>
              <w:textAlignment w:val="baseline"/>
              <w:rPr>
                <w:color w:val="000000"/>
                <w:sz w:val="24"/>
              </w:rPr>
            </w:pPr>
            <w:r>
              <w:rPr>
                <w:color w:val="000000"/>
                <w:sz w:val="24"/>
              </w:rPr>
              <w:t>1、《大气污染物综合排放标准》</w:t>
            </w:r>
            <w:r>
              <w:rPr>
                <w:rFonts w:hint="eastAsia"/>
                <w:color w:val="000000"/>
                <w:sz w:val="24"/>
              </w:rPr>
              <w:t>（</w:t>
            </w:r>
            <w:r>
              <w:rPr>
                <w:color w:val="000000"/>
                <w:sz w:val="24"/>
              </w:rPr>
              <w:t>GB16297</w:t>
            </w:r>
            <w:r>
              <w:rPr>
                <w:rFonts w:hint="eastAsia"/>
                <w:color w:val="000000"/>
                <w:sz w:val="24"/>
              </w:rPr>
              <w:t>-</w:t>
            </w:r>
            <w:r>
              <w:rPr>
                <w:color w:val="000000"/>
                <w:sz w:val="24"/>
              </w:rPr>
              <w:t>1996</w:t>
            </w:r>
            <w:r>
              <w:rPr>
                <w:rFonts w:hint="eastAsia"/>
                <w:color w:val="000000"/>
                <w:sz w:val="24"/>
              </w:rPr>
              <w:t>）</w:t>
            </w:r>
            <w:r>
              <w:rPr>
                <w:color w:val="000000"/>
                <w:sz w:val="24"/>
              </w:rPr>
              <w:t>表2中二级</w:t>
            </w:r>
          </w:p>
          <w:tbl>
            <w:tblPr>
              <w:tblStyle w:val="19"/>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978"/>
              <w:gridCol w:w="1696"/>
              <w:gridCol w:w="127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546" w:type="dxa"/>
                  <w:vMerge w:val="restart"/>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污染物</w:t>
                  </w:r>
                </w:p>
              </w:tc>
              <w:tc>
                <w:tcPr>
                  <w:tcW w:w="1978" w:type="dxa"/>
                  <w:vMerge w:val="restart"/>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最高允许排放浓度（mg/m</w:t>
                  </w:r>
                  <w:r>
                    <w:rPr>
                      <w:rFonts w:hint="eastAsia" w:cs="宋体"/>
                      <w:b w:val="0"/>
                      <w:sz w:val="21"/>
                      <w:szCs w:val="20"/>
                      <w:vertAlign w:val="superscript"/>
                    </w:rPr>
                    <w:t>3</w:t>
                  </w:r>
                  <w:r>
                    <w:rPr>
                      <w:rFonts w:hint="eastAsia" w:cs="宋体"/>
                      <w:b w:val="0"/>
                      <w:sz w:val="21"/>
                      <w:szCs w:val="20"/>
                    </w:rPr>
                    <w:t>）</w:t>
                  </w:r>
                </w:p>
              </w:tc>
              <w:tc>
                <w:tcPr>
                  <w:tcW w:w="2967" w:type="dxa"/>
                  <w:gridSpan w:val="2"/>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最高允许排放速率（kg/h）</w:t>
                  </w:r>
                </w:p>
              </w:tc>
              <w:tc>
                <w:tcPr>
                  <w:tcW w:w="1982" w:type="dxa"/>
                  <w:vMerge w:val="restart"/>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无组织排放监控浓度限值（mg/m</w:t>
                  </w:r>
                  <w:r>
                    <w:rPr>
                      <w:rFonts w:hint="eastAsia" w:cs="宋体"/>
                      <w:b w:val="0"/>
                      <w:sz w:val="21"/>
                      <w:szCs w:val="20"/>
                      <w:vertAlign w:val="superscript"/>
                    </w:rPr>
                    <w:t>3</w:t>
                  </w:r>
                  <w:r>
                    <w:rPr>
                      <w:rFonts w:hint="eastAsia" w:cs="宋体"/>
                      <w:b w:val="0"/>
                      <w:sz w:val="21"/>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46" w:type="dxa"/>
                  <w:vMerge w:val="continue"/>
                  <w:vAlign w:val="center"/>
                </w:tcPr>
                <w:p>
                  <w:pPr>
                    <w:pStyle w:val="6"/>
                    <w:widowControl/>
                    <w:spacing w:line="240" w:lineRule="auto"/>
                    <w:ind w:firstLine="0" w:firstLineChars="0"/>
                    <w:jc w:val="center"/>
                    <w:rPr>
                      <w:rFonts w:cs="宋体"/>
                      <w:b w:val="0"/>
                      <w:sz w:val="21"/>
                      <w:szCs w:val="20"/>
                    </w:rPr>
                  </w:pPr>
                </w:p>
              </w:tc>
              <w:tc>
                <w:tcPr>
                  <w:tcW w:w="1978" w:type="dxa"/>
                  <w:vMerge w:val="continue"/>
                  <w:vAlign w:val="center"/>
                </w:tcPr>
                <w:p>
                  <w:pPr>
                    <w:pStyle w:val="6"/>
                    <w:widowControl/>
                    <w:spacing w:line="240" w:lineRule="auto"/>
                    <w:ind w:firstLine="0" w:firstLineChars="0"/>
                    <w:jc w:val="center"/>
                    <w:rPr>
                      <w:rFonts w:cs="宋体"/>
                      <w:b w:val="0"/>
                      <w:sz w:val="21"/>
                      <w:szCs w:val="20"/>
                    </w:rPr>
                  </w:pPr>
                </w:p>
              </w:tc>
              <w:tc>
                <w:tcPr>
                  <w:tcW w:w="1696" w:type="dxa"/>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排气筒高度（m）</w:t>
                  </w:r>
                </w:p>
              </w:tc>
              <w:tc>
                <w:tcPr>
                  <w:tcW w:w="1271" w:type="dxa"/>
                  <w:vAlign w:val="center"/>
                </w:tcPr>
                <w:p>
                  <w:pPr>
                    <w:pStyle w:val="6"/>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二级标准</w:t>
                  </w:r>
                </w:p>
              </w:tc>
              <w:tc>
                <w:tcPr>
                  <w:tcW w:w="1982" w:type="dxa"/>
                  <w:vMerge w:val="continue"/>
                  <w:vAlign w:val="center"/>
                </w:tcPr>
                <w:p>
                  <w:pPr>
                    <w:pStyle w:val="6"/>
                    <w:widowControl/>
                    <w:spacing w:line="240" w:lineRule="auto"/>
                    <w:ind w:firstLine="0" w:firstLineChars="0"/>
                    <w:jc w:val="center"/>
                    <w:rPr>
                      <w:rFonts w:cs="宋体"/>
                      <w:b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46" w:type="dxa"/>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颗粒物</w:t>
                  </w:r>
                </w:p>
              </w:tc>
              <w:tc>
                <w:tcPr>
                  <w:tcW w:w="1978" w:type="dxa"/>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120</w:t>
                  </w:r>
                </w:p>
              </w:tc>
              <w:tc>
                <w:tcPr>
                  <w:tcW w:w="1696" w:type="dxa"/>
                  <w:vAlign w:val="center"/>
                </w:tcPr>
                <w:p>
                  <w:pPr>
                    <w:pStyle w:val="6"/>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15</w:t>
                  </w:r>
                </w:p>
              </w:tc>
              <w:tc>
                <w:tcPr>
                  <w:tcW w:w="1271" w:type="dxa"/>
                  <w:vAlign w:val="center"/>
                </w:tcPr>
                <w:p>
                  <w:pPr>
                    <w:pStyle w:val="6"/>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3.5</w:t>
                  </w:r>
                </w:p>
              </w:tc>
              <w:tc>
                <w:tcPr>
                  <w:tcW w:w="1982" w:type="dxa"/>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546" w:type="dxa"/>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非甲烷总烃</w:t>
                  </w:r>
                </w:p>
              </w:tc>
              <w:tc>
                <w:tcPr>
                  <w:tcW w:w="1978" w:type="dxa"/>
                  <w:vAlign w:val="center"/>
                </w:tcPr>
                <w:p>
                  <w:pPr>
                    <w:pStyle w:val="6"/>
                    <w:widowControl/>
                    <w:numPr>
                      <w:ilvl w:val="0"/>
                      <w:numId w:val="0"/>
                    </w:numPr>
                    <w:spacing w:line="240" w:lineRule="auto"/>
                    <w:jc w:val="center"/>
                    <w:rPr>
                      <w:rFonts w:cs="宋体"/>
                      <w:b w:val="0"/>
                      <w:sz w:val="21"/>
                      <w:szCs w:val="20"/>
                    </w:rPr>
                  </w:pPr>
                  <w:r>
                    <w:rPr>
                      <w:rFonts w:hint="eastAsia" w:cs="宋体"/>
                      <w:b w:val="0"/>
                      <w:sz w:val="21"/>
                      <w:szCs w:val="20"/>
                    </w:rPr>
                    <w:t>120</w:t>
                  </w:r>
                </w:p>
              </w:tc>
              <w:tc>
                <w:tcPr>
                  <w:tcW w:w="1696" w:type="dxa"/>
                  <w:vAlign w:val="center"/>
                </w:tcPr>
                <w:p>
                  <w:pPr>
                    <w:pStyle w:val="6"/>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15</w:t>
                  </w:r>
                </w:p>
              </w:tc>
              <w:tc>
                <w:tcPr>
                  <w:tcW w:w="1271" w:type="dxa"/>
                  <w:vAlign w:val="center"/>
                </w:tcPr>
                <w:p>
                  <w:pPr>
                    <w:pStyle w:val="6"/>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10</w:t>
                  </w:r>
                </w:p>
              </w:tc>
              <w:tc>
                <w:tcPr>
                  <w:tcW w:w="1982" w:type="dxa"/>
                  <w:vAlign w:val="center"/>
                </w:tcPr>
                <w:p>
                  <w:pPr>
                    <w:pStyle w:val="6"/>
                    <w:widowControl/>
                    <w:numPr>
                      <w:ilvl w:val="0"/>
                      <w:numId w:val="0"/>
                    </w:numPr>
                    <w:tabs>
                      <w:tab w:val="clear" w:pos="420"/>
                    </w:tabs>
                    <w:spacing w:line="240" w:lineRule="auto"/>
                    <w:jc w:val="center"/>
                    <w:rPr>
                      <w:rFonts w:cs="宋体"/>
                      <w:b w:val="0"/>
                      <w:sz w:val="21"/>
                      <w:szCs w:val="20"/>
                    </w:rPr>
                  </w:pPr>
                  <w:r>
                    <w:rPr>
                      <w:rFonts w:hint="eastAsia" w:cs="宋体"/>
                      <w:b w:val="0"/>
                      <w:sz w:val="21"/>
                      <w:szCs w:val="20"/>
                    </w:rPr>
                    <w:t>4.0</w:t>
                  </w:r>
                </w:p>
              </w:tc>
            </w:tr>
          </w:tbl>
          <w:p>
            <w:pPr>
              <w:autoSpaceDE w:val="0"/>
              <w:autoSpaceDN w:val="0"/>
              <w:adjustRightInd w:val="0"/>
              <w:snapToGrid w:val="0"/>
              <w:spacing w:line="440" w:lineRule="exact"/>
              <w:jc w:val="left"/>
              <w:rPr>
                <w:sz w:val="24"/>
              </w:rPr>
            </w:pPr>
            <w:r>
              <w:rPr>
                <w:sz w:val="24"/>
              </w:rPr>
              <w:t>2、《挥发性有机物无组织排放控制标准》（GB37822-2019）表A.1特别排放限值：</w:t>
            </w:r>
          </w:p>
          <w:p>
            <w:pPr>
              <w:autoSpaceDE w:val="0"/>
              <w:autoSpaceDN w:val="0"/>
              <w:adjustRightInd w:val="0"/>
              <w:snapToGrid w:val="0"/>
              <w:spacing w:line="440" w:lineRule="exact"/>
              <w:ind w:firstLine="480" w:firstLineChars="200"/>
              <w:jc w:val="left"/>
              <w:rPr>
                <w:sz w:val="24"/>
              </w:rPr>
            </w:pPr>
            <w:r>
              <w:rPr>
                <w:sz w:val="24"/>
              </w:rPr>
              <w:t>非甲烷总烃：无组织排放厂房外监</w:t>
            </w:r>
            <w:r>
              <w:rPr>
                <w:rFonts w:hint="eastAsia"/>
                <w:sz w:val="24"/>
              </w:rPr>
              <w:t>控</w:t>
            </w:r>
            <w:r>
              <w:rPr>
                <w:sz w:val="24"/>
              </w:rPr>
              <w:t>点1h平均浓度值6mg/m</w:t>
            </w:r>
            <w:r>
              <w:rPr>
                <w:sz w:val="24"/>
                <w:vertAlign w:val="superscript"/>
              </w:rPr>
              <w:t>3</w:t>
            </w:r>
            <w:r>
              <w:rPr>
                <w:sz w:val="24"/>
              </w:rPr>
              <w:t>，任意一次浓度值20mg/m</w:t>
            </w:r>
            <w:r>
              <w:rPr>
                <w:sz w:val="24"/>
                <w:vertAlign w:val="superscript"/>
              </w:rPr>
              <w:t>3</w:t>
            </w:r>
            <w:r>
              <w:rPr>
                <w:sz w:val="24"/>
              </w:rPr>
              <w:t>。</w:t>
            </w:r>
          </w:p>
          <w:p>
            <w:pPr>
              <w:adjustRightInd w:val="0"/>
              <w:snapToGrid w:val="0"/>
              <w:spacing w:line="420" w:lineRule="exact"/>
              <w:jc w:val="left"/>
              <w:rPr>
                <w:sz w:val="24"/>
              </w:rPr>
            </w:pPr>
            <w:r>
              <w:rPr>
                <w:rFonts w:hint="eastAsia"/>
                <w:sz w:val="24"/>
              </w:rPr>
              <w:t>3、</w:t>
            </w:r>
            <w:r>
              <w:rPr>
                <w:sz w:val="24"/>
              </w:rPr>
              <w:t>《工业涂装工序挥发性有机物排放标准》（DB41/1951-2020）</w:t>
            </w:r>
          </w:p>
          <w:p>
            <w:pPr>
              <w:adjustRightInd w:val="0"/>
              <w:snapToGrid w:val="0"/>
              <w:spacing w:line="420" w:lineRule="exact"/>
              <w:ind w:firstLine="480" w:firstLineChars="200"/>
              <w:jc w:val="left"/>
              <w:rPr>
                <w:sz w:val="24"/>
                <w:vertAlign w:val="superscript"/>
              </w:rPr>
            </w:pPr>
            <w:r>
              <w:rPr>
                <w:sz w:val="24"/>
              </w:rPr>
              <w:t>非甲烷总烃：表1有组织排放限值：50mg/m</w:t>
            </w:r>
            <w:r>
              <w:rPr>
                <w:sz w:val="24"/>
                <w:vertAlign w:val="superscript"/>
              </w:rPr>
              <w:t>3</w:t>
            </w:r>
            <w:r>
              <w:rPr>
                <w:sz w:val="24"/>
              </w:rPr>
              <w:t>；</w:t>
            </w:r>
          </w:p>
          <w:p>
            <w:pPr>
              <w:autoSpaceDE w:val="0"/>
              <w:autoSpaceDN w:val="0"/>
              <w:adjustRightInd w:val="0"/>
              <w:snapToGrid w:val="0"/>
              <w:spacing w:line="420" w:lineRule="exact"/>
              <w:ind w:firstLine="480" w:firstLineChars="200"/>
              <w:jc w:val="left"/>
              <w:rPr>
                <w:sz w:val="24"/>
              </w:rPr>
            </w:pPr>
            <w:r>
              <w:rPr>
                <w:sz w:val="24"/>
              </w:rPr>
              <w:t>表2厂内无组织排放限值：厂房外监控点1h平均浓度值6mg/m</w:t>
            </w:r>
            <w:r>
              <w:rPr>
                <w:sz w:val="24"/>
                <w:vertAlign w:val="superscript"/>
              </w:rPr>
              <w:t>3</w:t>
            </w:r>
            <w:r>
              <w:rPr>
                <w:sz w:val="24"/>
              </w:rPr>
              <w:t>，任意一次浓度值20mg/m</w:t>
            </w:r>
            <w:r>
              <w:rPr>
                <w:sz w:val="24"/>
                <w:vertAlign w:val="superscript"/>
              </w:rPr>
              <w:t>3</w:t>
            </w:r>
            <w:r>
              <w:rPr>
                <w:sz w:val="24"/>
              </w:rPr>
              <w:t>。</w:t>
            </w:r>
          </w:p>
          <w:p>
            <w:pPr>
              <w:adjustRightInd w:val="0"/>
              <w:snapToGrid w:val="0"/>
              <w:spacing w:line="440" w:lineRule="exact"/>
              <w:jc w:val="left"/>
              <w:rPr>
                <w:sz w:val="24"/>
              </w:rPr>
            </w:pPr>
            <w:r>
              <w:rPr>
                <w:rFonts w:hint="eastAsia"/>
                <w:sz w:val="24"/>
              </w:rPr>
              <w:t>4、《关于全省开展工业企业挥发性有机物专项治理工作中排放建议值的通知》（豫环攻坚办〔2017〕162 号文）</w:t>
            </w:r>
          </w:p>
          <w:p>
            <w:pPr>
              <w:adjustRightInd w:val="0"/>
              <w:snapToGrid w:val="0"/>
              <w:spacing w:line="440" w:lineRule="exact"/>
              <w:ind w:firstLine="480" w:firstLineChars="200"/>
              <w:rPr>
                <w:b/>
                <w:bCs/>
                <w:sz w:val="24"/>
                <w:u w:val="single"/>
              </w:rPr>
            </w:pPr>
            <w:r>
              <w:rPr>
                <w:rFonts w:hint="eastAsia"/>
                <w:sz w:val="24"/>
              </w:rPr>
              <w:t>工业企业挥发性有机物排放建议值：表面涂装业非甲烷总烃排放浓度：60mg/m</w:t>
            </w:r>
            <w:r>
              <w:rPr>
                <w:rFonts w:hint="eastAsia"/>
                <w:sz w:val="24"/>
                <w:vertAlign w:val="superscript"/>
              </w:rPr>
              <w:t>3</w:t>
            </w:r>
          </w:p>
          <w:p>
            <w:pPr>
              <w:adjustRightInd w:val="0"/>
              <w:snapToGrid w:val="0"/>
              <w:spacing w:line="440" w:lineRule="exact"/>
              <w:ind w:firstLine="480" w:firstLineChars="200"/>
              <w:jc w:val="left"/>
              <w:rPr>
                <w:sz w:val="24"/>
              </w:rPr>
            </w:pPr>
            <w:r>
              <w:rPr>
                <w:rFonts w:hint="eastAsia"/>
                <w:sz w:val="24"/>
              </w:rPr>
              <w:t>工业企业边界挥发性有机物排放建议值：非甲烷总烃排放浓度：2.0 mg/m</w:t>
            </w:r>
            <w:r>
              <w:rPr>
                <w:rFonts w:hint="eastAsia"/>
                <w:sz w:val="24"/>
                <w:vertAlign w:val="superscript"/>
              </w:rPr>
              <w:t>3</w:t>
            </w:r>
          </w:p>
          <w:p>
            <w:pPr>
              <w:adjustRightInd w:val="0"/>
              <w:snapToGrid w:val="0"/>
              <w:spacing w:line="440" w:lineRule="exact"/>
              <w:jc w:val="left"/>
              <w:rPr>
                <w:sz w:val="24"/>
              </w:rPr>
            </w:pPr>
            <w:r>
              <w:rPr>
                <w:rFonts w:hint="eastAsia"/>
                <w:kern w:val="0"/>
                <w:sz w:val="24"/>
              </w:rPr>
              <w:t>5、</w:t>
            </w:r>
            <w:r>
              <w:rPr>
                <w:kern w:val="0"/>
                <w:sz w:val="24"/>
              </w:rPr>
              <w:t>《工业企业厂界环境噪声排放标准》（GB12348-2008）</w:t>
            </w:r>
            <w:r>
              <w:rPr>
                <w:rFonts w:hint="eastAsia"/>
                <w:kern w:val="0"/>
                <w:sz w:val="24"/>
              </w:rPr>
              <w:t>2</w:t>
            </w:r>
            <w:r>
              <w:rPr>
                <w:sz w:val="24"/>
              </w:rPr>
              <w:t>类标准</w:t>
            </w:r>
          </w:p>
          <w:p>
            <w:pPr>
              <w:adjustRightInd w:val="0"/>
              <w:snapToGrid w:val="0"/>
              <w:spacing w:line="440" w:lineRule="exact"/>
              <w:ind w:firstLine="480" w:firstLineChars="200"/>
              <w:jc w:val="left"/>
              <w:rPr>
                <w:sz w:val="24"/>
              </w:rPr>
            </w:pPr>
            <w:r>
              <w:rPr>
                <w:sz w:val="24"/>
              </w:rPr>
              <w:t>昼间≤6</w:t>
            </w:r>
            <w:r>
              <w:rPr>
                <w:rFonts w:hint="eastAsia"/>
                <w:sz w:val="24"/>
              </w:rPr>
              <w:t>0</w:t>
            </w:r>
            <w:r>
              <w:rPr>
                <w:sz w:val="24"/>
              </w:rPr>
              <w:t>dB（A），夜间≤5</w:t>
            </w:r>
            <w:r>
              <w:rPr>
                <w:rFonts w:hint="eastAsia"/>
                <w:sz w:val="24"/>
              </w:rPr>
              <w:t>0</w:t>
            </w:r>
            <w:r>
              <w:rPr>
                <w:sz w:val="24"/>
              </w:rPr>
              <w:t>dB（A）</w:t>
            </w:r>
            <w:r>
              <w:rPr>
                <w:sz w:val="24"/>
                <w:szCs w:val="20"/>
              </w:rPr>
              <w:t>。</w:t>
            </w:r>
          </w:p>
          <w:p>
            <w:pPr>
              <w:adjustRightInd w:val="0"/>
              <w:snapToGrid w:val="0"/>
              <w:spacing w:line="460" w:lineRule="exact"/>
              <w:rPr>
                <w:szCs w:val="21"/>
              </w:rPr>
            </w:pPr>
            <w:r>
              <w:rPr>
                <w:rFonts w:hint="eastAsia"/>
                <w:sz w:val="24"/>
              </w:rPr>
              <w:t>6</w:t>
            </w:r>
            <w:r>
              <w:rPr>
                <w:sz w:val="24"/>
              </w:rPr>
              <w:t>、《危险废物贮存污染控制标准》（GB18597-2001）及修改单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8" w:hRule="atLeast"/>
          <w:jc w:val="center"/>
        </w:trPr>
        <w:tc>
          <w:tcPr>
            <w:tcW w:w="400" w:type="pct"/>
            <w:vAlign w:val="center"/>
          </w:tcPr>
          <w:p>
            <w:pPr>
              <w:spacing w:line="400" w:lineRule="exact"/>
              <w:jc w:val="center"/>
              <w:rPr>
                <w:b/>
                <w:bCs/>
                <w:sz w:val="24"/>
              </w:rPr>
            </w:pPr>
            <w:r>
              <w:rPr>
                <w:b/>
                <w:bCs/>
                <w:sz w:val="24"/>
              </w:rPr>
              <w:t>总量</w:t>
            </w:r>
          </w:p>
          <w:p>
            <w:pPr>
              <w:spacing w:line="400" w:lineRule="exact"/>
              <w:jc w:val="center"/>
              <w:rPr>
                <w:b/>
                <w:bCs/>
                <w:sz w:val="24"/>
              </w:rPr>
            </w:pPr>
            <w:r>
              <w:rPr>
                <w:b/>
                <w:bCs/>
                <w:sz w:val="24"/>
              </w:rPr>
              <w:t>控制</w:t>
            </w:r>
          </w:p>
          <w:p>
            <w:pPr>
              <w:spacing w:line="400" w:lineRule="exact"/>
              <w:jc w:val="center"/>
              <w:rPr>
                <w:b/>
                <w:bCs/>
                <w:sz w:val="28"/>
                <w:szCs w:val="28"/>
              </w:rPr>
            </w:pPr>
            <w:r>
              <w:rPr>
                <w:b/>
                <w:bCs/>
                <w:sz w:val="24"/>
              </w:rPr>
              <w:t>指标</w:t>
            </w:r>
          </w:p>
        </w:tc>
        <w:tc>
          <w:tcPr>
            <w:tcW w:w="4707" w:type="pct"/>
          </w:tcPr>
          <w:p>
            <w:pPr>
              <w:spacing w:line="360" w:lineRule="auto"/>
              <w:ind w:firstLine="480" w:firstLineChars="200"/>
              <w:contextualSpacing/>
              <w:rPr>
                <w:color w:val="000000"/>
                <w:sz w:val="24"/>
              </w:rPr>
            </w:pPr>
          </w:p>
          <w:p>
            <w:pPr>
              <w:spacing w:line="360" w:lineRule="auto"/>
              <w:ind w:firstLine="480" w:firstLineChars="200"/>
              <w:contextualSpacing/>
              <w:rPr>
                <w:color w:val="000000"/>
                <w:sz w:val="24"/>
              </w:rPr>
            </w:pPr>
            <w:r>
              <w:rPr>
                <w:color w:val="000000"/>
                <w:sz w:val="24"/>
              </w:rPr>
              <w:t>废水污染物总量控制指标：</w:t>
            </w:r>
          </w:p>
          <w:p>
            <w:pPr>
              <w:spacing w:line="360" w:lineRule="auto"/>
              <w:ind w:firstLine="480" w:firstLineChars="200"/>
              <w:contextualSpacing/>
              <w:rPr>
                <w:color w:val="000000"/>
                <w:sz w:val="24"/>
              </w:rPr>
            </w:pPr>
            <w:r>
              <w:rPr>
                <w:color w:val="000000"/>
                <w:sz w:val="24"/>
              </w:rPr>
              <w:t>项目厂区生活污水经化粪池预处理后用于周围农田施肥，故不申请废水总量指标。</w:t>
            </w:r>
          </w:p>
          <w:p>
            <w:pPr>
              <w:spacing w:line="360" w:lineRule="auto"/>
              <w:ind w:firstLine="480" w:firstLineChars="200"/>
              <w:contextualSpacing/>
              <w:rPr>
                <w:color w:val="000000"/>
                <w:sz w:val="24"/>
              </w:rPr>
            </w:pPr>
            <w:r>
              <w:rPr>
                <w:color w:val="000000"/>
                <w:sz w:val="24"/>
              </w:rPr>
              <w:t>废气污染物总量控制指标：</w:t>
            </w:r>
          </w:p>
          <w:p>
            <w:pPr>
              <w:spacing w:line="360" w:lineRule="auto"/>
              <w:ind w:firstLine="482" w:firstLineChars="200"/>
              <w:contextualSpacing/>
              <w:rPr>
                <w:color w:val="000000"/>
                <w:sz w:val="24"/>
                <w:highlight w:val="yellow"/>
              </w:rPr>
            </w:pPr>
            <w:r>
              <w:rPr>
                <w:rFonts w:hint="eastAsia"/>
                <w:b/>
                <w:bCs/>
                <w:color w:val="000000"/>
                <w:sz w:val="24"/>
                <w:u w:val="single"/>
              </w:rPr>
              <w:t>河南达恒科技有限公司年产1万套办公家具项目VOCs排放量为0.0</w:t>
            </w:r>
            <w:r>
              <w:rPr>
                <w:rFonts w:hint="eastAsia"/>
                <w:b/>
                <w:bCs/>
                <w:color w:val="000000"/>
                <w:sz w:val="24"/>
                <w:u w:val="single"/>
                <w:lang w:val="en-US" w:eastAsia="zh-CN"/>
              </w:rPr>
              <w:t>095</w:t>
            </w:r>
            <w:r>
              <w:rPr>
                <w:rFonts w:hint="eastAsia"/>
                <w:b/>
                <w:bCs/>
                <w:color w:val="000000"/>
                <w:sz w:val="24"/>
                <w:u w:val="single"/>
              </w:rPr>
              <w:t>t/a</w:t>
            </w:r>
            <w:r>
              <w:rPr>
                <w:rFonts w:hint="eastAsia"/>
                <w:color w:val="000000"/>
                <w:sz w:val="24"/>
              </w:rPr>
              <w:t>，其替代来源为偃师区2021年减排档案中的VOCs减排量。</w:t>
            </w:r>
          </w:p>
          <w:p>
            <w:pPr>
              <w:adjustRightInd w:val="0"/>
              <w:snapToGrid w:val="0"/>
              <w:spacing w:line="460" w:lineRule="exact"/>
              <w:rPr>
                <w:kern w:val="0"/>
                <w:szCs w:val="21"/>
              </w:rPr>
            </w:pPr>
          </w:p>
        </w:tc>
      </w:tr>
    </w:tbl>
    <w:p>
      <w:pPr>
        <w:pStyle w:val="16"/>
        <w:spacing w:before="120" w:beforeLines="50" w:beforeAutospacing="0" w:after="120" w:afterLines="50" w:afterAutospacing="0"/>
        <w:jc w:val="both"/>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b/>
          <w:bCs/>
          <w:sz w:val="30"/>
          <w:szCs w:val="30"/>
        </w:rPr>
        <w:t>四、主要环境影响和保护措施</w:t>
      </w:r>
    </w:p>
    <w:tbl>
      <w:tblPr>
        <w:tblStyle w:val="19"/>
        <w:tblW w:w="50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400" w:type="pct"/>
            <w:tcMar>
              <w:left w:w="28" w:type="dxa"/>
              <w:right w:w="28" w:type="dxa"/>
            </w:tcMar>
            <w:vAlign w:val="center"/>
          </w:tcPr>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施工</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期环</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境保</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护措</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施</w:t>
            </w:r>
          </w:p>
        </w:tc>
        <w:tc>
          <w:tcPr>
            <w:tcW w:w="4599" w:type="pct"/>
            <w:vAlign w:val="center"/>
          </w:tcPr>
          <w:p>
            <w:pPr>
              <w:autoSpaceDE w:val="0"/>
              <w:autoSpaceDN w:val="0"/>
              <w:adjustRightInd w:val="0"/>
              <w:snapToGrid w:val="0"/>
              <w:spacing w:line="460" w:lineRule="exact"/>
              <w:ind w:firstLine="480" w:firstLineChars="200"/>
              <w:rPr>
                <w:bCs/>
                <w:color w:val="000000" w:themeColor="text1"/>
                <w:spacing w:val="-10"/>
                <w:szCs w:val="21"/>
                <w14:textFill>
                  <w14:solidFill>
                    <w14:schemeClr w14:val="tx1"/>
                  </w14:solidFill>
                </w14:textFill>
              </w:rPr>
            </w:pPr>
            <w:r>
              <w:rPr>
                <w:rFonts w:hint="eastAsia"/>
                <w:color w:val="000000" w:themeColor="text1"/>
                <w:sz w:val="24"/>
                <w14:textFill>
                  <w14:solidFill>
                    <w14:schemeClr w14:val="tx1"/>
                  </w14:solidFill>
                </w14:textFill>
              </w:rPr>
              <w:t>本项目租赁现有厂房，仅需在车间内安装设备，所以不再分析施工期污染情况。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400" w:type="pct"/>
            <w:tcMar>
              <w:left w:w="28" w:type="dxa"/>
              <w:right w:w="28" w:type="dxa"/>
            </w:tcMar>
            <w:vAlign w:val="center"/>
          </w:tcPr>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运营</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期环</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境影</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响和</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保护</w:t>
            </w:r>
          </w:p>
          <w:p>
            <w:pPr>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措施</w:t>
            </w:r>
          </w:p>
        </w:tc>
        <w:tc>
          <w:tcPr>
            <w:tcW w:w="4599" w:type="pct"/>
            <w:vAlign w:val="center"/>
          </w:tcPr>
          <w:p>
            <w:pPr>
              <w:adjustRightInd w:val="0"/>
              <w:snapToGrid w:val="0"/>
              <w:spacing w:line="46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1、废气</w:t>
            </w:r>
          </w:p>
          <w:p>
            <w:pPr>
              <w:adjustRightInd w:val="0"/>
              <w:snapToGrid w:val="0"/>
              <w:spacing w:line="46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1.1 废气产排分析</w:t>
            </w:r>
          </w:p>
          <w:p>
            <w:pPr>
              <w:pStyle w:val="6"/>
              <w:numPr>
                <w:ilvl w:val="0"/>
                <w:numId w:val="0"/>
              </w:numPr>
              <w:ind w:firstLine="480" w:firstLineChars="200"/>
              <w:rPr>
                <w:b w:val="0"/>
                <w:color w:val="000000" w:themeColor="text1"/>
                <w:kern w:val="2"/>
                <w14:textFill>
                  <w14:solidFill>
                    <w14:schemeClr w14:val="tx1"/>
                  </w14:solidFill>
                </w14:textFill>
              </w:rPr>
            </w:pPr>
            <w:r>
              <w:rPr>
                <w:rFonts w:hint="eastAsia"/>
                <w:b w:val="0"/>
                <w:color w:val="000000" w:themeColor="text1"/>
                <w:kern w:val="2"/>
                <w14:textFill>
                  <w14:solidFill>
                    <w14:schemeClr w14:val="tx1"/>
                  </w14:solidFill>
                </w14:textFill>
              </w:rPr>
              <w:t>本项目营运过程中废气污染源主要为切割及焊接过程产生的粉尘，喷塑工序产生的粉尘，固化工序产生的少量非甲烷总烃。</w:t>
            </w:r>
          </w:p>
          <w:p>
            <w:pPr>
              <w:pStyle w:val="6"/>
              <w:numPr>
                <w:ilvl w:val="0"/>
                <w:numId w:val="0"/>
              </w:numPr>
              <w:ind w:firstLine="480" w:firstLineChars="200"/>
              <w:rPr>
                <w:b w:val="0"/>
                <w:color w:val="000000" w:themeColor="text1"/>
                <w:kern w:val="2"/>
                <w14:textFill>
                  <w14:solidFill>
                    <w14:schemeClr w14:val="tx1"/>
                  </w14:solidFill>
                </w14:textFill>
              </w:rPr>
            </w:pPr>
            <w:r>
              <w:rPr>
                <w:rFonts w:hint="eastAsia"/>
                <w:b w:val="0"/>
                <w:color w:val="000000" w:themeColor="text1"/>
                <w:kern w:val="2"/>
                <w14:textFill>
                  <w14:solidFill>
                    <w14:schemeClr w14:val="tx1"/>
                  </w14:solidFill>
                </w14:textFill>
              </w:rPr>
              <w:t>（1）切割及焊接粉尘</w:t>
            </w:r>
          </w:p>
          <w:p>
            <w:pPr>
              <w:pStyle w:val="6"/>
              <w:numPr>
                <w:ilvl w:val="0"/>
                <w:numId w:val="0"/>
              </w:numPr>
              <w:ind w:firstLine="480" w:firstLineChars="200"/>
              <w:rPr>
                <w:b w:val="0"/>
                <w:bCs/>
                <w:color w:val="000000" w:themeColor="text1"/>
                <w:kern w:val="2"/>
                <w14:textFill>
                  <w14:solidFill>
                    <w14:schemeClr w14:val="tx1"/>
                  </w14:solidFill>
                </w14:textFill>
              </w:rPr>
            </w:pPr>
            <w:r>
              <w:rPr>
                <w:rFonts w:hint="eastAsia"/>
                <w:b w:val="0"/>
                <w:color w:val="000000" w:themeColor="text1"/>
                <w:kern w:val="2"/>
                <w14:textFill>
                  <w14:solidFill>
                    <w14:schemeClr w14:val="tx1"/>
                  </w14:solidFill>
                </w14:textFill>
              </w:rPr>
              <w:t>本项目使用激光切割机对工件进行切割下料，切割过程中将产生少量烟尘。</w:t>
            </w:r>
            <w:r>
              <w:rPr>
                <w:rFonts w:hint="eastAsia"/>
                <w:b w:val="0"/>
                <w:bCs/>
                <w:color w:val="000000" w:themeColor="text1"/>
                <w14:textFill>
                  <w14:solidFill>
                    <w14:schemeClr w14:val="tx1"/>
                  </w14:solidFill>
                </w14:textFill>
              </w:rPr>
              <w:t>参考《排放源统计调查产排污核算方法和系数手册》（公告2021年第24号）机械行业系数手册——金属制品业系数表04下料“钢板、铝板、铝合金板、其它金属材料--等离子切割--颗粒物产污系数1.1千克/吨-原料”，</w:t>
            </w:r>
            <w:r>
              <w:rPr>
                <w:rFonts w:hint="eastAsia"/>
                <w:b/>
                <w:bCs w:val="0"/>
                <w:color w:val="000000" w:themeColor="text1"/>
                <w:u w:val="single"/>
                <w14:textFill>
                  <w14:solidFill>
                    <w14:schemeClr w14:val="tx1"/>
                  </w14:solidFill>
                </w14:textFill>
              </w:rPr>
              <w:t>本项目使用钢板</w:t>
            </w:r>
            <w:r>
              <w:rPr>
                <w:rFonts w:hint="eastAsia"/>
                <w:b/>
                <w:bCs w:val="0"/>
                <w:color w:val="000000" w:themeColor="text1"/>
                <w:u w:val="single"/>
                <w:lang w:val="en-US" w:eastAsia="zh-CN"/>
                <w14:textFill>
                  <w14:solidFill>
                    <w14:schemeClr w14:val="tx1"/>
                  </w14:solidFill>
                </w14:textFill>
              </w:rPr>
              <w:t>300</w:t>
            </w:r>
            <w:r>
              <w:rPr>
                <w:rFonts w:hint="eastAsia"/>
                <w:b/>
                <w:bCs w:val="0"/>
                <w:color w:val="000000" w:themeColor="text1"/>
                <w:u w:val="single"/>
                <w14:textFill>
                  <w14:solidFill>
                    <w14:schemeClr w14:val="tx1"/>
                  </w14:solidFill>
                </w14:textFill>
              </w:rPr>
              <w:t>t/a，则切割过程颗粒物产生量为0.33t/a。</w:t>
            </w:r>
          </w:p>
          <w:p>
            <w:pPr>
              <w:tabs>
                <w:tab w:val="left" w:pos="595"/>
              </w:tabs>
              <w:adjustRightInd w:val="0"/>
              <w:snapToGrid w:val="0"/>
              <w:spacing w:line="460" w:lineRule="atLeas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本项目设置2台二保焊机，施焊时使用焊丝，会产</w:t>
            </w:r>
            <w:r>
              <w:rPr>
                <w:bCs/>
                <w:color w:val="000000" w:themeColor="text1"/>
                <w:sz w:val="24"/>
                <w14:textFill>
                  <w14:solidFill>
                    <w14:schemeClr w14:val="tx1"/>
                  </w14:solidFill>
                </w14:textFill>
              </w:rPr>
              <w:t>生</w:t>
            </w:r>
            <w:r>
              <w:rPr>
                <w:color w:val="000000" w:themeColor="text1"/>
                <w:sz w:val="24"/>
                <w14:textFill>
                  <w14:solidFill>
                    <w14:schemeClr w14:val="tx1"/>
                  </w14:solidFill>
                </w14:textFill>
              </w:rPr>
              <w:t>焊接烟尘</w:t>
            </w:r>
            <w:r>
              <w:rPr>
                <w:rFonts w:hint="eastAsia"/>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参考《排放源统计调查产排污核算方法和系数手册》（公告2021年第24号）机械行业系数手册——金属制品业系数表09焊接“药芯焊丝--二氧化碳保护焊、埋弧焊、氩弧焊--颗粒物产污系数20.5千克/吨-原料”，本项目</w:t>
            </w:r>
            <w:r>
              <w:rPr>
                <w:color w:val="000000" w:themeColor="text1"/>
                <w:sz w:val="24"/>
                <w14:textFill>
                  <w14:solidFill>
                    <w14:schemeClr w14:val="tx1"/>
                  </w14:solidFill>
                </w14:textFill>
              </w:rPr>
              <w:t>焊丝用量为</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r>
              <w:rPr>
                <w:bCs/>
                <w:color w:val="000000" w:themeColor="text1"/>
                <w:sz w:val="24"/>
                <w14:textFill>
                  <w14:solidFill>
                    <w14:schemeClr w14:val="tx1"/>
                  </w14:solidFill>
                </w14:textFill>
              </w:rPr>
              <w:t>则焊接烟尘产生量为</w:t>
            </w:r>
            <w:r>
              <w:rPr>
                <w:rFonts w:hint="eastAsia"/>
                <w:bCs/>
                <w:color w:val="000000" w:themeColor="text1"/>
                <w:sz w:val="24"/>
                <w14:textFill>
                  <w14:solidFill>
                    <w14:schemeClr w14:val="tx1"/>
                  </w14:solidFill>
                </w14:textFill>
              </w:rPr>
              <w:t>0.0205</w:t>
            </w:r>
            <w:r>
              <w:rPr>
                <w:bCs/>
                <w:color w:val="000000" w:themeColor="text1"/>
                <w:sz w:val="24"/>
                <w14:textFill>
                  <w14:solidFill>
                    <w14:schemeClr w14:val="tx1"/>
                  </w14:solidFill>
                </w14:textFill>
              </w:rPr>
              <w:t>t/a</w:t>
            </w:r>
            <w:r>
              <w:rPr>
                <w:rFonts w:hint="eastAsia"/>
                <w:bCs/>
                <w:color w:val="000000" w:themeColor="text1"/>
                <w:sz w:val="24"/>
                <w14:textFill>
                  <w14:solidFill>
                    <w14:schemeClr w14:val="tx1"/>
                  </w14:solidFill>
                </w14:textFill>
              </w:rPr>
              <w:t>。</w:t>
            </w:r>
          </w:p>
          <w:p>
            <w:pPr>
              <w:tabs>
                <w:tab w:val="left" w:pos="595"/>
              </w:tabs>
              <w:adjustRightInd w:val="0"/>
              <w:snapToGrid w:val="0"/>
              <w:spacing w:line="460" w:lineRule="atLeast"/>
              <w:ind w:firstLine="480" w:firstLineChars="200"/>
              <w:rPr>
                <w:bCs/>
                <w:color w:val="000000" w:themeColor="text1"/>
                <w:sz w:val="24"/>
                <w:szCs w:val="24"/>
                <w14:textFill>
                  <w14:solidFill>
                    <w14:schemeClr w14:val="tx1"/>
                  </w14:solidFill>
                </w14:textFill>
              </w:rPr>
            </w:pPr>
            <w:r>
              <w:rPr>
                <w:rFonts w:hint="eastAsia"/>
                <w:bCs/>
                <w:color w:val="000000" w:themeColor="text1"/>
                <w:sz w:val="24"/>
                <w14:textFill>
                  <w14:solidFill>
                    <w14:schemeClr w14:val="tx1"/>
                  </w14:solidFill>
                </w14:textFill>
              </w:rPr>
              <w:t>项目切割及焊接烟尘产生量为0.3505t/a，</w:t>
            </w:r>
            <w:r>
              <w:rPr>
                <w:rFonts w:hint="eastAsia"/>
                <w:b/>
                <w:bCs w:val="0"/>
                <w:color w:val="000000" w:themeColor="text1"/>
                <w:sz w:val="24"/>
                <w:u w:val="single"/>
                <w14:textFill>
                  <w14:solidFill>
                    <w14:schemeClr w14:val="tx1"/>
                  </w14:solidFill>
                </w14:textFill>
              </w:rPr>
              <w:t>建设单位拟对焊接</w:t>
            </w:r>
            <w:r>
              <w:rPr>
                <w:rFonts w:hint="eastAsia"/>
                <w:b/>
                <w:bCs w:val="0"/>
                <w:color w:val="000000" w:themeColor="text1"/>
                <w:sz w:val="24"/>
                <w:u w:val="single"/>
                <w:lang w:val="en-US" w:eastAsia="zh-CN"/>
                <w14:textFill>
                  <w14:solidFill>
                    <w14:schemeClr w14:val="tx1"/>
                  </w14:solidFill>
                </w14:textFill>
              </w:rPr>
              <w:t>区域</w:t>
            </w:r>
            <w:r>
              <w:rPr>
                <w:rFonts w:hint="eastAsia"/>
                <w:b/>
                <w:bCs w:val="0"/>
                <w:color w:val="000000" w:themeColor="text1"/>
                <w:sz w:val="24"/>
                <w:u w:val="single"/>
                <w14:textFill>
                  <w14:solidFill>
                    <w14:schemeClr w14:val="tx1"/>
                  </w14:solidFill>
                </w14:textFill>
              </w:rPr>
              <w:t>二次封闭，单独设置操作间，在切割</w:t>
            </w:r>
            <w:r>
              <w:rPr>
                <w:rFonts w:hint="eastAsia"/>
                <w:b/>
                <w:bCs w:val="0"/>
                <w:color w:val="000000" w:themeColor="text1"/>
                <w:sz w:val="24"/>
                <w:u w:val="single"/>
                <w:lang w:val="en-US" w:eastAsia="zh-CN"/>
                <w14:textFill>
                  <w14:solidFill>
                    <w14:schemeClr w14:val="tx1"/>
                  </w14:solidFill>
                </w14:textFill>
              </w:rPr>
              <w:t>工位</w:t>
            </w:r>
            <w:r>
              <w:rPr>
                <w:rFonts w:hint="eastAsia"/>
                <w:b/>
                <w:bCs w:val="0"/>
                <w:color w:val="000000" w:themeColor="text1"/>
                <w:sz w:val="24"/>
                <w:u w:val="single"/>
                <w14:textFill>
                  <w14:solidFill>
                    <w14:schemeClr w14:val="tx1"/>
                  </w14:solidFill>
                </w14:textFill>
              </w:rPr>
              <w:t>及焊接工位上方设置集气罩，粉尘经各集气罩连接的风管支管进入主管路后引入</w:t>
            </w:r>
            <w:r>
              <w:rPr>
                <w:rFonts w:hint="eastAsia"/>
                <w:b/>
                <w:bCs w:val="0"/>
                <w:color w:val="000000" w:themeColor="text1"/>
                <w:sz w:val="24"/>
                <w:u w:val="single"/>
                <w:lang w:val="zh-TW"/>
                <w14:textFill>
                  <w14:solidFill>
                    <w14:schemeClr w14:val="tx1"/>
                  </w14:solidFill>
                </w14:textFill>
              </w:rPr>
              <w:t>袋式</w:t>
            </w:r>
            <w:r>
              <w:rPr>
                <w:b/>
                <w:bCs w:val="0"/>
                <w:color w:val="000000" w:themeColor="text1"/>
                <w:sz w:val="24"/>
                <w:u w:val="single"/>
                <w:lang w:val="zh-TW"/>
                <w14:textFill>
                  <w14:solidFill>
                    <w14:schemeClr w14:val="tx1"/>
                  </w14:solidFill>
                </w14:textFill>
              </w:rPr>
              <w:t>除尘器处理</w:t>
            </w:r>
            <w:r>
              <w:rPr>
                <w:rFonts w:hint="eastAsia"/>
                <w:b/>
                <w:bCs w:val="0"/>
                <w:color w:val="000000" w:themeColor="text1"/>
                <w:sz w:val="24"/>
                <w:u w:val="single"/>
                <w:lang w:val="zh-TW"/>
                <w14:textFill>
                  <w14:solidFill>
                    <w14:schemeClr w14:val="tx1"/>
                  </w14:solidFill>
                </w14:textFill>
              </w:rPr>
              <w:t>。</w:t>
            </w:r>
            <w:r>
              <w:rPr>
                <w:bCs/>
                <w:color w:val="000000" w:themeColor="text1"/>
                <w:sz w:val="24"/>
                <w14:textFill>
                  <w14:solidFill>
                    <w14:schemeClr w14:val="tx1"/>
                  </w14:solidFill>
                </w14:textFill>
              </w:rPr>
              <w:t>风机风量为</w:t>
            </w:r>
            <w:r>
              <w:rPr>
                <w:rFonts w:hint="eastAsia"/>
                <w:bCs/>
                <w:color w:val="000000" w:themeColor="text1"/>
                <w:sz w:val="24"/>
                <w14:textFill>
                  <w14:solidFill>
                    <w14:schemeClr w14:val="tx1"/>
                  </w14:solidFill>
                </w14:textFill>
              </w:rPr>
              <w:t>3000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/h，收集效率</w:t>
            </w:r>
            <w:r>
              <w:rPr>
                <w:rFonts w:hint="eastAsia"/>
                <w:bCs/>
                <w:color w:val="000000" w:themeColor="text1"/>
                <w:sz w:val="24"/>
                <w14:textFill>
                  <w14:solidFill>
                    <w14:schemeClr w14:val="tx1"/>
                  </w14:solidFill>
                </w14:textFill>
              </w:rPr>
              <w:t>为85</w:t>
            </w:r>
            <w:r>
              <w:rPr>
                <w:bCs/>
                <w:color w:val="000000" w:themeColor="text1"/>
                <w:sz w:val="24"/>
                <w14:textFill>
                  <w14:solidFill>
                    <w14:schemeClr w14:val="tx1"/>
                  </w14:solidFill>
                </w14:textFill>
              </w:rPr>
              <w:t>%，则</w:t>
            </w:r>
            <w:r>
              <w:rPr>
                <w:rFonts w:hint="eastAsia"/>
                <w:bCs/>
                <w:color w:val="000000" w:themeColor="text1"/>
                <w:sz w:val="24"/>
                <w14:textFill>
                  <w14:solidFill>
                    <w14:schemeClr w14:val="tx1"/>
                  </w14:solidFill>
                </w14:textFill>
              </w:rPr>
              <w:t>经集气罩收集粉尘0.2979t</w:t>
            </w:r>
            <w:r>
              <w:rPr>
                <w:bCs/>
                <w:color w:val="000000" w:themeColor="text1"/>
                <w:sz w:val="24"/>
                <w14:textFill>
                  <w14:solidFill>
                    <w14:schemeClr w14:val="tx1"/>
                  </w14:solidFill>
                </w14:textFill>
              </w:rPr>
              <w:t>/a</w:t>
            </w:r>
            <w:r>
              <w:rPr>
                <w:rFonts w:hint="eastAsia"/>
                <w:bCs/>
                <w:color w:val="000000" w:themeColor="text1"/>
                <w:sz w:val="24"/>
                <w14:textFill>
                  <w14:solidFill>
                    <w14:schemeClr w14:val="tx1"/>
                  </w14:solidFill>
                </w14:textFill>
              </w:rPr>
              <w:t>；本项目焊接、切割工序年工作时间约900h，当焊接及切割工位同时工作时，收集粉尘最大量为0.331</w:t>
            </w:r>
            <w:r>
              <w:rPr>
                <w:bCs/>
                <w:color w:val="000000" w:themeColor="text1"/>
                <w:sz w:val="24"/>
                <w14:textFill>
                  <w14:solidFill>
                    <w14:schemeClr w14:val="tx1"/>
                  </w14:solidFill>
                </w14:textFill>
              </w:rPr>
              <w:t>kg/h</w:t>
            </w:r>
            <w:r>
              <w:rPr>
                <w:rFonts w:hint="eastAsia"/>
                <w:bCs/>
                <w:color w:val="000000" w:themeColor="text1"/>
                <w:sz w:val="24"/>
                <w14:textFill>
                  <w14:solidFill>
                    <w14:schemeClr w14:val="tx1"/>
                  </w14:solidFill>
                </w14:textFill>
              </w:rPr>
              <w:t>，除尘器净化效率为99%，经处理后粉尘有组织排放量为0.0033kg/h，排放浓度为1.1mg/m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，通过</w:t>
            </w:r>
            <w:r>
              <w:rPr>
                <w:bCs/>
                <w:color w:val="000000" w:themeColor="text1"/>
                <w:sz w:val="24"/>
                <w:lang w:val="zh-TW"/>
                <w14:textFill>
                  <w14:solidFill>
                    <w14:schemeClr w14:val="tx1"/>
                  </w14:solidFill>
                </w14:textFill>
              </w:rPr>
              <w:t>15m高</w:t>
            </w:r>
            <w:r>
              <w:rPr>
                <w:rFonts w:hint="eastAsia"/>
                <w:bCs/>
                <w:color w:val="000000" w:themeColor="text1"/>
                <w:sz w:val="24"/>
                <w14:textFill>
                  <w14:solidFill>
                    <w14:schemeClr w14:val="tx1"/>
                  </w14:solidFill>
                </w14:textFill>
              </w:rPr>
              <w:t>排气筒1#</w:t>
            </w:r>
            <w:r>
              <w:rPr>
                <w:bCs/>
                <w:color w:val="000000" w:themeColor="text1"/>
                <w:sz w:val="24"/>
                <w14:textFill>
                  <w14:solidFill>
                    <w14:schemeClr w14:val="tx1"/>
                  </w14:solidFill>
                </w14:textFill>
              </w:rPr>
              <w:t>排放</w:t>
            </w:r>
            <w:r>
              <w:rPr>
                <w:rFonts w:hint="eastAsia"/>
                <w:bCs/>
                <w:color w:val="000000" w:themeColor="text1"/>
                <w:sz w:val="24"/>
                <w14:textFill>
                  <w14:solidFill>
                    <w14:schemeClr w14:val="tx1"/>
                  </w14:solidFill>
                </w14:textFill>
              </w:rPr>
              <w:t>。因此，切割及焊接工序粉尘排放浓度及速率满足</w:t>
            </w:r>
            <w:r>
              <w:rPr>
                <w:rFonts w:hint="eastAsia"/>
                <w:bCs/>
                <w:color w:val="000000" w:themeColor="text1"/>
                <w:sz w:val="24"/>
                <w:lang w:val="zh-TW"/>
                <w14:textFill>
                  <w14:solidFill>
                    <w14:schemeClr w14:val="tx1"/>
                  </w14:solidFill>
                </w14:textFill>
              </w:rPr>
              <w:t>可满足《大气污染物综合排放标准》（GB16297-1996）</w:t>
            </w:r>
            <w:r>
              <w:rPr>
                <w:rFonts w:hint="eastAsia"/>
                <w:bCs/>
                <w:color w:val="000000" w:themeColor="text1"/>
                <w:sz w:val="24"/>
                <w14:textFill>
                  <w14:solidFill>
                    <w14:schemeClr w14:val="tx1"/>
                  </w14:solidFill>
                </w14:textFill>
              </w:rPr>
              <w:t>表2</w:t>
            </w:r>
            <w:r>
              <w:rPr>
                <w:rFonts w:hint="eastAsia"/>
                <w:bCs/>
                <w:color w:val="000000" w:themeColor="text1"/>
                <w:sz w:val="24"/>
                <w:lang w:val="zh-TW"/>
                <w14:textFill>
                  <w14:solidFill>
                    <w14:schemeClr w14:val="tx1"/>
                  </w14:solidFill>
                </w14:textFill>
              </w:rPr>
              <w:t>二级标准要求（</w:t>
            </w:r>
            <w:r>
              <w:rPr>
                <w:rFonts w:hint="eastAsia"/>
                <w:bCs/>
                <w:color w:val="000000" w:themeColor="text1"/>
                <w:sz w:val="24"/>
                <w14:textFill>
                  <w14:solidFill>
                    <w14:schemeClr w14:val="tx1"/>
                  </w14:solidFill>
                </w14:textFill>
              </w:rPr>
              <w:t>最高允许排放浓度120mg/m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，15m排气筒最高允许排放速率3.5kg/h</w:t>
            </w:r>
            <w:r>
              <w:rPr>
                <w:rFonts w:hint="eastAsia"/>
                <w:bCs/>
                <w:color w:val="000000" w:themeColor="text1"/>
                <w:sz w:val="24"/>
                <w:lang w:val="zh-TW"/>
                <w14:textFill>
                  <w14:solidFill>
                    <w14:schemeClr w14:val="tx1"/>
                  </w14:solidFill>
                </w14:textFill>
              </w:rPr>
              <w:t>）</w:t>
            </w:r>
            <w:r>
              <w:rPr>
                <w:rFonts w:hint="eastAsia"/>
                <w:bCs/>
                <w:color w:val="000000" w:themeColor="text1"/>
                <w:sz w:val="24"/>
                <w:szCs w:val="24"/>
                <w:lang w:val="zh-TW" w:eastAsia="zh-CN"/>
                <w14:textFill>
                  <w14:solidFill>
                    <w14:schemeClr w14:val="tx1"/>
                  </w14:solidFill>
                </w14:textFill>
              </w:rPr>
              <w:t>，</w:t>
            </w:r>
            <w:r>
              <w:rPr>
                <w:rFonts w:ascii="Times New Roman" w:hAnsi="Times New Roman"/>
                <w:b/>
                <w:bCs/>
                <w:color w:val="000000" w:themeColor="text1"/>
                <w:sz w:val="24"/>
                <w:szCs w:val="24"/>
                <w:u w:val="single"/>
                <w14:textFill>
                  <w14:solidFill>
                    <w14:schemeClr w14:val="tx1"/>
                  </w14:solidFill>
                </w14:textFill>
              </w:rPr>
              <w:t>同时排放浓度满足《洛阳市2020年工业污染治理专项方案的通知》（洛环攻坚办〔2020〕14号）焊接颗粒物10mg/m</w:t>
            </w:r>
            <w:r>
              <w:rPr>
                <w:rFonts w:ascii="Times New Roman" w:hAnsi="Times New Roman"/>
                <w:b/>
                <w:bCs/>
                <w:color w:val="000000" w:themeColor="text1"/>
                <w:sz w:val="24"/>
                <w:szCs w:val="24"/>
                <w:u w:val="single"/>
                <w:vertAlign w:val="superscript"/>
                <w14:textFill>
                  <w14:solidFill>
                    <w14:schemeClr w14:val="tx1"/>
                  </w14:solidFill>
                </w14:textFill>
              </w:rPr>
              <w:t>3</w:t>
            </w:r>
            <w:r>
              <w:rPr>
                <w:rFonts w:ascii="Times New Roman" w:hAnsi="Times New Roman"/>
                <w:b/>
                <w:bCs/>
                <w:color w:val="000000" w:themeColor="text1"/>
                <w:sz w:val="24"/>
                <w:szCs w:val="24"/>
                <w:u w:val="single"/>
                <w14:textFill>
                  <w14:solidFill>
                    <w14:schemeClr w14:val="tx1"/>
                  </w14:solidFill>
                </w14:textFill>
              </w:rPr>
              <w:t>标准要求。</w:t>
            </w:r>
          </w:p>
          <w:p>
            <w:pPr>
              <w:pStyle w:val="6"/>
              <w:numPr>
                <w:ilvl w:val="0"/>
                <w:numId w:val="0"/>
              </w:numPr>
              <w:ind w:firstLine="480" w:firstLineChars="200"/>
              <w:rPr>
                <w:b w:val="0"/>
                <w:bCs/>
                <w:color w:val="000000" w:themeColor="text1"/>
                <w:kern w:val="2"/>
                <w14:textFill>
                  <w14:solidFill>
                    <w14:schemeClr w14:val="tx1"/>
                  </w14:solidFill>
                </w14:textFill>
              </w:rPr>
            </w:pPr>
            <w:r>
              <w:rPr>
                <w:rFonts w:hint="eastAsia"/>
                <w:b w:val="0"/>
                <w:bCs/>
                <w:color w:val="000000" w:themeColor="text1"/>
                <w:kern w:val="2"/>
                <w14:textFill>
                  <w14:solidFill>
                    <w14:schemeClr w14:val="tx1"/>
                  </w14:solidFill>
                </w14:textFill>
              </w:rPr>
              <w:t>（2）喷塑粉尘</w:t>
            </w:r>
          </w:p>
          <w:p>
            <w:pPr>
              <w:tabs>
                <w:tab w:val="left" w:pos="595"/>
              </w:tabs>
              <w:adjustRightInd w:val="0"/>
              <w:snapToGrid w:val="0"/>
              <w:spacing w:line="460" w:lineRule="exact"/>
              <w:ind w:firstLine="480" w:firstLineChars="200"/>
              <w:rPr>
                <w:bCs/>
                <w:color w:val="000000" w:themeColor="text1"/>
                <w:sz w:val="24"/>
                <w14:textFill>
                  <w14:solidFill>
                    <w14:schemeClr w14:val="tx1"/>
                  </w14:solidFill>
                </w14:textFill>
              </w:rPr>
            </w:pPr>
            <w:r>
              <w:rPr>
                <w:bCs/>
                <w:color w:val="000000" w:themeColor="text1"/>
                <w:sz w:val="24"/>
                <w:lang w:val="zh-TW"/>
                <w14:textFill>
                  <w14:solidFill>
                    <w14:schemeClr w14:val="tx1"/>
                  </w14:solidFill>
                </w14:textFill>
              </w:rPr>
              <w:t>本项目设置</w:t>
            </w:r>
            <w:r>
              <w:rPr>
                <w:rFonts w:hint="eastAsia"/>
                <w:bCs/>
                <w:color w:val="000000" w:themeColor="text1"/>
                <w:sz w:val="24"/>
                <w14:textFill>
                  <w14:solidFill>
                    <w14:schemeClr w14:val="tx1"/>
                  </w14:solidFill>
                </w14:textFill>
              </w:rPr>
              <w:t>1</w:t>
            </w:r>
            <w:r>
              <w:rPr>
                <w:bCs/>
                <w:color w:val="000000" w:themeColor="text1"/>
                <w:sz w:val="24"/>
                <w:lang w:val="zh-TW"/>
                <w14:textFill>
                  <w14:solidFill>
                    <w14:schemeClr w14:val="tx1"/>
                  </w14:solidFill>
                </w14:textFill>
              </w:rPr>
              <w:t>个喷塑</w:t>
            </w:r>
            <w:r>
              <w:rPr>
                <w:rFonts w:hint="eastAsia"/>
                <w:bCs/>
                <w:color w:val="000000" w:themeColor="text1"/>
                <w:sz w:val="24"/>
                <w14:textFill>
                  <w14:solidFill>
                    <w14:schemeClr w14:val="tx1"/>
                  </w14:solidFill>
                </w14:textFill>
              </w:rPr>
              <w:t>间（2个工位），</w:t>
            </w:r>
            <w:r>
              <w:rPr>
                <w:bCs/>
                <w:color w:val="000000" w:themeColor="text1"/>
                <w:sz w:val="24"/>
                <w14:textFill>
                  <w14:solidFill>
                    <w14:schemeClr w14:val="tx1"/>
                  </w14:solidFill>
                </w14:textFill>
              </w:rPr>
              <w:t>喷粉间产生的粉尘经</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套旋风除尘+滤筒二级除尘设施处理后</w:t>
            </w:r>
            <w:r>
              <w:rPr>
                <w:rFonts w:hint="eastAsia"/>
                <w:bCs/>
                <w:color w:val="000000" w:themeColor="text1"/>
                <w:sz w:val="24"/>
                <w14:textFill>
                  <w14:solidFill>
                    <w14:schemeClr w14:val="tx1"/>
                  </w14:solidFill>
                </w14:textFill>
              </w:rPr>
              <w:t>由</w:t>
            </w:r>
            <w:r>
              <w:rPr>
                <w:bCs/>
                <w:color w:val="000000" w:themeColor="text1"/>
                <w:sz w:val="24"/>
                <w14:textFill>
                  <w14:solidFill>
                    <w14:schemeClr w14:val="tx1"/>
                  </w14:solidFill>
                </w14:textFill>
              </w:rPr>
              <w:t>15m</w:t>
            </w:r>
            <w:r>
              <w:rPr>
                <w:rFonts w:hint="eastAsia"/>
                <w:bCs/>
                <w:color w:val="000000" w:themeColor="text1"/>
                <w:sz w:val="24"/>
                <w14:textFill>
                  <w14:solidFill>
                    <w14:schemeClr w14:val="tx1"/>
                  </w14:solidFill>
                </w14:textFill>
              </w:rPr>
              <w:t>高</w:t>
            </w:r>
            <w:r>
              <w:rPr>
                <w:bCs/>
                <w:color w:val="000000" w:themeColor="text1"/>
                <w:sz w:val="24"/>
                <w14:textFill>
                  <w14:solidFill>
                    <w14:schemeClr w14:val="tx1"/>
                  </w14:solidFill>
                </w14:textFill>
              </w:rPr>
              <w:t>排气筒排放。</w:t>
            </w:r>
            <w:r>
              <w:rPr>
                <w:rFonts w:hint="eastAsia"/>
                <w:bCs/>
                <w:color w:val="000000" w:themeColor="text1"/>
                <w:sz w:val="24"/>
                <w14:textFill>
                  <w14:solidFill>
                    <w14:schemeClr w14:val="tx1"/>
                  </w14:solidFill>
                </w14:textFill>
              </w:rPr>
              <w:t>参考《排放源统计调查产排污核算方法和系数手册》（公告2021年第24号）金属家具制造行业系数手册——金属家具制造行业系数表“涂料--喷粉--颗粒物产污系数390克/公斤-涂料”，</w:t>
            </w:r>
            <w:r>
              <w:rPr>
                <w:rFonts w:hint="eastAsia"/>
                <w:b/>
                <w:bCs w:val="0"/>
                <w:color w:val="000000" w:themeColor="text1"/>
                <w:sz w:val="24"/>
                <w:u w:val="single"/>
                <w14:textFill>
                  <w14:solidFill>
                    <w14:schemeClr w14:val="tx1"/>
                  </w14:solidFill>
                </w14:textFill>
              </w:rPr>
              <w:t>本项目塑粉年使用量为</w:t>
            </w:r>
            <w:r>
              <w:rPr>
                <w:rFonts w:hint="eastAsia"/>
                <w:b/>
                <w:bCs w:val="0"/>
                <w:color w:val="000000" w:themeColor="text1"/>
                <w:sz w:val="24"/>
                <w:u w:val="single"/>
                <w:lang w:val="en-US" w:eastAsia="zh-CN"/>
                <w14:textFill>
                  <w14:solidFill>
                    <w14:schemeClr w14:val="tx1"/>
                  </w14:solidFill>
                </w14:textFill>
              </w:rPr>
              <w:t>12</w:t>
            </w:r>
            <w:r>
              <w:rPr>
                <w:rFonts w:hint="eastAsia"/>
                <w:b/>
                <w:bCs w:val="0"/>
                <w:color w:val="000000" w:themeColor="text1"/>
                <w:sz w:val="24"/>
                <w:u w:val="single"/>
                <w14:textFill>
                  <w14:solidFill>
                    <w14:schemeClr w14:val="tx1"/>
                  </w14:solidFill>
                </w14:textFill>
              </w:rPr>
              <w:t>t，</w:t>
            </w:r>
            <w:r>
              <w:rPr>
                <w:rFonts w:hint="eastAsia"/>
                <w:b/>
                <w:bCs w:val="0"/>
                <w:color w:val="000000" w:themeColor="text1"/>
                <w:sz w:val="24"/>
                <w:u w:val="single"/>
                <w:lang w:val="zh-TW"/>
                <w14:textFill>
                  <w14:solidFill>
                    <w14:schemeClr w14:val="tx1"/>
                  </w14:solidFill>
                </w14:textFill>
              </w:rPr>
              <w:t>则</w:t>
            </w:r>
            <w:r>
              <w:rPr>
                <w:rFonts w:hint="eastAsia"/>
                <w:b/>
                <w:bCs w:val="0"/>
                <w:color w:val="000000" w:themeColor="text1"/>
                <w:sz w:val="24"/>
                <w:u w:val="single"/>
                <w14:textFill>
                  <w14:solidFill>
                    <w14:schemeClr w14:val="tx1"/>
                  </w14:solidFill>
                </w14:textFill>
              </w:rPr>
              <w:t>喷塑过程</w:t>
            </w:r>
            <w:r>
              <w:rPr>
                <w:rFonts w:hint="eastAsia"/>
                <w:b/>
                <w:bCs w:val="0"/>
                <w:color w:val="000000" w:themeColor="text1"/>
                <w:sz w:val="24"/>
                <w:u w:val="single"/>
                <w:lang w:val="zh-TW"/>
                <w14:textFill>
                  <w14:solidFill>
                    <w14:schemeClr w14:val="tx1"/>
                  </w14:solidFill>
                </w14:textFill>
              </w:rPr>
              <w:t>粉尘产生量为</w:t>
            </w:r>
            <w:r>
              <w:rPr>
                <w:rFonts w:hint="eastAsia"/>
                <w:b/>
                <w:bCs w:val="0"/>
                <w:color w:val="000000" w:themeColor="text1"/>
                <w:sz w:val="24"/>
                <w:u w:val="single"/>
                <w:lang w:eastAsia="zh-CN"/>
                <w14:textFill>
                  <w14:solidFill>
                    <w14:schemeClr w14:val="tx1"/>
                  </w14:solidFill>
                </w14:textFill>
              </w:rPr>
              <w:t>4</w:t>
            </w:r>
            <w:r>
              <w:rPr>
                <w:rFonts w:hint="eastAsia"/>
                <w:b/>
                <w:bCs w:val="0"/>
                <w:color w:val="000000" w:themeColor="text1"/>
                <w:sz w:val="24"/>
                <w:u w:val="single"/>
                <w:lang w:val="en-US" w:eastAsia="zh-CN"/>
                <w14:textFill>
                  <w14:solidFill>
                    <w14:schemeClr w14:val="tx1"/>
                  </w14:solidFill>
                </w14:textFill>
              </w:rPr>
              <w:t>.68</w:t>
            </w:r>
            <w:r>
              <w:rPr>
                <w:rFonts w:hint="eastAsia"/>
                <w:b/>
                <w:bCs w:val="0"/>
                <w:color w:val="000000" w:themeColor="text1"/>
                <w:sz w:val="24"/>
                <w:u w:val="single"/>
                <w:lang w:val="zh-TW"/>
                <w14:textFill>
                  <w14:solidFill>
                    <w14:schemeClr w14:val="tx1"/>
                  </w14:solidFill>
                </w14:textFill>
              </w:rPr>
              <w:t>t/a。</w:t>
            </w:r>
          </w:p>
          <w:p>
            <w:pPr>
              <w:tabs>
                <w:tab w:val="left" w:pos="595"/>
              </w:tabs>
              <w:adjustRightInd w:val="0"/>
              <w:snapToGrid w:val="0"/>
              <w:spacing w:line="460" w:lineRule="exact"/>
              <w:ind w:firstLine="482" w:firstLineChars="200"/>
              <w:rPr>
                <w:b/>
                <w:bCs w:val="0"/>
                <w:color w:val="000000" w:themeColor="text1"/>
                <w:sz w:val="24"/>
                <w:u w:val="single"/>
                <w14:textFill>
                  <w14:solidFill>
                    <w14:schemeClr w14:val="tx1"/>
                  </w14:solidFill>
                </w14:textFill>
              </w:rPr>
            </w:pPr>
            <w:r>
              <w:rPr>
                <w:rFonts w:hint="eastAsia"/>
                <w:b/>
                <w:bCs w:val="0"/>
                <w:color w:val="000000" w:themeColor="text1"/>
                <w:sz w:val="24"/>
                <w:u w:val="single"/>
                <w14:textFill>
                  <w14:solidFill>
                    <w14:schemeClr w14:val="tx1"/>
                  </w14:solidFill>
                </w14:textFill>
              </w:rPr>
              <w:t>未附着塑粉</w:t>
            </w:r>
            <w:r>
              <w:rPr>
                <w:b/>
                <w:bCs w:val="0"/>
                <w:color w:val="000000" w:themeColor="text1"/>
                <w:sz w:val="24"/>
                <w:u w:val="single"/>
                <w14:textFill>
                  <w14:solidFill>
                    <w14:schemeClr w14:val="tx1"/>
                  </w14:solidFill>
                </w14:textFill>
              </w:rPr>
              <w:t>其中98%进入旋风除尘器，</w:t>
            </w:r>
            <w:r>
              <w:rPr>
                <w:rFonts w:hint="eastAsia"/>
                <w:b/>
                <w:bCs w:val="0"/>
                <w:color w:val="000000" w:themeColor="text1"/>
                <w:sz w:val="24"/>
                <w:u w:val="single"/>
                <w14:textFill>
                  <w14:solidFill>
                    <w14:schemeClr w14:val="tx1"/>
                  </w14:solidFill>
                </w14:textFill>
              </w:rPr>
              <w:t>风机风量为</w:t>
            </w:r>
            <w:r>
              <w:rPr>
                <w:rFonts w:hint="eastAsia"/>
                <w:b/>
                <w:bCs w:val="0"/>
                <w:color w:val="000000" w:themeColor="text1"/>
                <w:sz w:val="24"/>
                <w:u w:val="single"/>
                <w:lang w:val="en-US" w:eastAsia="zh-CN"/>
                <w14:textFill>
                  <w14:solidFill>
                    <w14:schemeClr w14:val="tx1"/>
                  </w14:solidFill>
                </w14:textFill>
              </w:rPr>
              <w:t>10000</w:t>
            </w:r>
            <w:r>
              <w:rPr>
                <w:rFonts w:hint="eastAsia"/>
                <w:b/>
                <w:bCs w:val="0"/>
                <w:color w:val="000000" w:themeColor="text1"/>
                <w:sz w:val="24"/>
                <w:u w:val="single"/>
                <w14:textFill>
                  <w14:solidFill>
                    <w14:schemeClr w14:val="tx1"/>
                  </w14:solidFill>
                </w14:textFill>
              </w:rPr>
              <w:t>m</w:t>
            </w:r>
            <w:r>
              <w:rPr>
                <w:rFonts w:hint="eastAsia"/>
                <w:b/>
                <w:bCs w:val="0"/>
                <w:color w:val="000000" w:themeColor="text1"/>
                <w:sz w:val="24"/>
                <w:u w:val="single"/>
                <w:vertAlign w:val="superscript"/>
                <w14:textFill>
                  <w14:solidFill>
                    <w14:schemeClr w14:val="tx1"/>
                  </w14:solidFill>
                </w14:textFill>
              </w:rPr>
              <w:t>3</w:t>
            </w:r>
            <w:r>
              <w:rPr>
                <w:rFonts w:hint="eastAsia"/>
                <w:b/>
                <w:bCs w:val="0"/>
                <w:color w:val="000000" w:themeColor="text1"/>
                <w:sz w:val="24"/>
                <w:u w:val="single"/>
                <w14:textFill>
                  <w14:solidFill>
                    <w14:schemeClr w14:val="tx1"/>
                  </w14:solidFill>
                </w14:textFill>
              </w:rPr>
              <w:t>/h，</w:t>
            </w:r>
            <w:r>
              <w:rPr>
                <w:b/>
                <w:bCs w:val="0"/>
                <w:color w:val="000000" w:themeColor="text1"/>
                <w:sz w:val="24"/>
                <w:u w:val="single"/>
                <w14:textFill>
                  <w14:solidFill>
                    <w14:schemeClr w14:val="tx1"/>
                  </w14:solidFill>
                </w14:textFill>
              </w:rPr>
              <w:t>则除尘器进口粉尘量为</w:t>
            </w:r>
            <w:r>
              <w:rPr>
                <w:rFonts w:hint="eastAsia"/>
                <w:b/>
                <w:bCs w:val="0"/>
                <w:color w:val="000000" w:themeColor="text1"/>
                <w:sz w:val="24"/>
                <w:u w:val="single"/>
                <w:lang w:eastAsia="zh-CN"/>
                <w14:textFill>
                  <w14:solidFill>
                    <w14:schemeClr w14:val="tx1"/>
                  </w14:solidFill>
                </w14:textFill>
              </w:rPr>
              <w:t>4</w:t>
            </w:r>
            <w:r>
              <w:rPr>
                <w:rFonts w:hint="eastAsia"/>
                <w:b/>
                <w:bCs w:val="0"/>
                <w:color w:val="000000" w:themeColor="text1"/>
                <w:sz w:val="24"/>
                <w:u w:val="single"/>
                <w:lang w:val="en-US" w:eastAsia="zh-CN"/>
                <w14:textFill>
                  <w14:solidFill>
                    <w14:schemeClr w14:val="tx1"/>
                  </w14:solidFill>
                </w14:textFill>
              </w:rPr>
              <w:t>.5864</w:t>
            </w:r>
            <w:r>
              <w:rPr>
                <w:b/>
                <w:bCs w:val="0"/>
                <w:color w:val="000000" w:themeColor="text1"/>
                <w:sz w:val="24"/>
                <w:u w:val="single"/>
                <w:lang w:val="zh-TW"/>
                <w14:textFill>
                  <w14:solidFill>
                    <w14:schemeClr w14:val="tx1"/>
                  </w14:solidFill>
                </w14:textFill>
              </w:rPr>
              <w:t>t/a</w:t>
            </w:r>
            <w:r>
              <w:rPr>
                <w:rFonts w:hint="eastAsia"/>
                <w:b/>
                <w:bCs w:val="0"/>
                <w:color w:val="000000" w:themeColor="text1"/>
                <w:sz w:val="24"/>
                <w:u w:val="single"/>
                <w14:textFill>
                  <w14:solidFill>
                    <w14:schemeClr w14:val="tx1"/>
                  </w14:solidFill>
                </w14:textFill>
              </w:rPr>
              <w:t>；经除尘效率85%的旋风除尘器处理后再由除尘效率90%的滤筒除尘器处理（二级除尘对颗粒物总去除效率为98.5%</w:t>
            </w:r>
            <w:r>
              <w:rPr>
                <w:rFonts w:hint="eastAsia"/>
                <w:b/>
                <w:bCs w:val="0"/>
                <w:color w:val="000000" w:themeColor="text1"/>
                <w:sz w:val="24"/>
                <w:u w:val="single"/>
                <w:lang w:eastAsia="zh-CN"/>
                <w14:textFill>
                  <w14:solidFill>
                    <w14:schemeClr w14:val="tx1"/>
                  </w14:solidFill>
                </w14:textFill>
              </w:rPr>
              <w:t>，</w:t>
            </w:r>
            <w:r>
              <w:rPr>
                <w:rFonts w:hint="eastAsia"/>
                <w:b/>
                <w:bCs w:val="0"/>
                <w:color w:val="000000" w:themeColor="text1"/>
                <w:sz w:val="24"/>
                <w:u w:val="single"/>
                <w:lang w:val="en-US" w:eastAsia="zh-CN"/>
                <w14:textFill>
                  <w14:solidFill>
                    <w14:schemeClr w14:val="tx1"/>
                  </w14:solidFill>
                </w14:textFill>
              </w:rPr>
              <w:t>可满足</w:t>
            </w:r>
            <w:r>
              <w:rPr>
                <w:rFonts w:hint="eastAsia"/>
                <w:b/>
                <w:bCs/>
                <w:color w:val="000000" w:themeColor="text1"/>
                <w:kern w:val="0"/>
                <w:sz w:val="24"/>
                <w:u w:val="single"/>
                <w14:textFill>
                  <w14:solidFill>
                    <w14:schemeClr w14:val="tx1"/>
                  </w14:solidFill>
                </w14:textFill>
              </w:rPr>
              <w:t>《</w:t>
            </w:r>
            <w:r>
              <w:rPr>
                <w:rFonts w:hint="eastAsia"/>
                <w:b/>
                <w:bCs/>
                <w:color w:val="000000" w:themeColor="text1"/>
                <w:kern w:val="0"/>
                <w:sz w:val="24"/>
                <w:u w:val="single"/>
                <w:lang w:eastAsia="zh-CN"/>
                <w14:textFill>
                  <w14:solidFill>
                    <w14:schemeClr w14:val="tx1"/>
                  </w14:solidFill>
                </w14:textFill>
              </w:rPr>
              <w:t>偃师市</w:t>
            </w:r>
            <w:r>
              <w:rPr>
                <w:rFonts w:hint="eastAsia"/>
                <w:b/>
                <w:bCs/>
                <w:color w:val="000000" w:themeColor="text1"/>
                <w:kern w:val="0"/>
                <w:sz w:val="24"/>
                <w:u w:val="single"/>
                <w14:textFill>
                  <w14:solidFill>
                    <w14:schemeClr w14:val="tx1"/>
                  </w14:solidFill>
                </w14:textFill>
              </w:rPr>
              <w:t>钢制家具行业规范标准（试行）》（偃政办〔2019〕10号）</w:t>
            </w:r>
            <w:r>
              <w:rPr>
                <w:rFonts w:hint="eastAsia"/>
                <w:b/>
                <w:bCs/>
                <w:color w:val="000000" w:themeColor="text1"/>
                <w:kern w:val="0"/>
                <w:sz w:val="24"/>
                <w:u w:val="single"/>
                <w:lang w:val="en-US" w:eastAsia="zh-CN"/>
                <w14:textFill>
                  <w14:solidFill>
                    <w14:schemeClr w14:val="tx1"/>
                  </w14:solidFill>
                </w14:textFill>
              </w:rPr>
              <w:t>中经</w:t>
            </w:r>
            <w:r>
              <w:rPr>
                <w:rFonts w:hint="eastAsia"/>
                <w:b/>
                <w:bCs/>
                <w:color w:val="000000" w:themeColor="text1"/>
                <w:kern w:val="0"/>
                <w:sz w:val="24"/>
                <w:u w:val="single"/>
                <w14:textFill>
                  <w14:solidFill>
                    <w14:schemeClr w14:val="tx1"/>
                  </w14:solidFill>
                </w14:textFill>
              </w:rPr>
              <w:t>两级除尘器后的设计总除尘效率大于98%</w:t>
            </w:r>
            <w:r>
              <w:rPr>
                <w:rFonts w:hint="eastAsia"/>
                <w:b/>
                <w:bCs/>
                <w:color w:val="000000" w:themeColor="text1"/>
                <w:kern w:val="0"/>
                <w:sz w:val="24"/>
                <w:u w:val="single"/>
                <w:lang w:val="en-US" w:eastAsia="zh-CN"/>
                <w14:textFill>
                  <w14:solidFill>
                    <w14:schemeClr w14:val="tx1"/>
                  </w14:solidFill>
                </w14:textFill>
              </w:rPr>
              <w:t>的要求</w:t>
            </w:r>
            <w:r>
              <w:rPr>
                <w:rFonts w:hint="eastAsia"/>
                <w:b/>
                <w:bCs w:val="0"/>
                <w:color w:val="000000" w:themeColor="text1"/>
                <w:sz w:val="24"/>
                <w:u w:val="single"/>
                <w14:textFill>
                  <w14:solidFill>
                    <w14:schemeClr w14:val="tx1"/>
                  </w14:solidFill>
                </w14:textFill>
              </w:rPr>
              <w:t>）。经二级除尘处理后由</w:t>
            </w:r>
            <w:r>
              <w:rPr>
                <w:b/>
                <w:bCs w:val="0"/>
                <w:color w:val="000000" w:themeColor="text1"/>
                <w:sz w:val="24"/>
                <w:u w:val="single"/>
                <w14:textFill>
                  <w14:solidFill>
                    <w14:schemeClr w14:val="tx1"/>
                  </w14:solidFill>
                </w14:textFill>
              </w:rPr>
              <w:t>15</w:t>
            </w:r>
            <w:r>
              <w:rPr>
                <w:rFonts w:hint="eastAsia"/>
                <w:b/>
                <w:bCs w:val="0"/>
                <w:color w:val="000000" w:themeColor="text1"/>
                <w:sz w:val="24"/>
                <w:u w:val="single"/>
                <w14:textFill>
                  <w14:solidFill>
                    <w14:schemeClr w14:val="tx1"/>
                  </w14:solidFill>
                </w14:textFill>
              </w:rPr>
              <w:t>m</w:t>
            </w:r>
            <w:r>
              <w:rPr>
                <w:b/>
                <w:bCs w:val="0"/>
                <w:color w:val="000000" w:themeColor="text1"/>
                <w:sz w:val="24"/>
                <w:u w:val="single"/>
                <w14:textFill>
                  <w14:solidFill>
                    <w14:schemeClr w14:val="tx1"/>
                  </w14:solidFill>
                </w14:textFill>
              </w:rPr>
              <w:t>排气筒</w:t>
            </w:r>
            <w:r>
              <w:rPr>
                <w:rFonts w:hint="eastAsia"/>
                <w:b/>
                <w:bCs w:val="0"/>
                <w:color w:val="000000" w:themeColor="text1"/>
                <w:sz w:val="24"/>
                <w:u w:val="single"/>
                <w14:textFill>
                  <w14:solidFill>
                    <w14:schemeClr w14:val="tx1"/>
                  </w14:solidFill>
                </w14:textFill>
              </w:rPr>
              <w:t>2#</w:t>
            </w:r>
            <w:r>
              <w:rPr>
                <w:b/>
                <w:bCs w:val="0"/>
                <w:color w:val="000000" w:themeColor="text1"/>
                <w:sz w:val="24"/>
                <w:u w:val="single"/>
                <w14:textFill>
                  <w14:solidFill>
                    <w14:schemeClr w14:val="tx1"/>
                  </w14:solidFill>
                </w14:textFill>
              </w:rPr>
              <w:t>排放</w:t>
            </w:r>
            <w:r>
              <w:rPr>
                <w:rFonts w:hint="eastAsia"/>
                <w:b/>
                <w:bCs w:val="0"/>
                <w:color w:val="000000" w:themeColor="text1"/>
                <w:sz w:val="24"/>
                <w:u w:val="single"/>
                <w14:textFill>
                  <w14:solidFill>
                    <w14:schemeClr w14:val="tx1"/>
                  </w14:solidFill>
                </w14:textFill>
              </w:rPr>
              <w:t>。</w:t>
            </w:r>
          </w:p>
          <w:p>
            <w:pPr>
              <w:tabs>
                <w:tab w:val="left" w:pos="595"/>
              </w:tabs>
              <w:adjustRightInd w:val="0"/>
              <w:snapToGrid w:val="0"/>
              <w:spacing w:line="460" w:lineRule="exact"/>
              <w:ind w:firstLine="482" w:firstLineChars="200"/>
              <w:rPr>
                <w:bCs/>
                <w:color w:val="000000" w:themeColor="text1"/>
                <w:sz w:val="24"/>
                <w:lang w:val="zh-TW"/>
                <w14:textFill>
                  <w14:solidFill>
                    <w14:schemeClr w14:val="tx1"/>
                  </w14:solidFill>
                </w14:textFill>
              </w:rPr>
            </w:pPr>
            <w:r>
              <w:rPr>
                <w:rFonts w:hint="eastAsia"/>
                <w:b/>
                <w:bCs w:val="0"/>
                <w:color w:val="000000" w:themeColor="text1"/>
                <w:sz w:val="24"/>
                <w:u w:val="single"/>
                <w14:textFill>
                  <w14:solidFill>
                    <w14:schemeClr w14:val="tx1"/>
                  </w14:solidFill>
                </w14:textFill>
              </w:rPr>
              <w:t>本项目喷塑工位年工作1800h</w:t>
            </w:r>
            <w:r>
              <w:rPr>
                <w:b/>
                <w:bCs w:val="0"/>
                <w:color w:val="000000" w:themeColor="text1"/>
                <w:sz w:val="24"/>
                <w:u w:val="single"/>
                <w14:textFill>
                  <w14:solidFill>
                    <w14:schemeClr w14:val="tx1"/>
                  </w14:solidFill>
                </w14:textFill>
              </w:rPr>
              <w:t>，</w:t>
            </w:r>
            <w:r>
              <w:rPr>
                <w:rFonts w:hint="eastAsia"/>
                <w:b/>
                <w:bCs w:val="0"/>
                <w:color w:val="000000" w:themeColor="text1"/>
                <w:sz w:val="24"/>
                <w:u w:val="single"/>
                <w14:textFill>
                  <w14:solidFill>
                    <w14:schemeClr w14:val="tx1"/>
                  </w14:solidFill>
                </w14:textFill>
              </w:rPr>
              <w:t>则经处理后粉尘有组织排放量为</w:t>
            </w:r>
            <w:r>
              <w:rPr>
                <w:rFonts w:hint="eastAsia"/>
                <w:b/>
                <w:bCs w:val="0"/>
                <w:color w:val="000000" w:themeColor="text1"/>
                <w:sz w:val="24"/>
                <w:u w:val="single"/>
                <w:lang w:val="en-US" w:eastAsia="zh-CN"/>
                <w14:textFill>
                  <w14:solidFill>
                    <w14:schemeClr w14:val="tx1"/>
                  </w14:solidFill>
                </w14:textFill>
              </w:rPr>
              <w:t>0.0688</w:t>
            </w:r>
            <w:r>
              <w:rPr>
                <w:rFonts w:hint="eastAsia"/>
                <w:b/>
                <w:bCs w:val="0"/>
                <w:color w:val="000000" w:themeColor="text1"/>
                <w:sz w:val="24"/>
                <w:u w:val="single"/>
                <w14:textFill>
                  <w14:solidFill>
                    <w14:schemeClr w14:val="tx1"/>
                  </w14:solidFill>
                </w14:textFill>
              </w:rPr>
              <w:t>t</w:t>
            </w:r>
            <w:r>
              <w:rPr>
                <w:b/>
                <w:bCs w:val="0"/>
                <w:color w:val="000000" w:themeColor="text1"/>
                <w:sz w:val="24"/>
                <w:u w:val="single"/>
                <w14:textFill>
                  <w14:solidFill>
                    <w14:schemeClr w14:val="tx1"/>
                  </w14:solidFill>
                </w14:textFill>
              </w:rPr>
              <w:t>/a</w:t>
            </w:r>
            <w:r>
              <w:rPr>
                <w:rFonts w:hint="eastAsia"/>
                <w:b/>
                <w:bCs w:val="0"/>
                <w:color w:val="000000" w:themeColor="text1"/>
                <w:sz w:val="24"/>
                <w:u w:val="single"/>
                <w14:textFill>
                  <w14:solidFill>
                    <w14:schemeClr w14:val="tx1"/>
                  </w14:solidFill>
                </w14:textFill>
              </w:rPr>
              <w:t>（</w:t>
            </w:r>
            <w:r>
              <w:rPr>
                <w:rFonts w:hint="eastAsia"/>
                <w:b/>
                <w:bCs w:val="0"/>
                <w:color w:val="000000" w:themeColor="text1"/>
                <w:sz w:val="24"/>
                <w:u w:val="single"/>
                <w:lang w:val="en-US" w:eastAsia="zh-CN"/>
                <w14:textFill>
                  <w14:solidFill>
                    <w14:schemeClr w14:val="tx1"/>
                  </w14:solidFill>
                </w14:textFill>
              </w:rPr>
              <w:t>0.0382</w:t>
            </w:r>
            <w:r>
              <w:rPr>
                <w:rFonts w:hint="eastAsia"/>
                <w:b/>
                <w:bCs w:val="0"/>
                <w:color w:val="000000" w:themeColor="text1"/>
                <w:sz w:val="24"/>
                <w:u w:val="single"/>
                <w14:textFill>
                  <w14:solidFill>
                    <w14:schemeClr w14:val="tx1"/>
                  </w14:solidFill>
                </w14:textFill>
              </w:rPr>
              <w:t>kg/h），排放浓度为</w:t>
            </w:r>
            <w:r>
              <w:rPr>
                <w:rFonts w:hint="eastAsia"/>
                <w:b/>
                <w:bCs w:val="0"/>
                <w:color w:val="000000" w:themeColor="text1"/>
                <w:sz w:val="24"/>
                <w:u w:val="single"/>
                <w:lang w:eastAsia="zh-CN"/>
                <w14:textFill>
                  <w14:solidFill>
                    <w14:schemeClr w14:val="tx1"/>
                  </w14:solidFill>
                </w14:textFill>
              </w:rPr>
              <w:t>3</w:t>
            </w:r>
            <w:r>
              <w:rPr>
                <w:rFonts w:hint="eastAsia"/>
                <w:b/>
                <w:bCs w:val="0"/>
                <w:color w:val="000000" w:themeColor="text1"/>
                <w:sz w:val="24"/>
                <w:u w:val="single"/>
                <w:lang w:val="en-US" w:eastAsia="zh-CN"/>
                <w14:textFill>
                  <w14:solidFill>
                    <w14:schemeClr w14:val="tx1"/>
                  </w14:solidFill>
                </w14:textFill>
              </w:rPr>
              <w:t>.82</w:t>
            </w:r>
            <w:r>
              <w:rPr>
                <w:rFonts w:hint="eastAsia"/>
                <w:b/>
                <w:bCs w:val="0"/>
                <w:color w:val="000000" w:themeColor="text1"/>
                <w:sz w:val="24"/>
                <w:u w:val="single"/>
                <w14:textFill>
                  <w14:solidFill>
                    <w14:schemeClr w14:val="tx1"/>
                  </w14:solidFill>
                </w14:textFill>
              </w:rPr>
              <w:t>mg/m</w:t>
            </w:r>
            <w:r>
              <w:rPr>
                <w:rFonts w:hint="eastAsia"/>
                <w:b/>
                <w:bCs w:val="0"/>
                <w:color w:val="000000" w:themeColor="text1"/>
                <w:sz w:val="24"/>
                <w:u w:val="single"/>
                <w:vertAlign w:val="superscript"/>
                <w14:textFill>
                  <w14:solidFill>
                    <w14:schemeClr w14:val="tx1"/>
                  </w14:solidFill>
                </w14:textFill>
              </w:rPr>
              <w:t>3</w:t>
            </w:r>
            <w:r>
              <w:rPr>
                <w:rFonts w:hint="eastAsia"/>
                <w:bCs/>
                <w:color w:val="000000" w:themeColor="text1"/>
                <w:sz w:val="24"/>
                <w14:textFill>
                  <w14:solidFill>
                    <w14:schemeClr w14:val="tx1"/>
                  </w14:solidFill>
                </w14:textFill>
              </w:rPr>
              <w:t>，通过</w:t>
            </w:r>
            <w:r>
              <w:rPr>
                <w:bCs/>
                <w:color w:val="000000" w:themeColor="text1"/>
                <w:sz w:val="24"/>
                <w:lang w:val="zh-TW"/>
                <w14:textFill>
                  <w14:solidFill>
                    <w14:schemeClr w14:val="tx1"/>
                  </w14:solidFill>
                </w14:textFill>
              </w:rPr>
              <w:t>15m高</w:t>
            </w:r>
            <w:r>
              <w:rPr>
                <w:rFonts w:hint="eastAsia"/>
                <w:bCs/>
                <w:color w:val="000000" w:themeColor="text1"/>
                <w:sz w:val="24"/>
                <w14:textFill>
                  <w14:solidFill>
                    <w14:schemeClr w14:val="tx1"/>
                  </w14:solidFill>
                </w14:textFill>
              </w:rPr>
              <w:t>排气筒</w:t>
            </w:r>
            <w:r>
              <w:rPr>
                <w:rFonts w:hint="eastAsia"/>
                <w:bCs/>
                <w:color w:val="000000" w:themeColor="text1"/>
                <w:sz w:val="24"/>
                <w:lang w:val="en-US" w:eastAsia="zh-CN"/>
                <w14:textFill>
                  <w14:solidFill>
                    <w14:schemeClr w14:val="tx1"/>
                  </w14:solidFill>
                </w14:textFill>
              </w:rPr>
              <w:t>2</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排放</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排放浓度及速率</w:t>
            </w:r>
            <w:r>
              <w:rPr>
                <w:rFonts w:hint="eastAsia"/>
                <w:bCs/>
                <w:color w:val="000000" w:themeColor="text1"/>
                <w:sz w:val="24"/>
                <w:lang w:val="zh-TW"/>
                <w14:textFill>
                  <w14:solidFill>
                    <w14:schemeClr w14:val="tx1"/>
                  </w14:solidFill>
                </w14:textFill>
              </w:rPr>
              <w:t>可满足《大气污染物综合排放标准》（GB16297-1996）</w:t>
            </w:r>
            <w:r>
              <w:rPr>
                <w:rFonts w:hint="eastAsia"/>
                <w:bCs/>
                <w:color w:val="000000" w:themeColor="text1"/>
                <w:sz w:val="24"/>
                <w14:textFill>
                  <w14:solidFill>
                    <w14:schemeClr w14:val="tx1"/>
                  </w14:solidFill>
                </w14:textFill>
              </w:rPr>
              <w:t>表2</w:t>
            </w:r>
            <w:r>
              <w:rPr>
                <w:rFonts w:hint="eastAsia"/>
                <w:bCs/>
                <w:color w:val="000000" w:themeColor="text1"/>
                <w:sz w:val="24"/>
                <w:lang w:val="zh-TW"/>
                <w14:textFill>
                  <w14:solidFill>
                    <w14:schemeClr w14:val="tx1"/>
                  </w14:solidFill>
                </w14:textFill>
              </w:rPr>
              <w:t>二级标准要求（</w:t>
            </w:r>
            <w:r>
              <w:rPr>
                <w:rFonts w:hint="eastAsia"/>
                <w:bCs/>
                <w:color w:val="000000" w:themeColor="text1"/>
                <w:sz w:val="24"/>
                <w14:textFill>
                  <w14:solidFill>
                    <w14:schemeClr w14:val="tx1"/>
                  </w14:solidFill>
                </w14:textFill>
              </w:rPr>
              <w:t>最高允许排放浓度120mg/m</w:t>
            </w:r>
            <w:r>
              <w:rPr>
                <w:rFonts w:hint="eastAsia"/>
                <w:bCs/>
                <w:color w:val="000000" w:themeColor="text1"/>
                <w:sz w:val="24"/>
                <w:vertAlign w:val="superscript"/>
                <w14:textFill>
                  <w14:solidFill>
                    <w14:schemeClr w14:val="tx1"/>
                  </w14:solidFill>
                </w14:textFill>
              </w:rPr>
              <w:t>3</w:t>
            </w:r>
            <w:r>
              <w:rPr>
                <w:rFonts w:hint="eastAsia"/>
                <w:bCs/>
                <w:color w:val="000000" w:themeColor="text1"/>
                <w:sz w:val="24"/>
                <w14:textFill>
                  <w14:solidFill>
                    <w14:schemeClr w14:val="tx1"/>
                  </w14:solidFill>
                </w14:textFill>
              </w:rPr>
              <w:t>，15m排气筒最高允许排放速率3.5kg/h</w:t>
            </w:r>
            <w:r>
              <w:rPr>
                <w:rFonts w:hint="eastAsia"/>
                <w:bCs/>
                <w:color w:val="000000" w:themeColor="text1"/>
                <w:sz w:val="24"/>
                <w:lang w:val="zh-TW"/>
                <w14:textFill>
                  <w14:solidFill>
                    <w14:schemeClr w14:val="tx1"/>
                  </w14:solidFill>
                </w14:textFill>
              </w:rPr>
              <w:t>）。</w:t>
            </w:r>
          </w:p>
          <w:p>
            <w:pPr>
              <w:pStyle w:val="6"/>
              <w:numPr>
                <w:ilvl w:val="0"/>
                <w:numId w:val="0"/>
              </w:numPr>
              <w:ind w:firstLine="480" w:firstLineChars="200"/>
              <w:rPr>
                <w:b w:val="0"/>
                <w:bCs/>
                <w:color w:val="000000" w:themeColor="text1"/>
                <w:kern w:val="2"/>
                <w14:textFill>
                  <w14:solidFill>
                    <w14:schemeClr w14:val="tx1"/>
                  </w14:solidFill>
                </w14:textFill>
              </w:rPr>
            </w:pPr>
            <w:r>
              <w:rPr>
                <w:rFonts w:hint="eastAsia"/>
                <w:b w:val="0"/>
                <w:bCs/>
                <w:color w:val="000000" w:themeColor="text1"/>
                <w:kern w:val="2"/>
                <w14:textFill>
                  <w14:solidFill>
                    <w14:schemeClr w14:val="tx1"/>
                  </w14:solidFill>
                </w14:textFill>
              </w:rPr>
              <w:t>（3）固化废气</w:t>
            </w:r>
          </w:p>
          <w:p>
            <w:pPr>
              <w:tabs>
                <w:tab w:val="left" w:pos="595"/>
              </w:tabs>
              <w:adjustRightInd w:val="0"/>
              <w:snapToGrid w:val="0"/>
              <w:spacing w:line="46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本项目</w:t>
            </w:r>
            <w:r>
              <w:rPr>
                <w:rFonts w:hint="eastAsia"/>
                <w:bCs/>
                <w:color w:val="000000" w:themeColor="text1"/>
                <w:sz w:val="24"/>
                <w14:textFill>
                  <w14:solidFill>
                    <w14:schemeClr w14:val="tx1"/>
                  </w14:solidFill>
                </w14:textFill>
              </w:rPr>
              <w:t>喷粉后烘干采用电加热，</w:t>
            </w:r>
            <w:r>
              <w:rPr>
                <w:bCs/>
                <w:color w:val="000000" w:themeColor="text1"/>
                <w:sz w:val="24"/>
                <w14:textFill>
                  <w14:solidFill>
                    <w14:schemeClr w14:val="tx1"/>
                  </w14:solidFill>
                </w14:textFill>
              </w:rPr>
              <w:t>加热温度</w:t>
            </w:r>
            <w:r>
              <w:rPr>
                <w:rFonts w:hint="eastAsia"/>
                <w:bCs/>
                <w:color w:val="000000" w:themeColor="text1"/>
                <w:sz w:val="24"/>
                <w14:textFill>
                  <w14:solidFill>
                    <w14:schemeClr w14:val="tx1"/>
                  </w14:solidFill>
                </w14:textFill>
              </w:rPr>
              <w:t>为180~200</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未达到</w:t>
            </w:r>
            <w:r>
              <w:rPr>
                <w:bCs/>
                <w:color w:val="000000" w:themeColor="text1"/>
                <w:sz w:val="24"/>
                <w14:textFill>
                  <w14:solidFill>
                    <w14:schemeClr w14:val="tx1"/>
                  </w14:solidFill>
                </w14:textFill>
              </w:rPr>
              <w:t>树脂热分解温度300℃，在此温度下，</w:t>
            </w:r>
            <w:r>
              <w:rPr>
                <w:rFonts w:hint="eastAsia"/>
                <w:bCs/>
                <w:color w:val="000000" w:themeColor="text1"/>
                <w:kern w:val="0"/>
                <w:sz w:val="24"/>
                <w14:textFill>
                  <w14:solidFill>
                    <w14:schemeClr w14:val="tx1"/>
                  </w14:solidFill>
                </w14:textFill>
              </w:rPr>
              <w:t>部件表面喷涂的塑粉在固化过程中受热会挥发出一定量的有机废气，</w:t>
            </w:r>
            <w:r>
              <w:rPr>
                <w:bCs/>
                <w:color w:val="000000" w:themeColor="text1"/>
                <w:sz w:val="24"/>
                <w14:textFill>
                  <w14:solidFill>
                    <w14:schemeClr w14:val="tx1"/>
                  </w14:solidFill>
                </w14:textFill>
              </w:rPr>
              <w:t>以非甲烷总烃计。</w:t>
            </w:r>
            <w:r>
              <w:rPr>
                <w:rFonts w:hint="eastAsia"/>
                <w:bCs/>
                <w:color w:val="000000" w:themeColor="text1"/>
                <w:sz w:val="24"/>
                <w14:textFill>
                  <w14:solidFill>
                    <w14:schemeClr w14:val="tx1"/>
                  </w14:solidFill>
                </w14:textFill>
              </w:rPr>
              <w:t>固化烘干工作时间为以300天，日工作4h计。</w:t>
            </w:r>
            <w:r>
              <w:rPr>
                <w:b/>
                <w:bCs w:val="0"/>
                <w:color w:val="000000" w:themeColor="text1"/>
                <w:sz w:val="24"/>
                <w:u w:val="single"/>
                <w14:textFill>
                  <w14:solidFill>
                    <w14:schemeClr w14:val="tx1"/>
                  </w14:solidFill>
                </w14:textFill>
              </w:rPr>
              <w:t>本项目塑粉用量为</w:t>
            </w:r>
            <w:r>
              <w:rPr>
                <w:rFonts w:hint="eastAsia"/>
                <w:b/>
                <w:bCs w:val="0"/>
                <w:color w:val="000000" w:themeColor="text1"/>
                <w:sz w:val="24"/>
                <w:u w:val="single"/>
                <w:lang w:val="en-US" w:eastAsia="zh-CN"/>
                <w14:textFill>
                  <w14:solidFill>
                    <w14:schemeClr w14:val="tx1"/>
                  </w14:solidFill>
                </w14:textFill>
              </w:rPr>
              <w:t>12</w:t>
            </w:r>
            <w:r>
              <w:rPr>
                <w:b/>
                <w:bCs w:val="0"/>
                <w:color w:val="000000" w:themeColor="text1"/>
                <w:sz w:val="24"/>
                <w:u w:val="single"/>
                <w14:textFill>
                  <w14:solidFill>
                    <w14:schemeClr w14:val="tx1"/>
                  </w14:solidFill>
                </w14:textFill>
              </w:rPr>
              <w:t>t/a，</w:t>
            </w:r>
            <w:r>
              <w:rPr>
                <w:rFonts w:hint="eastAsia"/>
                <w:b/>
                <w:bCs w:val="0"/>
                <w:color w:val="000000" w:themeColor="text1"/>
                <w:sz w:val="24"/>
                <w:u w:val="single"/>
                <w14:textFill>
                  <w14:solidFill>
                    <w14:schemeClr w14:val="tx1"/>
                  </w14:solidFill>
                </w14:textFill>
              </w:rPr>
              <w:t>附着塑粉量为</w:t>
            </w:r>
            <w:r>
              <w:rPr>
                <w:rFonts w:hint="eastAsia"/>
                <w:b/>
                <w:bCs w:val="0"/>
                <w:color w:val="000000" w:themeColor="text1"/>
                <w:sz w:val="24"/>
                <w:u w:val="single"/>
                <w:lang w:val="en-US" w:eastAsia="zh-CN"/>
                <w14:textFill>
                  <w14:solidFill>
                    <w14:schemeClr w14:val="tx1"/>
                  </w14:solidFill>
                </w14:textFill>
              </w:rPr>
              <w:t>7.32</w:t>
            </w:r>
            <w:r>
              <w:rPr>
                <w:rFonts w:hint="eastAsia"/>
                <w:b/>
                <w:bCs w:val="0"/>
                <w:color w:val="000000" w:themeColor="text1"/>
                <w:sz w:val="24"/>
                <w:u w:val="single"/>
                <w14:textFill>
                  <w14:solidFill>
                    <w14:schemeClr w14:val="tx1"/>
                  </w14:solidFill>
                </w14:textFill>
              </w:rPr>
              <w:t>t/a，根据《喷塑行业污染物源强估算及治理方法探讨》，固化工序产生的非甲烷总烃约占塑粉量的3‰~6‰，本次固化工序非甲烷总烃产生量以塑粉量6‰计（按最不利情况），则</w:t>
            </w:r>
            <w:r>
              <w:rPr>
                <w:b/>
                <w:bCs w:val="0"/>
                <w:color w:val="000000" w:themeColor="text1"/>
                <w:sz w:val="24"/>
                <w:u w:val="single"/>
                <w14:textFill>
                  <w14:solidFill>
                    <w14:schemeClr w14:val="tx1"/>
                  </w14:solidFill>
                </w14:textFill>
              </w:rPr>
              <w:t>烘干固化过程非甲烷总烃产生量为</w:t>
            </w:r>
            <w:r>
              <w:rPr>
                <w:rFonts w:hint="eastAsia"/>
                <w:b/>
                <w:bCs w:val="0"/>
                <w:color w:val="000000" w:themeColor="text1"/>
                <w:sz w:val="24"/>
                <w:u w:val="single"/>
                <w:lang w:val="en-US" w:eastAsia="zh-CN"/>
                <w14:textFill>
                  <w14:solidFill>
                    <w14:schemeClr w14:val="tx1"/>
                  </w14:solidFill>
                </w14:textFill>
              </w:rPr>
              <w:t>0.0439</w:t>
            </w:r>
            <w:r>
              <w:rPr>
                <w:b/>
                <w:bCs w:val="0"/>
                <w:color w:val="000000" w:themeColor="text1"/>
                <w:sz w:val="24"/>
                <w:u w:val="single"/>
                <w14:textFill>
                  <w14:solidFill>
                    <w14:schemeClr w14:val="tx1"/>
                  </w14:solidFill>
                </w14:textFill>
              </w:rPr>
              <w:t>t/a。</w:t>
            </w:r>
            <w:r>
              <w:rPr>
                <w:rFonts w:hint="eastAsia"/>
                <w:b/>
                <w:bCs w:val="0"/>
                <w:color w:val="000000" w:themeColor="text1"/>
                <w:sz w:val="24"/>
                <w:u w:val="single"/>
                <w14:textFill>
                  <w14:solidFill>
                    <w14:schemeClr w14:val="tx1"/>
                  </w14:solidFill>
                </w14:textFill>
              </w:rPr>
              <w:t>建设单位拟在</w:t>
            </w:r>
            <w:r>
              <w:rPr>
                <w:rFonts w:hint="eastAsia"/>
                <w:b/>
                <w:bCs w:val="0"/>
                <w:color w:val="000000" w:themeColor="text1"/>
                <w:sz w:val="24"/>
                <w:u w:val="single"/>
                <w:lang w:val="en-US" w:eastAsia="zh-CN"/>
                <w14:textFill>
                  <w14:solidFill>
                    <w14:schemeClr w14:val="tx1"/>
                  </w14:solidFill>
                </w14:textFill>
              </w:rPr>
              <w:t>对</w:t>
            </w:r>
            <w:r>
              <w:rPr>
                <w:rFonts w:hint="eastAsia"/>
                <w:b/>
                <w:bCs w:val="0"/>
                <w:color w:val="000000" w:themeColor="text1"/>
                <w:sz w:val="24"/>
                <w:u w:val="single"/>
                <w14:textFill>
                  <w14:solidFill>
                    <w14:schemeClr w14:val="tx1"/>
                  </w14:solidFill>
                </w14:textFill>
              </w:rPr>
              <w:t>固化室</w:t>
            </w:r>
            <w:r>
              <w:rPr>
                <w:rFonts w:hint="eastAsia"/>
                <w:b/>
                <w:bCs w:val="0"/>
                <w:color w:val="000000" w:themeColor="text1"/>
                <w:sz w:val="24"/>
                <w:u w:val="single"/>
                <w:lang w:val="en-US" w:eastAsia="zh-CN"/>
                <w14:textFill>
                  <w14:solidFill>
                    <w14:schemeClr w14:val="tx1"/>
                  </w14:solidFill>
                </w14:textFill>
              </w:rPr>
              <w:t>进行二次封闭，在固化室</w:t>
            </w:r>
            <w:r>
              <w:rPr>
                <w:rFonts w:hint="eastAsia"/>
                <w:b/>
                <w:bCs w:val="0"/>
                <w:color w:val="000000" w:themeColor="text1"/>
                <w:sz w:val="24"/>
                <w:u w:val="single"/>
                <w14:textFill>
                  <w14:solidFill>
                    <w14:schemeClr w14:val="tx1"/>
                  </w14:solidFill>
                </w14:textFill>
              </w:rPr>
              <w:t>进出口上方设置集气罩，</w:t>
            </w:r>
            <w:r>
              <w:rPr>
                <w:rFonts w:hint="eastAsia"/>
                <w:bCs/>
                <w:color w:val="000000" w:themeColor="text1"/>
                <w:sz w:val="24"/>
                <w14:textFill>
                  <w14:solidFill>
                    <w14:schemeClr w14:val="tx1"/>
                  </w14:solidFill>
                </w14:textFill>
              </w:rPr>
              <w:t>集气罩收集效率约为95%，将有机废气引入1套UV光氧+活性炭吸附装置处理。废气净化效率为82.5%（UV光氧催化处理效率为30%，活性炭处理效率为75%），</w:t>
            </w:r>
            <w:r>
              <w:rPr>
                <w:bCs/>
                <w:color w:val="000000" w:themeColor="text1"/>
                <w:sz w:val="24"/>
                <w14:textFill>
                  <w14:solidFill>
                    <w14:schemeClr w14:val="tx1"/>
                  </w14:solidFill>
                </w14:textFill>
              </w:rPr>
              <w:t>风机风量为</w:t>
            </w:r>
            <w:r>
              <w:rPr>
                <w:rFonts w:hint="eastAsia"/>
                <w:bCs/>
                <w:color w:val="000000" w:themeColor="text1"/>
                <w:sz w:val="24"/>
                <w14:textFill>
                  <w14:solidFill>
                    <w14:schemeClr w14:val="tx1"/>
                  </w14:solidFill>
                </w14:textFill>
              </w:rPr>
              <w:t>3000m</w:t>
            </w:r>
            <w:r>
              <w:rPr>
                <w:rFonts w:hint="eastAsia"/>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/h</w:t>
            </w:r>
            <w:r>
              <w:rPr>
                <w:rFonts w:hint="eastAsia"/>
                <w:bCs/>
                <w:color w:val="000000" w:themeColor="text1"/>
                <w:sz w:val="24"/>
                <w14:textFill>
                  <w14:solidFill>
                    <w14:schemeClr w14:val="tx1"/>
                  </w14:solidFill>
                </w14:textFill>
              </w:rPr>
              <w:t>。风量风速根据《大气污染控制工程》（第三版）中集气罩风量计算公式进行核算：</w:t>
            </w:r>
          </w:p>
          <w:p>
            <w:pPr>
              <w:pStyle w:val="10"/>
              <w:ind w:left="0" w:leftChars="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Q=0.75（10X</w:t>
            </w:r>
            <w:r>
              <w:rPr>
                <w:rFonts w:hint="eastAsia"/>
                <w:bCs/>
                <w:color w:val="000000" w:themeColor="text1"/>
                <w:vertAlign w:val="superscript"/>
                <w14:textFill>
                  <w14:solidFill>
                    <w14:schemeClr w14:val="tx1"/>
                  </w14:solidFill>
                </w14:textFill>
              </w:rPr>
              <w:t>2</w:t>
            </w:r>
            <w:r>
              <w:rPr>
                <w:rFonts w:hint="eastAsia"/>
                <w:bCs/>
                <w:color w:val="000000" w:themeColor="text1"/>
                <w14:textFill>
                  <w14:solidFill>
                    <w14:schemeClr w14:val="tx1"/>
                  </w14:solidFill>
                </w14:textFill>
              </w:rPr>
              <w:t>+A）×V</w:t>
            </w:r>
            <w:r>
              <w:rPr>
                <w:rFonts w:hint="eastAsia"/>
                <w:bCs/>
                <w:color w:val="000000" w:themeColor="text1"/>
                <w:vertAlign w:val="subscript"/>
                <w14:textFill>
                  <w14:solidFill>
                    <w14:schemeClr w14:val="tx1"/>
                  </w14:solidFill>
                </w14:textFill>
              </w:rPr>
              <w:t>X</w:t>
            </w:r>
          </w:p>
          <w:p>
            <w:pPr>
              <w:pStyle w:val="10"/>
              <w:ind w:firstLine="120" w:firstLineChars="5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式中：Q---集气罩排风量，m</w:t>
            </w:r>
            <w:r>
              <w:rPr>
                <w:rFonts w:hint="eastAsia"/>
                <w:bCs/>
                <w:color w:val="000000" w:themeColor="text1"/>
                <w:vertAlign w:val="superscript"/>
                <w14:textFill>
                  <w14:solidFill>
                    <w14:schemeClr w14:val="tx1"/>
                  </w14:solidFill>
                </w14:textFill>
              </w:rPr>
              <w:t>3</w:t>
            </w:r>
            <w:r>
              <w:rPr>
                <w:rFonts w:hint="eastAsia"/>
                <w:bCs/>
                <w:color w:val="000000" w:themeColor="text1"/>
                <w14:textFill>
                  <w14:solidFill>
                    <w14:schemeClr w14:val="tx1"/>
                  </w14:solidFill>
                </w14:textFill>
              </w:rPr>
              <w:t>/s；</w:t>
            </w:r>
          </w:p>
          <w:p>
            <w:pPr>
              <w:pStyle w:val="10"/>
              <w:ind w:firstLine="720" w:firstLineChars="3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X---污染物产生点至集气罩口的距离，m，本项目取0.2；</w:t>
            </w:r>
          </w:p>
          <w:p>
            <w:pPr>
              <w:pStyle w:val="10"/>
              <w:ind w:firstLine="720" w:firstLineChars="3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A---集气罩口面积，m</w:t>
            </w:r>
            <w:r>
              <w:rPr>
                <w:rFonts w:hint="eastAsia"/>
                <w:bCs/>
                <w:color w:val="000000" w:themeColor="text1"/>
                <w:vertAlign w:val="superscript"/>
                <w14:textFill>
                  <w14:solidFill>
                    <w14:schemeClr w14:val="tx1"/>
                  </w14:solidFill>
                </w14:textFill>
              </w:rPr>
              <w:t>2</w:t>
            </w:r>
            <w:r>
              <w:rPr>
                <w:rFonts w:hint="eastAsia"/>
                <w:bCs/>
                <w:color w:val="000000" w:themeColor="text1"/>
                <w14:textFill>
                  <w14:solidFill>
                    <w14:schemeClr w14:val="tx1"/>
                  </w14:solidFill>
                </w14:textFill>
              </w:rPr>
              <w:t>，固化室进、出口集气罩口面积为2.0m×1.2m；</w:t>
            </w:r>
          </w:p>
          <w:p>
            <w:pPr>
              <w:pStyle w:val="10"/>
              <w:ind w:firstLine="720" w:firstLineChars="3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V</w:t>
            </w:r>
            <w:r>
              <w:rPr>
                <w:rFonts w:hint="eastAsia"/>
                <w:bCs/>
                <w:color w:val="000000" w:themeColor="text1"/>
                <w:vertAlign w:val="subscript"/>
                <w14:textFill>
                  <w14:solidFill>
                    <w14:schemeClr w14:val="tx1"/>
                  </w14:solidFill>
                </w14:textFill>
              </w:rPr>
              <w:t>X</w:t>
            </w:r>
            <w:r>
              <w:rPr>
                <w:rFonts w:hint="eastAsia"/>
                <w:bCs/>
                <w:color w:val="000000" w:themeColor="text1"/>
                <w14:textFill>
                  <w14:solidFill>
                    <w14:schemeClr w14:val="tx1"/>
                  </w14:solidFill>
                </w14:textFill>
              </w:rPr>
              <w:t>---最小控制风速，m/s，一般取0.25-0.5m/s，本项目取0.35m/s。</w:t>
            </w:r>
          </w:p>
          <w:p>
            <w:pPr>
              <w:pStyle w:val="10"/>
              <w:spacing w:after="0"/>
              <w:ind w:left="0" w:leftChars="0" w:firstLine="480" w:firstLineChars="200"/>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由此计算出集气罩</w:t>
            </w:r>
            <w:r>
              <w:rPr>
                <w:rFonts w:hint="eastAsia"/>
                <w:bCs/>
                <w:color w:val="000000" w:themeColor="text1"/>
                <w14:textFill>
                  <w14:solidFill>
                    <w14:schemeClr w14:val="tx1"/>
                  </w14:solidFill>
                </w14:textFill>
              </w:rPr>
              <w:t>排风量为0.735m</w:t>
            </w:r>
            <w:r>
              <w:rPr>
                <w:rFonts w:hint="eastAsia"/>
                <w:bCs/>
                <w:color w:val="000000" w:themeColor="text1"/>
                <w:vertAlign w:val="superscript"/>
                <w14:textFill>
                  <w14:solidFill>
                    <w14:schemeClr w14:val="tx1"/>
                  </w14:solidFill>
                </w14:textFill>
              </w:rPr>
              <w:t>3</w:t>
            </w:r>
            <w:r>
              <w:rPr>
                <w:rFonts w:hint="eastAsia"/>
                <w:bCs/>
                <w:color w:val="000000" w:themeColor="text1"/>
                <w14:textFill>
                  <w14:solidFill>
                    <w14:schemeClr w14:val="tx1"/>
                  </w14:solidFill>
                </w14:textFill>
              </w:rPr>
              <w:t>/s，即2646m</w:t>
            </w:r>
            <w:r>
              <w:rPr>
                <w:rFonts w:hint="eastAsia"/>
                <w:bCs/>
                <w:color w:val="000000" w:themeColor="text1"/>
                <w:vertAlign w:val="superscript"/>
                <w14:textFill>
                  <w14:solidFill>
                    <w14:schemeClr w14:val="tx1"/>
                  </w14:solidFill>
                </w14:textFill>
              </w:rPr>
              <w:t>3</w:t>
            </w:r>
            <w:r>
              <w:rPr>
                <w:rFonts w:hint="eastAsia"/>
                <w:bCs/>
                <w:color w:val="000000" w:themeColor="text1"/>
                <w14:textFill>
                  <w14:solidFill>
                    <w14:schemeClr w14:val="tx1"/>
                  </w14:solidFill>
                </w14:textFill>
              </w:rPr>
              <w:t>/h，本次风机风量取3000 m</w:t>
            </w:r>
            <w:r>
              <w:rPr>
                <w:rFonts w:hint="eastAsia"/>
                <w:bCs/>
                <w:color w:val="000000" w:themeColor="text1"/>
                <w:vertAlign w:val="superscript"/>
                <w14:textFill>
                  <w14:solidFill>
                    <w14:schemeClr w14:val="tx1"/>
                  </w14:solidFill>
                </w14:textFill>
              </w:rPr>
              <w:t>3</w:t>
            </w:r>
            <w:r>
              <w:rPr>
                <w:rFonts w:hint="eastAsia"/>
                <w:bCs/>
                <w:color w:val="000000" w:themeColor="text1"/>
                <w14:textFill>
                  <w14:solidFill>
                    <w14:schemeClr w14:val="tx1"/>
                  </w14:solidFill>
                </w14:textFill>
              </w:rPr>
              <w:t>/h。</w:t>
            </w:r>
          </w:p>
          <w:p>
            <w:pPr>
              <w:tabs>
                <w:tab w:val="left" w:pos="595"/>
              </w:tabs>
              <w:adjustRightInd w:val="0"/>
              <w:snapToGrid w:val="0"/>
              <w:spacing w:line="460" w:lineRule="exact"/>
              <w:ind w:firstLine="482" w:firstLineChars="200"/>
              <w:rPr>
                <w:bCs/>
                <w:color w:val="000000" w:themeColor="text1"/>
                <w:sz w:val="24"/>
                <w14:textFill>
                  <w14:solidFill>
                    <w14:schemeClr w14:val="tx1"/>
                  </w14:solidFill>
                </w14:textFill>
              </w:rPr>
            </w:pPr>
            <w:r>
              <w:rPr>
                <w:rFonts w:hint="eastAsia"/>
                <w:b/>
                <w:bCs w:val="0"/>
                <w:color w:val="000000" w:themeColor="text1"/>
                <w:sz w:val="24"/>
                <w:u w:val="single"/>
                <w14:textFill>
                  <w14:solidFill>
                    <w14:schemeClr w14:val="tx1"/>
                  </w14:solidFill>
                </w14:textFill>
              </w:rPr>
              <w:t>经计算，</w:t>
            </w:r>
            <w:r>
              <w:rPr>
                <w:b/>
                <w:bCs w:val="0"/>
                <w:color w:val="000000" w:themeColor="text1"/>
                <w:sz w:val="24"/>
                <w:u w:val="single"/>
                <w14:textFill>
                  <w14:solidFill>
                    <w14:schemeClr w14:val="tx1"/>
                  </w14:solidFill>
                </w14:textFill>
              </w:rPr>
              <w:t>收集的非甲烷总烃量为</w:t>
            </w:r>
            <w:r>
              <w:rPr>
                <w:rFonts w:hint="eastAsia"/>
                <w:b/>
                <w:bCs w:val="0"/>
                <w:color w:val="000000" w:themeColor="text1"/>
                <w:sz w:val="24"/>
                <w:u w:val="single"/>
                <w:lang w:val="en-US" w:eastAsia="zh-CN"/>
                <w14:textFill>
                  <w14:solidFill>
                    <w14:schemeClr w14:val="tx1"/>
                  </w14:solidFill>
                </w14:textFill>
              </w:rPr>
              <w:t>0.0417</w:t>
            </w:r>
            <w:r>
              <w:rPr>
                <w:b/>
                <w:bCs w:val="0"/>
                <w:color w:val="000000" w:themeColor="text1"/>
                <w:sz w:val="24"/>
                <w:u w:val="single"/>
                <w14:textFill>
                  <w14:solidFill>
                    <w14:schemeClr w14:val="tx1"/>
                  </w14:solidFill>
                </w14:textFill>
              </w:rPr>
              <w:t>t/a</w:t>
            </w:r>
            <w:r>
              <w:rPr>
                <w:rFonts w:hint="eastAsia"/>
                <w:b/>
                <w:bCs w:val="0"/>
                <w:color w:val="000000" w:themeColor="text1"/>
                <w:sz w:val="24"/>
                <w:u w:val="single"/>
                <w14:textFill>
                  <w14:solidFill>
                    <w14:schemeClr w14:val="tx1"/>
                  </w14:solidFill>
                </w14:textFill>
              </w:rPr>
              <w:t>，经治理设施处理后，排放量为0.00</w:t>
            </w:r>
            <w:r>
              <w:rPr>
                <w:rFonts w:hint="eastAsia"/>
                <w:b/>
                <w:bCs w:val="0"/>
                <w:color w:val="000000" w:themeColor="text1"/>
                <w:sz w:val="24"/>
                <w:u w:val="single"/>
                <w:lang w:val="en-US" w:eastAsia="zh-CN"/>
                <w14:textFill>
                  <w14:solidFill>
                    <w14:schemeClr w14:val="tx1"/>
                  </w14:solidFill>
                </w14:textFill>
              </w:rPr>
              <w:t>73</w:t>
            </w:r>
            <w:r>
              <w:rPr>
                <w:rFonts w:hint="eastAsia"/>
                <w:b/>
                <w:bCs w:val="0"/>
                <w:color w:val="000000" w:themeColor="text1"/>
                <w:sz w:val="24"/>
                <w:u w:val="single"/>
                <w14:textFill>
                  <w14:solidFill>
                    <w14:schemeClr w14:val="tx1"/>
                  </w14:solidFill>
                </w14:textFill>
              </w:rPr>
              <w:t>t/a，排放速率为</w:t>
            </w:r>
            <w:r>
              <w:rPr>
                <w:rFonts w:hint="eastAsia"/>
                <w:b/>
                <w:bCs w:val="0"/>
                <w:color w:val="000000" w:themeColor="text1"/>
                <w:sz w:val="24"/>
                <w:u w:val="single"/>
                <w:lang w:val="en-US" w:eastAsia="zh-CN"/>
                <w14:textFill>
                  <w14:solidFill>
                    <w14:schemeClr w14:val="tx1"/>
                  </w14:solidFill>
                </w14:textFill>
              </w:rPr>
              <w:t>0.0061</w:t>
            </w:r>
            <w:r>
              <w:rPr>
                <w:rFonts w:hint="eastAsia"/>
                <w:b/>
                <w:bCs w:val="0"/>
                <w:color w:val="000000" w:themeColor="text1"/>
                <w:sz w:val="24"/>
                <w:u w:val="single"/>
                <w14:textFill>
                  <w14:solidFill>
                    <w14:schemeClr w14:val="tx1"/>
                  </w14:solidFill>
                </w14:textFill>
              </w:rPr>
              <w:t>kg/h，排放浓度为</w:t>
            </w:r>
            <w:r>
              <w:rPr>
                <w:rFonts w:hint="eastAsia"/>
                <w:b/>
                <w:bCs w:val="0"/>
                <w:color w:val="000000" w:themeColor="text1"/>
                <w:sz w:val="24"/>
                <w:u w:val="single"/>
                <w:lang w:val="en-US" w:eastAsia="zh-CN"/>
                <w14:textFill>
                  <w14:solidFill>
                    <w14:schemeClr w14:val="tx1"/>
                  </w14:solidFill>
                </w14:textFill>
              </w:rPr>
              <w:t>2.03</w:t>
            </w:r>
            <w:r>
              <w:rPr>
                <w:b/>
                <w:bCs w:val="0"/>
                <w:color w:val="000000" w:themeColor="text1"/>
                <w:sz w:val="24"/>
                <w:u w:val="single"/>
                <w:lang w:val="zh-TW"/>
                <w14:textFill>
                  <w14:solidFill>
                    <w14:schemeClr w14:val="tx1"/>
                  </w14:solidFill>
                </w14:textFill>
              </w:rPr>
              <w:t>mg/m</w:t>
            </w:r>
            <w:r>
              <w:rPr>
                <w:b/>
                <w:bCs w:val="0"/>
                <w:color w:val="000000" w:themeColor="text1"/>
                <w:sz w:val="24"/>
                <w:u w:val="single"/>
                <w:vertAlign w:val="superscript"/>
                <w:lang w:val="zh-TW"/>
                <w14:textFill>
                  <w14:solidFill>
                    <w14:schemeClr w14:val="tx1"/>
                  </w14:solidFill>
                </w14:textFill>
              </w:rPr>
              <w:t>3</w:t>
            </w:r>
            <w:r>
              <w:rPr>
                <w:rFonts w:hint="eastAsia"/>
                <w:bCs/>
                <w:color w:val="000000" w:themeColor="text1"/>
                <w:sz w:val="24"/>
                <w:lang w:val="zh-TW"/>
                <w14:textFill>
                  <w14:solidFill>
                    <w14:schemeClr w14:val="tx1"/>
                  </w14:solidFill>
                </w14:textFill>
              </w:rPr>
              <w:t>，通过15m高排气筒</w:t>
            </w:r>
            <w:r>
              <w:rPr>
                <w:rFonts w:hint="eastAsia"/>
                <w:bCs/>
                <w:color w:val="000000" w:themeColor="text1"/>
                <w:sz w:val="24"/>
                <w14:textFill>
                  <w14:solidFill>
                    <w14:schemeClr w14:val="tx1"/>
                  </w14:solidFill>
                </w14:textFill>
              </w:rPr>
              <w:t>2#</w:t>
            </w:r>
            <w:r>
              <w:rPr>
                <w:rFonts w:hint="eastAsia"/>
                <w:bCs/>
                <w:color w:val="000000" w:themeColor="text1"/>
                <w:sz w:val="24"/>
                <w:lang w:val="zh-TW"/>
                <w14:textFill>
                  <w14:solidFill>
                    <w14:schemeClr w14:val="tx1"/>
                  </w14:solidFill>
                </w14:textFill>
              </w:rPr>
              <w:t>排放。</w:t>
            </w:r>
          </w:p>
          <w:p>
            <w:pPr>
              <w:keepLines/>
              <w:overflowPunct w:val="0"/>
              <w:autoSpaceDE w:val="0"/>
              <w:autoSpaceDN w:val="0"/>
              <w:spacing w:line="46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非甲烷总烃经处理后可满足《工业涂装工序挥发性有机物排放标准》（DB41/1951-2020）非甲烷总烃：表1有组织排放限值：50mg/m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要求；同时满足《关于全省开展工业企业挥发性有机物专项治理工作中排放建议值的通知》（豫环攻坚办〔2017〕162号）表面涂装业挥发性有机物排放建议值（非甲烷总烃排放浓度60 mg/m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）、建议去除效率（70%）的要求。</w:t>
            </w:r>
          </w:p>
          <w:p>
            <w:pPr>
              <w:tabs>
                <w:tab w:val="left" w:pos="595"/>
              </w:tabs>
              <w:adjustRightInd w:val="0"/>
              <w:spacing w:line="460" w:lineRule="exact"/>
              <w:ind w:firstLine="482"/>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 xml:space="preserve"> 废气污染源源强核算结果及相关参数</w:t>
            </w:r>
          </w:p>
          <w:p>
            <w:pPr>
              <w:tabs>
                <w:tab w:val="left" w:pos="595"/>
              </w:tabs>
              <w:adjustRightInd w:val="0"/>
              <w:spacing w:line="460" w:lineRule="exac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废气污染源源强核算结果及相关参数一览表见</w:t>
            </w:r>
            <w:r>
              <w:rPr>
                <w:rFonts w:hint="eastAsia"/>
                <w:color w:val="000000" w:themeColor="text1"/>
                <w:sz w:val="24"/>
                <w14:textFill>
                  <w14:solidFill>
                    <w14:schemeClr w14:val="tx1"/>
                  </w14:solidFill>
                </w14:textFill>
              </w:rPr>
              <w:t>下表</w:t>
            </w:r>
            <w:r>
              <w:rPr>
                <w:color w:val="000000" w:themeColor="text1"/>
                <w:sz w:val="24"/>
                <w14:textFill>
                  <w14:solidFill>
                    <w14:schemeClr w14:val="tx1"/>
                  </w14:solidFill>
                </w14:textFill>
              </w:rPr>
              <w:t>。</w:t>
            </w:r>
          </w:p>
          <w:p>
            <w:pPr>
              <w:pStyle w:val="30"/>
              <w:numPr>
                <w:ilvl w:val="255"/>
                <w:numId w:val="0"/>
              </w:numPr>
              <w:ind w:firstLine="482" w:firstLineChars="200"/>
              <w:jc w:val="both"/>
              <w:rPr>
                <w:color w:val="000000" w:themeColor="text1"/>
                <w14:textFill>
                  <w14:solidFill>
                    <w14:schemeClr w14:val="tx1"/>
                  </w14:solidFill>
                </w14:textFill>
              </w:rPr>
            </w:pPr>
            <w:r>
              <w:rPr>
                <w:rFonts w:hint="eastAsia"/>
                <w:bCs/>
                <w:color w:val="000000" w:themeColor="text1"/>
                <w14:textFill>
                  <w14:solidFill>
                    <w14:schemeClr w14:val="tx1"/>
                  </w14:solidFill>
                </w14:textFill>
              </w:rPr>
              <w:t>表</w:t>
            </w:r>
            <w:r>
              <w:rPr>
                <w:rFonts w:hint="eastAsia"/>
                <w:bCs/>
                <w:color w:val="000000" w:themeColor="text1"/>
                <w:lang w:val="en-US" w:eastAsia="zh-CN"/>
                <w14:textFill>
                  <w14:solidFill>
                    <w14:schemeClr w14:val="tx1"/>
                  </w14:solidFill>
                </w14:textFill>
              </w:rPr>
              <w:t>19</w:t>
            </w:r>
            <w:r>
              <w:rPr>
                <w:bCs/>
                <w:color w:val="000000" w:themeColor="text1"/>
                <w14:textFill>
                  <w14:solidFill>
                    <w14:schemeClr w14:val="tx1"/>
                  </w14:solidFill>
                </w14:textFill>
              </w:rPr>
              <w:t xml:space="preserve">  </w:t>
            </w:r>
            <w:r>
              <w:rPr>
                <w:rFonts w:hint="eastAsia"/>
                <w:bCs/>
                <w:color w:val="000000" w:themeColor="text1"/>
                <w14:textFill>
                  <w14:solidFill>
                    <w14:schemeClr w14:val="tx1"/>
                  </w14:solidFill>
                </w14:textFill>
              </w:rPr>
              <w:t xml:space="preserve">    </w:t>
            </w:r>
            <w:r>
              <w:rPr>
                <w:bCs/>
                <w:color w:val="000000" w:themeColor="text1"/>
                <w14:textFill>
                  <w14:solidFill>
                    <w14:schemeClr w14:val="tx1"/>
                  </w14:solidFill>
                </w14:textFill>
              </w:rPr>
              <w:t>废气污染物源源强核算结果及相关参数一览表</w:t>
            </w:r>
          </w:p>
          <w:tbl>
            <w:tblPr>
              <w:tblStyle w:val="19"/>
              <w:tblW w:w="499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437"/>
              <w:gridCol w:w="642"/>
              <w:gridCol w:w="677"/>
              <w:gridCol w:w="569"/>
              <w:gridCol w:w="946"/>
              <w:gridCol w:w="711"/>
              <w:gridCol w:w="777"/>
              <w:gridCol w:w="588"/>
              <w:gridCol w:w="946"/>
              <w:gridCol w:w="802"/>
              <w:gridCol w:w="653"/>
              <w:gridCol w:w="5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364" w:hRule="atLeast"/>
                <w:jc w:val="center"/>
              </w:trPr>
              <w:tc>
                <w:tcPr>
                  <w:tcW w:w="1081" w:type="dxa"/>
                  <w:gridSpan w:val="2"/>
                  <w:vMerge w:val="restart"/>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污染源</w:t>
                  </w:r>
                </w:p>
              </w:tc>
              <w:tc>
                <w:tcPr>
                  <w:tcW w:w="678" w:type="dxa"/>
                  <w:vMerge w:val="restart"/>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污染物</w:t>
                  </w:r>
                </w:p>
              </w:tc>
              <w:tc>
                <w:tcPr>
                  <w:tcW w:w="2226" w:type="dxa"/>
                  <w:gridSpan w:val="3"/>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产生情况</w:t>
                  </w:r>
                </w:p>
              </w:tc>
              <w:tc>
                <w:tcPr>
                  <w:tcW w:w="1365" w:type="dxa"/>
                  <w:gridSpan w:val="2"/>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治理措施</w:t>
                  </w:r>
                </w:p>
              </w:tc>
              <w:tc>
                <w:tcPr>
                  <w:tcW w:w="2401" w:type="dxa"/>
                  <w:gridSpan w:val="3"/>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排放情况</w:t>
                  </w:r>
                </w:p>
              </w:tc>
              <w:tc>
                <w:tcPr>
                  <w:tcW w:w="561" w:type="dxa"/>
                  <w:vMerge w:val="restart"/>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排放时间（h）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15" w:hRule="atLeast"/>
                <w:jc w:val="center"/>
              </w:trPr>
              <w:tc>
                <w:tcPr>
                  <w:tcW w:w="1081" w:type="dxa"/>
                  <w:gridSpan w:val="2"/>
                  <w:vMerge w:val="continue"/>
                  <w:tcBorders>
                    <w:tl2br w:val="nil"/>
                    <w:tr2bl w:val="nil"/>
                  </w:tcBorders>
                  <w:vAlign w:val="center"/>
                </w:tcPr>
                <w:p>
                  <w:pPr>
                    <w:pStyle w:val="27"/>
                    <w:spacing w:line="320" w:lineRule="exact"/>
                    <w:rPr>
                      <w:bCs w:val="0"/>
                      <w:color w:val="000000" w:themeColor="text1"/>
                      <w14:textFill>
                        <w14:solidFill>
                          <w14:schemeClr w14:val="tx1"/>
                        </w14:solidFill>
                      </w14:textFill>
                    </w:rPr>
                  </w:pPr>
                </w:p>
              </w:tc>
              <w:tc>
                <w:tcPr>
                  <w:tcW w:w="678" w:type="dxa"/>
                  <w:vMerge w:val="continue"/>
                  <w:tcBorders>
                    <w:tl2br w:val="nil"/>
                    <w:tr2bl w:val="nil"/>
                  </w:tcBorders>
                  <w:vAlign w:val="center"/>
                </w:tcPr>
                <w:p>
                  <w:pPr>
                    <w:pStyle w:val="27"/>
                    <w:spacing w:line="320" w:lineRule="exact"/>
                    <w:rPr>
                      <w:bCs w:val="0"/>
                      <w:color w:val="000000" w:themeColor="text1"/>
                      <w14:textFill>
                        <w14:solidFill>
                          <w14:schemeClr w14:val="tx1"/>
                        </w14:solidFill>
                      </w14:textFill>
                    </w:rPr>
                  </w:pPr>
                </w:p>
              </w:tc>
              <w:tc>
                <w:tcPr>
                  <w:tcW w:w="569"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核算方法</w:t>
                  </w:r>
                </w:p>
              </w:tc>
              <w:tc>
                <w:tcPr>
                  <w:tcW w:w="946"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浓度</w:t>
                  </w:r>
                </w:p>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（mg/m</w:t>
                  </w:r>
                  <w:r>
                    <w:rPr>
                      <w:bCs w:val="0"/>
                      <w:color w:val="000000" w:themeColor="text1"/>
                      <w:sz w:val="18"/>
                      <w:szCs w:val="18"/>
                      <w:vertAlign w:val="superscript"/>
                      <w14:textFill>
                        <w14:solidFill>
                          <w14:schemeClr w14:val="tx1"/>
                        </w14:solidFill>
                      </w14:textFill>
                    </w:rPr>
                    <w:t>3</w:t>
                  </w:r>
                  <w:r>
                    <w:rPr>
                      <w:bCs w:val="0"/>
                      <w:color w:val="000000" w:themeColor="text1"/>
                      <w:sz w:val="18"/>
                      <w:szCs w:val="18"/>
                      <w14:textFill>
                        <w14:solidFill>
                          <w14:schemeClr w14:val="tx1"/>
                        </w14:solidFill>
                      </w14:textFill>
                    </w:rPr>
                    <w:t>）</w:t>
                  </w:r>
                </w:p>
              </w:tc>
              <w:tc>
                <w:tcPr>
                  <w:tcW w:w="711"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产生量</w:t>
                  </w:r>
                </w:p>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（t/a）</w:t>
                  </w:r>
                </w:p>
              </w:tc>
              <w:tc>
                <w:tcPr>
                  <w:tcW w:w="777"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工艺</w:t>
                  </w:r>
                </w:p>
              </w:tc>
              <w:tc>
                <w:tcPr>
                  <w:tcW w:w="58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处理效率</w:t>
                  </w:r>
                </w:p>
              </w:tc>
              <w:tc>
                <w:tcPr>
                  <w:tcW w:w="946"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排放浓度</w:t>
                  </w:r>
                </w:p>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（mg/m</w:t>
                  </w:r>
                  <w:r>
                    <w:rPr>
                      <w:bCs w:val="0"/>
                      <w:color w:val="000000" w:themeColor="text1"/>
                      <w:sz w:val="18"/>
                      <w:szCs w:val="18"/>
                      <w:vertAlign w:val="superscript"/>
                      <w14:textFill>
                        <w14:solidFill>
                          <w14:schemeClr w14:val="tx1"/>
                        </w14:solidFill>
                      </w14:textFill>
                    </w:rPr>
                    <w:t>3</w:t>
                  </w:r>
                  <w:r>
                    <w:rPr>
                      <w:bCs w:val="0"/>
                      <w:color w:val="000000" w:themeColor="text1"/>
                      <w:sz w:val="18"/>
                      <w:szCs w:val="18"/>
                      <w14:textFill>
                        <w14:solidFill>
                          <w14:schemeClr w14:val="tx1"/>
                        </w14:solidFill>
                      </w14:textFill>
                    </w:rPr>
                    <w:t>）</w:t>
                  </w:r>
                </w:p>
              </w:tc>
              <w:tc>
                <w:tcPr>
                  <w:tcW w:w="802"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排放速率</w:t>
                  </w:r>
                </w:p>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（kg/h）</w:t>
                  </w:r>
                </w:p>
              </w:tc>
              <w:tc>
                <w:tcPr>
                  <w:tcW w:w="653"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排放量</w:t>
                  </w:r>
                </w:p>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（t/a）</w:t>
                  </w:r>
                </w:p>
              </w:tc>
              <w:tc>
                <w:tcPr>
                  <w:tcW w:w="561" w:type="dxa"/>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563" w:hRule="atLeast"/>
                <w:jc w:val="center"/>
              </w:trPr>
              <w:tc>
                <w:tcPr>
                  <w:tcW w:w="43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1#排气筒</w:t>
                  </w:r>
                </w:p>
              </w:tc>
              <w:tc>
                <w:tcPr>
                  <w:tcW w:w="643"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切割、焊接</w:t>
                  </w:r>
                </w:p>
              </w:tc>
              <w:tc>
                <w:tcPr>
                  <w:tcW w:w="67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颗粒物</w:t>
                  </w:r>
                </w:p>
              </w:tc>
              <w:tc>
                <w:tcPr>
                  <w:tcW w:w="569" w:type="dxa"/>
                  <w:vMerge w:val="restart"/>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产污系数法</w:t>
                  </w:r>
                </w:p>
              </w:tc>
              <w:tc>
                <w:tcPr>
                  <w:tcW w:w="946"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110.3</w:t>
                  </w:r>
                </w:p>
              </w:tc>
              <w:tc>
                <w:tcPr>
                  <w:tcW w:w="711"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0.2979</w:t>
                  </w:r>
                </w:p>
              </w:tc>
              <w:tc>
                <w:tcPr>
                  <w:tcW w:w="777"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袋式除尘器</w:t>
                  </w:r>
                </w:p>
              </w:tc>
              <w:tc>
                <w:tcPr>
                  <w:tcW w:w="58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95</w:t>
                  </w:r>
                  <w:r>
                    <w:rPr>
                      <w:bCs w:val="0"/>
                      <w:color w:val="000000" w:themeColor="text1"/>
                      <w:sz w:val="18"/>
                      <w:szCs w:val="18"/>
                      <w14:textFill>
                        <w14:solidFill>
                          <w14:schemeClr w14:val="tx1"/>
                        </w14:solidFill>
                      </w14:textFill>
                    </w:rPr>
                    <w:t>%</w:t>
                  </w:r>
                </w:p>
              </w:tc>
              <w:tc>
                <w:tcPr>
                  <w:tcW w:w="946"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1.1</w:t>
                  </w:r>
                </w:p>
              </w:tc>
              <w:tc>
                <w:tcPr>
                  <w:tcW w:w="802"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0.0033</w:t>
                  </w:r>
                </w:p>
              </w:tc>
              <w:tc>
                <w:tcPr>
                  <w:tcW w:w="653"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0.003</w:t>
                  </w:r>
                </w:p>
              </w:tc>
              <w:tc>
                <w:tcPr>
                  <w:tcW w:w="561"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563" w:hRule="atLeast"/>
                <w:jc w:val="center"/>
              </w:trPr>
              <w:tc>
                <w:tcPr>
                  <w:tcW w:w="438" w:type="dxa"/>
                  <w:vMerge w:val="restart"/>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2#排气筒</w:t>
                  </w:r>
                </w:p>
              </w:tc>
              <w:tc>
                <w:tcPr>
                  <w:tcW w:w="643"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喷塑</w:t>
                  </w:r>
                </w:p>
              </w:tc>
              <w:tc>
                <w:tcPr>
                  <w:tcW w:w="67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颗粒物</w:t>
                  </w:r>
                </w:p>
              </w:tc>
              <w:tc>
                <w:tcPr>
                  <w:tcW w:w="569" w:type="dxa"/>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c>
                <w:tcPr>
                  <w:tcW w:w="946"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254.8</w:t>
                  </w:r>
                </w:p>
              </w:tc>
              <w:tc>
                <w:tcPr>
                  <w:tcW w:w="711"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4.5864</w:t>
                  </w:r>
                </w:p>
              </w:tc>
              <w:tc>
                <w:tcPr>
                  <w:tcW w:w="777"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旋风除尘+后置滤筒除尘</w:t>
                  </w:r>
                </w:p>
              </w:tc>
              <w:tc>
                <w:tcPr>
                  <w:tcW w:w="58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98.5%</w:t>
                  </w:r>
                </w:p>
              </w:tc>
              <w:tc>
                <w:tcPr>
                  <w:tcW w:w="946"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3.82</w:t>
                  </w:r>
                </w:p>
              </w:tc>
              <w:tc>
                <w:tcPr>
                  <w:tcW w:w="802"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0.0382</w:t>
                  </w:r>
                </w:p>
              </w:tc>
              <w:tc>
                <w:tcPr>
                  <w:tcW w:w="653"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0.0688</w:t>
                  </w:r>
                </w:p>
              </w:tc>
              <w:tc>
                <w:tcPr>
                  <w:tcW w:w="561"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8" w:hRule="atLeast"/>
                <w:jc w:val="center"/>
              </w:trPr>
              <w:tc>
                <w:tcPr>
                  <w:tcW w:w="438" w:type="dxa"/>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c>
                <w:tcPr>
                  <w:tcW w:w="643"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固化</w:t>
                  </w:r>
                </w:p>
              </w:tc>
              <w:tc>
                <w:tcPr>
                  <w:tcW w:w="67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非甲烷总烃</w:t>
                  </w:r>
                </w:p>
              </w:tc>
              <w:tc>
                <w:tcPr>
                  <w:tcW w:w="569" w:type="dxa"/>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c>
                <w:tcPr>
                  <w:tcW w:w="946"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11.59</w:t>
                  </w:r>
                </w:p>
              </w:tc>
              <w:tc>
                <w:tcPr>
                  <w:tcW w:w="711"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0.0417</w:t>
                  </w:r>
                </w:p>
              </w:tc>
              <w:tc>
                <w:tcPr>
                  <w:tcW w:w="777"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UV光氧+活性炭吸附</w:t>
                  </w:r>
                </w:p>
              </w:tc>
              <w:tc>
                <w:tcPr>
                  <w:tcW w:w="58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82.5%</w:t>
                  </w:r>
                </w:p>
              </w:tc>
              <w:tc>
                <w:tcPr>
                  <w:tcW w:w="946"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2.03</w:t>
                  </w:r>
                </w:p>
              </w:tc>
              <w:tc>
                <w:tcPr>
                  <w:tcW w:w="802"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0.0061</w:t>
                  </w:r>
                </w:p>
              </w:tc>
              <w:tc>
                <w:tcPr>
                  <w:tcW w:w="653"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0.0073</w:t>
                  </w:r>
                </w:p>
              </w:tc>
              <w:tc>
                <w:tcPr>
                  <w:tcW w:w="561"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1200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8" w:hRule="atLeast"/>
                <w:jc w:val="center"/>
              </w:trPr>
              <w:tc>
                <w:tcPr>
                  <w:tcW w:w="1081" w:type="dxa"/>
                  <w:gridSpan w:val="2"/>
                  <w:vMerge w:val="restart"/>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生产车间无组织（集气罩未收集废气）</w:t>
                  </w:r>
                </w:p>
              </w:tc>
              <w:tc>
                <w:tcPr>
                  <w:tcW w:w="67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颗粒物</w:t>
                  </w:r>
                </w:p>
              </w:tc>
              <w:tc>
                <w:tcPr>
                  <w:tcW w:w="569" w:type="dxa"/>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c>
                <w:tcPr>
                  <w:tcW w:w="946"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w:t>
                  </w:r>
                </w:p>
              </w:tc>
              <w:tc>
                <w:tcPr>
                  <w:tcW w:w="711"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0.1462</w:t>
                  </w:r>
                </w:p>
              </w:tc>
              <w:tc>
                <w:tcPr>
                  <w:tcW w:w="777" w:type="dxa"/>
                  <w:vMerge w:val="restart"/>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车间通风</w:t>
                  </w:r>
                </w:p>
              </w:tc>
              <w:tc>
                <w:tcPr>
                  <w:tcW w:w="58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w:t>
                  </w:r>
                </w:p>
              </w:tc>
              <w:tc>
                <w:tcPr>
                  <w:tcW w:w="946"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w:t>
                  </w:r>
                </w:p>
              </w:tc>
              <w:tc>
                <w:tcPr>
                  <w:tcW w:w="802"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0.0812</w:t>
                  </w:r>
                </w:p>
              </w:tc>
              <w:tc>
                <w:tcPr>
                  <w:tcW w:w="653"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0.1462</w:t>
                  </w:r>
                </w:p>
              </w:tc>
              <w:tc>
                <w:tcPr>
                  <w:tcW w:w="561" w:type="dxa"/>
                  <w:vMerge w:val="restart"/>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1800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488" w:hRule="atLeast"/>
                <w:jc w:val="center"/>
              </w:trPr>
              <w:tc>
                <w:tcPr>
                  <w:tcW w:w="1081" w:type="dxa"/>
                  <w:gridSpan w:val="2"/>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c>
                <w:tcPr>
                  <w:tcW w:w="67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非甲烷总烃</w:t>
                  </w:r>
                </w:p>
              </w:tc>
              <w:tc>
                <w:tcPr>
                  <w:tcW w:w="569" w:type="dxa"/>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c>
                <w:tcPr>
                  <w:tcW w:w="946"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bCs w:val="0"/>
                      <w:color w:val="000000" w:themeColor="text1"/>
                      <w:sz w:val="18"/>
                      <w:szCs w:val="18"/>
                      <w14:textFill>
                        <w14:solidFill>
                          <w14:schemeClr w14:val="tx1"/>
                        </w14:solidFill>
                      </w14:textFill>
                    </w:rPr>
                    <w:t>/</w:t>
                  </w:r>
                </w:p>
              </w:tc>
              <w:tc>
                <w:tcPr>
                  <w:tcW w:w="711"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0.0022</w:t>
                  </w:r>
                </w:p>
              </w:tc>
              <w:tc>
                <w:tcPr>
                  <w:tcW w:w="777" w:type="dxa"/>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c>
                <w:tcPr>
                  <w:tcW w:w="588"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w:t>
                  </w:r>
                </w:p>
              </w:tc>
              <w:tc>
                <w:tcPr>
                  <w:tcW w:w="946" w:type="dxa"/>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r>
                    <w:rPr>
                      <w:rFonts w:hint="eastAsia"/>
                      <w:bCs w:val="0"/>
                      <w:color w:val="000000" w:themeColor="text1"/>
                      <w:sz w:val="18"/>
                      <w:szCs w:val="18"/>
                      <w14:textFill>
                        <w14:solidFill>
                          <w14:schemeClr w14:val="tx1"/>
                        </w14:solidFill>
                      </w14:textFill>
                    </w:rPr>
                    <w:t>/</w:t>
                  </w:r>
                </w:p>
              </w:tc>
              <w:tc>
                <w:tcPr>
                  <w:tcW w:w="802"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14:textFill>
                        <w14:solidFill>
                          <w14:schemeClr w14:val="tx1"/>
                        </w14:solidFill>
                      </w14:textFill>
                    </w:rPr>
                    <w:t>0.00</w:t>
                  </w:r>
                  <w:r>
                    <w:rPr>
                      <w:rFonts w:hint="eastAsia"/>
                      <w:b/>
                      <w:bCs/>
                      <w:color w:val="000000" w:themeColor="text1"/>
                      <w:sz w:val="18"/>
                      <w:szCs w:val="18"/>
                      <w:u w:val="single"/>
                      <w:lang w:val="en-US" w:eastAsia="zh-CN"/>
                      <w14:textFill>
                        <w14:solidFill>
                          <w14:schemeClr w14:val="tx1"/>
                        </w14:solidFill>
                      </w14:textFill>
                    </w:rPr>
                    <w:t>18</w:t>
                  </w:r>
                </w:p>
              </w:tc>
              <w:tc>
                <w:tcPr>
                  <w:tcW w:w="653" w:type="dxa"/>
                  <w:tcBorders>
                    <w:tl2br w:val="nil"/>
                    <w:tr2bl w:val="nil"/>
                  </w:tcBorders>
                  <w:vAlign w:val="center"/>
                </w:tcPr>
                <w:p>
                  <w:pPr>
                    <w:pStyle w:val="27"/>
                    <w:spacing w:line="320" w:lineRule="exact"/>
                    <w:rPr>
                      <w:rFonts w:hint="default" w:eastAsia="宋体"/>
                      <w:b/>
                      <w:bCs/>
                      <w:color w:val="000000" w:themeColor="text1"/>
                      <w:sz w:val="18"/>
                      <w:szCs w:val="18"/>
                      <w:u w:val="single"/>
                      <w:lang w:val="en-US" w:eastAsia="zh-CN"/>
                      <w14:textFill>
                        <w14:solidFill>
                          <w14:schemeClr w14:val="tx1"/>
                        </w14:solidFill>
                      </w14:textFill>
                    </w:rPr>
                  </w:pPr>
                  <w:r>
                    <w:rPr>
                      <w:rFonts w:hint="eastAsia"/>
                      <w:b/>
                      <w:bCs/>
                      <w:color w:val="000000" w:themeColor="text1"/>
                      <w:sz w:val="18"/>
                      <w:szCs w:val="18"/>
                      <w:u w:val="single"/>
                      <w:lang w:val="en-US" w:eastAsia="zh-CN"/>
                      <w14:textFill>
                        <w14:solidFill>
                          <w14:schemeClr w14:val="tx1"/>
                        </w14:solidFill>
                      </w14:textFill>
                    </w:rPr>
                    <w:t>0.0022</w:t>
                  </w:r>
                </w:p>
              </w:tc>
              <w:tc>
                <w:tcPr>
                  <w:tcW w:w="561" w:type="dxa"/>
                  <w:vMerge w:val="continue"/>
                  <w:tcBorders>
                    <w:tl2br w:val="nil"/>
                    <w:tr2bl w:val="nil"/>
                  </w:tcBorders>
                  <w:vAlign w:val="center"/>
                </w:tcPr>
                <w:p>
                  <w:pPr>
                    <w:pStyle w:val="27"/>
                    <w:spacing w:line="320" w:lineRule="exact"/>
                    <w:rPr>
                      <w:bCs w:val="0"/>
                      <w:color w:val="000000" w:themeColor="text1"/>
                      <w:sz w:val="18"/>
                      <w:szCs w:val="18"/>
                      <w14:textFill>
                        <w14:solidFill>
                          <w14:schemeClr w14:val="tx1"/>
                        </w14:solidFill>
                      </w14:textFill>
                    </w:rPr>
                  </w:pPr>
                </w:p>
              </w:tc>
            </w:tr>
          </w:tbl>
          <w:p>
            <w:pPr>
              <w:tabs>
                <w:tab w:val="left" w:pos="595"/>
              </w:tabs>
              <w:adjustRightInd w:val="0"/>
              <w:spacing w:line="460" w:lineRule="exact"/>
              <w:ind w:firstLine="482"/>
              <w:rPr>
                <w:bCs/>
                <w:color w:val="000000" w:themeColor="text1"/>
                <w:spacing w:val="-10"/>
                <w:szCs w:val="21"/>
                <w14:textFill>
                  <w14:solidFill>
                    <w14:schemeClr w14:val="tx1"/>
                  </w14:solidFill>
                </w14:textFill>
              </w:rPr>
            </w:pPr>
          </w:p>
        </w:tc>
      </w:tr>
    </w:tbl>
    <w:p>
      <w:pPr>
        <w:sectPr>
          <w:pgSz w:w="11907" w:h="16840"/>
          <w:pgMar w:top="1134" w:right="1417" w:bottom="1134" w:left="1417" w:header="851" w:footer="851" w:gutter="0"/>
          <w:pgNumType w:fmt="numberInDash"/>
          <w:cols w:space="720" w:num="1"/>
          <w:docGrid w:linePitch="312" w:charSpace="0"/>
        </w:sectPr>
      </w:pPr>
    </w:p>
    <w:tbl>
      <w:tblPr>
        <w:tblStyle w:val="19"/>
        <w:tblW w:w="508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49" w:hRule="atLeast"/>
          <w:jc w:val="center"/>
        </w:trPr>
        <w:tc>
          <w:tcPr>
            <w:tcW w:w="400" w:type="pct"/>
            <w:tcMar>
              <w:left w:w="28" w:type="dxa"/>
              <w:right w:w="28" w:type="dxa"/>
            </w:tcMar>
            <w:vAlign w:val="center"/>
          </w:tcPr>
          <w:p>
            <w:pPr>
              <w:spacing w:line="400" w:lineRule="exact"/>
              <w:jc w:val="center"/>
              <w:rPr>
                <w:b/>
                <w:bCs/>
                <w:color w:val="000000" w:themeColor="text1"/>
                <w:sz w:val="24"/>
                <w14:textFill>
                  <w14:solidFill>
                    <w14:schemeClr w14:val="tx1"/>
                  </w14:solidFill>
                </w14:textFill>
              </w:rPr>
            </w:pPr>
          </w:p>
        </w:tc>
        <w:tc>
          <w:tcPr>
            <w:tcW w:w="4599" w:type="pct"/>
            <w:vAlign w:val="center"/>
          </w:tcPr>
          <w:p>
            <w:pPr>
              <w:widowControl/>
              <w:adjustRightInd w:val="0"/>
              <w:snapToGrid w:val="0"/>
              <w:spacing w:line="4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 治理措施可行性分析</w:t>
            </w:r>
          </w:p>
          <w:p>
            <w:pPr>
              <w:adjustRightInd w:val="0"/>
              <w:snapToGrid w:val="0"/>
              <w:spacing w:line="46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本项目切割</w:t>
            </w:r>
            <w:r>
              <w:rPr>
                <w:rFonts w:hint="eastAsia"/>
                <w:color w:val="000000" w:themeColor="text1"/>
                <w:sz w:val="24"/>
                <w14:textFill>
                  <w14:solidFill>
                    <w14:schemeClr w14:val="tx1"/>
                  </w14:solidFill>
                </w14:textFill>
              </w:rPr>
              <w:t>及焊接</w:t>
            </w:r>
            <w:r>
              <w:rPr>
                <w:color w:val="000000" w:themeColor="text1"/>
                <w:sz w:val="24"/>
                <w14:textFill>
                  <w14:solidFill>
                    <w14:schemeClr w14:val="tx1"/>
                  </w14:solidFill>
                </w14:textFill>
              </w:rPr>
              <w:t>工序废气采用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袋式除尘器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进行净化处理，</w:t>
            </w:r>
            <w:r>
              <w:rPr>
                <w:rFonts w:hint="eastAsia"/>
                <w:color w:val="000000" w:themeColor="text1"/>
                <w:sz w:val="24"/>
                <w14:textFill>
                  <w14:solidFill>
                    <w14:schemeClr w14:val="tx1"/>
                  </w14:solidFill>
                </w14:textFill>
              </w:rPr>
              <w:t>喷塑工序废气采用“旋风除尘+后置滤筒除尘”进行净化处理，固化工序采用“UV光氧+活性炭吸附”进行净化处理，处理方法均</w:t>
            </w:r>
            <w:r>
              <w:rPr>
                <w:color w:val="000000" w:themeColor="text1"/>
                <w:sz w:val="24"/>
                <w14:textFill>
                  <w14:solidFill>
                    <w14:schemeClr w14:val="tx1"/>
                  </w14:solidFill>
                </w14:textFill>
              </w:rPr>
              <w:t xml:space="preserve">属于《排污许可申请与核发技术规范 </w:t>
            </w:r>
            <w:r>
              <w:rPr>
                <w:rFonts w:hint="eastAsia"/>
                <w:color w:val="000000" w:themeColor="text1"/>
                <w:sz w:val="24"/>
                <w14:textFill>
                  <w14:solidFill>
                    <w14:schemeClr w14:val="tx1"/>
                  </w14:solidFill>
                </w14:textFill>
              </w:rPr>
              <w:t>家具制造工业》（HJ1027-2019）</w:t>
            </w:r>
            <w:r>
              <w:rPr>
                <w:color w:val="000000" w:themeColor="text1"/>
                <w:sz w:val="24"/>
                <w14:textFill>
                  <w14:solidFill>
                    <w14:schemeClr w14:val="tx1"/>
                  </w14:solidFill>
                </w14:textFill>
              </w:rPr>
              <w:t>中的污染治理工艺，</w:t>
            </w:r>
            <w:r>
              <w:rPr>
                <w:rFonts w:hint="eastAsia"/>
                <w:b/>
                <w:bCs/>
                <w:color w:val="000000" w:themeColor="text1"/>
                <w:sz w:val="24"/>
                <w:u w:val="single"/>
                <w:lang w:val="en-US" w:eastAsia="zh-CN"/>
                <w14:textFill>
                  <w14:solidFill>
                    <w14:schemeClr w14:val="tx1"/>
                  </w14:solidFill>
                </w14:textFill>
              </w:rPr>
              <w:t>且满足</w:t>
            </w:r>
            <w:r>
              <w:rPr>
                <w:rFonts w:hint="eastAsia"/>
                <w:b/>
                <w:bCs/>
                <w:color w:val="000000" w:themeColor="text1"/>
                <w:kern w:val="0"/>
                <w:sz w:val="24"/>
                <w:u w:val="single"/>
                <w14:textFill>
                  <w14:solidFill>
                    <w14:schemeClr w14:val="tx1"/>
                  </w14:solidFill>
                </w14:textFill>
              </w:rPr>
              <w:t>《</w:t>
            </w:r>
            <w:r>
              <w:rPr>
                <w:rFonts w:hint="eastAsia"/>
                <w:b/>
                <w:bCs/>
                <w:color w:val="000000" w:themeColor="text1"/>
                <w:kern w:val="0"/>
                <w:sz w:val="24"/>
                <w:u w:val="single"/>
                <w:lang w:eastAsia="zh-CN"/>
                <w14:textFill>
                  <w14:solidFill>
                    <w14:schemeClr w14:val="tx1"/>
                  </w14:solidFill>
                </w14:textFill>
              </w:rPr>
              <w:t>偃师市</w:t>
            </w:r>
            <w:r>
              <w:rPr>
                <w:rFonts w:hint="eastAsia"/>
                <w:b/>
                <w:bCs/>
                <w:color w:val="000000" w:themeColor="text1"/>
                <w:kern w:val="0"/>
                <w:sz w:val="24"/>
                <w:u w:val="single"/>
                <w14:textFill>
                  <w14:solidFill>
                    <w14:schemeClr w14:val="tx1"/>
                  </w14:solidFill>
                </w14:textFill>
              </w:rPr>
              <w:t>钢制家具行业规范标准（试行）》（偃政办〔2019〕10号）</w:t>
            </w:r>
            <w:r>
              <w:rPr>
                <w:rFonts w:hint="eastAsia"/>
                <w:b/>
                <w:bCs/>
                <w:color w:val="000000" w:themeColor="text1"/>
                <w:kern w:val="0"/>
                <w:sz w:val="24"/>
                <w:u w:val="single"/>
                <w:lang w:val="en-US" w:eastAsia="zh-CN"/>
                <w14:textFill>
                  <w14:solidFill>
                    <w14:schemeClr w14:val="tx1"/>
                  </w14:solidFill>
                </w14:textFill>
              </w:rPr>
              <w:t>要求</w:t>
            </w:r>
            <w:r>
              <w:rPr>
                <w:rFonts w:hint="eastAsia"/>
                <w:b/>
                <w:bCs/>
                <w:color w:val="000000" w:themeColor="text1"/>
                <w:kern w:val="0"/>
                <w:sz w:val="24"/>
                <w:u w:val="single"/>
                <w:lang w:eastAsia="zh-CN"/>
                <w14:textFill>
                  <w14:solidFill>
                    <w14:schemeClr w14:val="tx1"/>
                  </w14:solidFill>
                </w14:textFill>
              </w:rPr>
              <w:t>，</w:t>
            </w:r>
            <w:r>
              <w:rPr>
                <w:color w:val="000000" w:themeColor="text1"/>
                <w:sz w:val="24"/>
                <w14:textFill>
                  <w14:solidFill>
                    <w14:schemeClr w14:val="tx1"/>
                  </w14:solidFill>
                </w14:textFill>
              </w:rPr>
              <w:t>因此本项目污染防治设施可行。</w:t>
            </w:r>
          </w:p>
          <w:p>
            <w:pPr>
              <w:adjustRightInd w:val="0"/>
              <w:snapToGrid w:val="0"/>
              <w:spacing w:line="46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 废气排放口基本情况</w:t>
            </w:r>
          </w:p>
          <w:p>
            <w:pPr>
              <w:pStyle w:val="6"/>
              <w:numPr>
                <w:ilvl w:val="255"/>
                <w:numId w:val="0"/>
              </w:numPr>
              <w:ind w:left="420" w:leftChars="200"/>
              <w:rPr>
                <w:b w:val="0"/>
                <w:color w:val="000000" w:themeColor="text1"/>
                <w14:textFill>
                  <w14:solidFill>
                    <w14:schemeClr w14:val="tx1"/>
                  </w14:solidFill>
                </w14:textFill>
              </w:rPr>
            </w:pPr>
            <w:r>
              <w:rPr>
                <w:rFonts w:hint="eastAsia"/>
                <w:bCs/>
                <w:color w:val="000000" w:themeColor="text1"/>
                <w14:textFill>
                  <w14:solidFill>
                    <w14:schemeClr w14:val="tx1"/>
                  </w14:solidFill>
                </w14:textFill>
              </w:rPr>
              <w:t>表</w:t>
            </w:r>
            <w:r>
              <w:rPr>
                <w:rFonts w:hint="eastAsia"/>
                <w:bCs/>
                <w:color w:val="000000" w:themeColor="text1"/>
                <w:lang w:val="en-US" w:eastAsia="zh-CN"/>
                <w14:textFill>
                  <w14:solidFill>
                    <w14:schemeClr w14:val="tx1"/>
                  </w14:solidFill>
                </w14:textFill>
              </w:rPr>
              <w:t>20</w:t>
            </w:r>
            <w:r>
              <w:rPr>
                <w:rFonts w:hint="eastAsia"/>
                <w:bCs/>
                <w:color w:val="000000" w:themeColor="text1"/>
                <w14:textFill>
                  <w14:solidFill>
                    <w14:schemeClr w14:val="tx1"/>
                  </w14:solidFill>
                </w14:textFill>
              </w:rPr>
              <w:t xml:space="preserve">                    排放口基本情况</w:t>
            </w:r>
          </w:p>
          <w:tbl>
            <w:tblPr>
              <w:tblStyle w:val="19"/>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9"/>
              <w:gridCol w:w="906"/>
              <w:gridCol w:w="918"/>
              <w:gridCol w:w="1498"/>
              <w:gridCol w:w="1427"/>
              <w:gridCol w:w="629"/>
              <w:gridCol w:w="750"/>
              <w:gridCol w:w="56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453" w:type="pct"/>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排放口编号</w:t>
                  </w:r>
                </w:p>
              </w:tc>
              <w:tc>
                <w:tcPr>
                  <w:tcW w:w="548" w:type="pct"/>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w:t>
                  </w:r>
                </w:p>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556" w:type="pct"/>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种类</w:t>
                  </w:r>
                </w:p>
              </w:tc>
              <w:tc>
                <w:tcPr>
                  <w:tcW w:w="1769" w:type="pct"/>
                  <w:gridSpan w:val="2"/>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排放口地理坐标</w:t>
                  </w:r>
                </w:p>
              </w:tc>
              <w:tc>
                <w:tcPr>
                  <w:tcW w:w="381" w:type="pct"/>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高度（m）</w:t>
                  </w:r>
                </w:p>
              </w:tc>
              <w:tc>
                <w:tcPr>
                  <w:tcW w:w="454" w:type="pct"/>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排气筒内径（m）</w:t>
                  </w:r>
                </w:p>
              </w:tc>
              <w:tc>
                <w:tcPr>
                  <w:tcW w:w="339" w:type="pct"/>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温度（℃）</w:t>
                  </w:r>
                </w:p>
              </w:tc>
              <w:tc>
                <w:tcPr>
                  <w:tcW w:w="496" w:type="pct"/>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jc w:val="center"/>
              </w:trPr>
              <w:tc>
                <w:tcPr>
                  <w:tcW w:w="453" w:type="pct"/>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548" w:type="pct"/>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556" w:type="pct"/>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90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经度</w:t>
                  </w:r>
                </w:p>
              </w:tc>
              <w:tc>
                <w:tcPr>
                  <w:tcW w:w="863"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纬度</w:t>
                  </w:r>
                </w:p>
              </w:tc>
              <w:tc>
                <w:tcPr>
                  <w:tcW w:w="381" w:type="pct"/>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454" w:type="pct"/>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339" w:type="pct"/>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496" w:type="pct"/>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1" w:hRule="atLeast"/>
                <w:jc w:val="center"/>
              </w:trPr>
              <w:tc>
                <w:tcPr>
                  <w:tcW w:w="453"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DA001</w:t>
                  </w:r>
                </w:p>
              </w:tc>
              <w:tc>
                <w:tcPr>
                  <w:tcW w:w="548"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切割、焊接</w:t>
                  </w:r>
                  <w:r>
                    <w:rPr>
                      <w:color w:val="000000" w:themeColor="text1"/>
                      <w:szCs w:val="21"/>
                      <w14:textFill>
                        <w14:solidFill>
                          <w14:schemeClr w14:val="tx1"/>
                        </w14:solidFill>
                      </w14:textFill>
                    </w:rPr>
                    <w:t>废气排气筒</w:t>
                  </w:r>
                  <w:r>
                    <w:rPr>
                      <w:rFonts w:hint="eastAsia"/>
                      <w:color w:val="000000" w:themeColor="text1"/>
                      <w:szCs w:val="21"/>
                      <w14:textFill>
                        <w14:solidFill>
                          <w14:schemeClr w14:val="tx1"/>
                        </w14:solidFill>
                      </w14:textFill>
                    </w:rPr>
                    <w:t>1#</w:t>
                  </w:r>
                </w:p>
              </w:tc>
              <w:tc>
                <w:tcPr>
                  <w:tcW w:w="556"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906"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112.707358849</w:t>
                  </w:r>
                </w:p>
              </w:tc>
              <w:tc>
                <w:tcPr>
                  <w:tcW w:w="863"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34.622408296</w:t>
                  </w:r>
                </w:p>
              </w:tc>
              <w:tc>
                <w:tcPr>
                  <w:tcW w:w="381"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454"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w:t>
                  </w:r>
                </w:p>
              </w:tc>
              <w:tc>
                <w:tcPr>
                  <w:tcW w:w="339"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常温</w:t>
                  </w:r>
                </w:p>
              </w:tc>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1" w:hRule="atLeast"/>
                <w:jc w:val="center"/>
              </w:trPr>
              <w:tc>
                <w:tcPr>
                  <w:tcW w:w="453"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w:t>
                  </w:r>
                  <w:r>
                    <w:rPr>
                      <w:rFonts w:hint="eastAsia"/>
                      <w:color w:val="000000" w:themeColor="text1"/>
                      <w:szCs w:val="21"/>
                      <w14:textFill>
                        <w14:solidFill>
                          <w14:schemeClr w14:val="tx1"/>
                        </w14:solidFill>
                      </w14:textFill>
                    </w:rPr>
                    <w:t>2</w:t>
                  </w:r>
                </w:p>
              </w:tc>
              <w:tc>
                <w:tcPr>
                  <w:tcW w:w="548"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喷塑、固化工序废气排气筒2#</w:t>
                  </w:r>
                </w:p>
              </w:tc>
              <w:tc>
                <w:tcPr>
                  <w:tcW w:w="556"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颗粒物</w:t>
                  </w:r>
                  <w:r>
                    <w:rPr>
                      <w:rFonts w:hint="eastAsia"/>
                      <w:color w:val="000000" w:themeColor="text1"/>
                      <w:szCs w:val="21"/>
                      <w14:textFill>
                        <w14:solidFill>
                          <w14:schemeClr w14:val="tx1"/>
                        </w14:solidFill>
                      </w14:textFill>
                    </w:rPr>
                    <w:t>、非甲烷总烃</w:t>
                  </w:r>
                </w:p>
              </w:tc>
              <w:tc>
                <w:tcPr>
                  <w:tcW w:w="906"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112.735870501</w:t>
                  </w:r>
                </w:p>
              </w:tc>
              <w:tc>
                <w:tcPr>
                  <w:tcW w:w="863"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34.615969472</w:t>
                  </w:r>
                </w:p>
              </w:tc>
              <w:tc>
                <w:tcPr>
                  <w:tcW w:w="381"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454"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339" w:type="pct"/>
                  <w:tcBorders>
                    <w:tl2br w:val="nil"/>
                    <w:tr2bl w:val="nil"/>
                  </w:tcBorders>
                  <w:noWrap/>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w:t>
                  </w:r>
                </w:p>
              </w:tc>
              <w:tc>
                <w:tcPr>
                  <w:tcW w:w="49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一般排放口</w:t>
                  </w:r>
                </w:p>
              </w:tc>
            </w:tr>
          </w:tbl>
          <w:p>
            <w:pPr>
              <w:adjustRightInd w:val="0"/>
              <w:snapToGrid w:val="0"/>
              <w:spacing w:line="4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 大气自行监测要求</w:t>
            </w:r>
          </w:p>
          <w:p>
            <w:pPr>
              <w:adjustRightInd w:val="0"/>
              <w:snapToGrid w:val="0"/>
              <w:spacing w:line="46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根据《环境影响评价技术导则-大气环境》（HJ2.2-2018）中关于污染源监测计划要求，本项目根据《排污单位自行监测技术指南 总则》（HJ819-2017）、《排污许可申请与核发技术规范 </w:t>
            </w:r>
            <w:r>
              <w:rPr>
                <w:rFonts w:hint="eastAsia"/>
                <w:color w:val="000000" w:themeColor="text1"/>
                <w:sz w:val="24"/>
                <w14:textFill>
                  <w14:solidFill>
                    <w14:schemeClr w14:val="tx1"/>
                  </w14:solidFill>
                </w14:textFill>
              </w:rPr>
              <w:t>家具制造工业》（HJ1027-2019）</w:t>
            </w:r>
            <w:r>
              <w:rPr>
                <w:color w:val="000000" w:themeColor="text1"/>
                <w:sz w:val="24"/>
                <w14:textFill>
                  <w14:solidFill>
                    <w14:schemeClr w14:val="tx1"/>
                  </w14:solidFill>
                </w14:textFill>
              </w:rPr>
              <w:t>中关于污染源监测</w:t>
            </w:r>
          </w:p>
          <w:p>
            <w:pPr>
              <w:adjustRightInd w:val="0"/>
              <w:snapToGrid w:val="0"/>
              <w:spacing w:line="460" w:lineRule="exact"/>
              <w:jc w:val="left"/>
              <w:rPr>
                <w:b/>
                <w:bCs/>
                <w:color w:val="000000" w:themeColor="text1"/>
                <w:sz w:val="24"/>
                <w14:textFill>
                  <w14:solidFill>
                    <w14:schemeClr w14:val="tx1"/>
                  </w14:solidFill>
                </w14:textFill>
              </w:rPr>
            </w:pPr>
            <w:r>
              <w:rPr>
                <w:color w:val="000000" w:themeColor="text1"/>
                <w:sz w:val="24"/>
                <w14:textFill>
                  <w14:solidFill>
                    <w14:schemeClr w14:val="tx1"/>
                  </w14:solidFill>
                </w14:textFill>
              </w:rPr>
              <w:t>的要求制定以下监测方案</w:t>
            </w:r>
            <w:r>
              <w:rPr>
                <w:rFonts w:hint="eastAsia"/>
                <w:color w:val="000000" w:themeColor="text1"/>
                <w:sz w:val="24"/>
                <w14:textFill>
                  <w14:solidFill>
                    <w14:schemeClr w14:val="tx1"/>
                  </w14:solidFill>
                </w14:textFill>
              </w:rPr>
              <w:t>。</w:t>
            </w:r>
          </w:p>
          <w:p>
            <w:pPr>
              <w:pStyle w:val="6"/>
              <w:numPr>
                <w:ilvl w:val="0"/>
                <w:numId w:val="0"/>
              </w:numPr>
              <w:ind w:firstLine="482"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表</w:t>
            </w:r>
            <w:r>
              <w:rPr>
                <w:rFonts w:hint="eastAsia"/>
                <w:bCs/>
                <w:color w:val="000000" w:themeColor="text1"/>
                <w:lang w:val="en-US" w:eastAsia="zh-CN"/>
                <w14:textFill>
                  <w14:solidFill>
                    <w14:schemeClr w14:val="tx1"/>
                  </w14:solidFill>
                </w14:textFill>
              </w:rPr>
              <w:t>21</w:t>
            </w:r>
            <w:r>
              <w:rPr>
                <w:rFonts w:hint="eastAsia"/>
                <w:bCs/>
                <w:color w:val="000000" w:themeColor="text1"/>
                <w14:textFill>
                  <w14:solidFill>
                    <w14:schemeClr w14:val="tx1"/>
                  </w14:solidFill>
                </w14:textFill>
              </w:rPr>
              <w:t xml:space="preserve">               大气自行监测及记录信息</w:t>
            </w:r>
          </w:p>
          <w:tbl>
            <w:tblPr>
              <w:tblStyle w:val="19"/>
              <w:tblW w:w="4964"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57" w:type="dxa"/>
                <w:bottom w:w="0" w:type="dxa"/>
                <w:right w:w="57" w:type="dxa"/>
              </w:tblCellMar>
            </w:tblPr>
            <w:tblGrid>
              <w:gridCol w:w="655"/>
              <w:gridCol w:w="1024"/>
              <w:gridCol w:w="1379"/>
              <w:gridCol w:w="1343"/>
              <w:gridCol w:w="393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655"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w:t>
                  </w:r>
                </w:p>
              </w:tc>
              <w:tc>
                <w:tcPr>
                  <w:tcW w:w="1024"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w:t>
                  </w:r>
                </w:p>
              </w:tc>
              <w:tc>
                <w:tcPr>
                  <w:tcW w:w="1379"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监测指标</w:t>
                  </w:r>
                </w:p>
              </w:tc>
              <w:tc>
                <w:tcPr>
                  <w:tcW w:w="1343"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监测频次</w:t>
                  </w:r>
                </w:p>
              </w:tc>
              <w:tc>
                <w:tcPr>
                  <w:tcW w:w="3937"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940" w:hRule="atLeast"/>
                <w:jc w:val="center"/>
              </w:trPr>
              <w:tc>
                <w:tcPr>
                  <w:tcW w:w="655" w:type="dxa"/>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1024"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DA001</w:t>
                  </w:r>
                </w:p>
              </w:tc>
              <w:tc>
                <w:tcPr>
                  <w:tcW w:w="1379"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343"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3937"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《大气污染物综合排放标准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（GB16297-1996）表2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995" w:hRule="atLeast"/>
                <w:jc w:val="center"/>
              </w:trPr>
              <w:tc>
                <w:tcPr>
                  <w:tcW w:w="655" w:type="dxa"/>
                  <w:vMerge w:val="continue"/>
                  <w:tcBorders>
                    <w:tl2br w:val="nil"/>
                    <w:tr2bl w:val="nil"/>
                  </w:tcBorders>
                  <w:vAlign w:val="center"/>
                </w:tcPr>
                <w:p>
                  <w:pPr>
                    <w:spacing w:line="320" w:lineRule="exact"/>
                    <w:jc w:val="center"/>
                    <w:rPr>
                      <w:color w:val="000000" w:themeColor="text1"/>
                      <w14:textFill>
                        <w14:solidFill>
                          <w14:schemeClr w14:val="tx1"/>
                        </w14:solidFill>
                      </w14:textFill>
                    </w:rPr>
                  </w:pPr>
                </w:p>
              </w:tc>
              <w:tc>
                <w:tcPr>
                  <w:tcW w:w="1024" w:type="dxa"/>
                  <w:vMerge w:val="restar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DA00</w:t>
                  </w:r>
                  <w:r>
                    <w:rPr>
                      <w:rFonts w:hint="eastAsia"/>
                      <w:color w:val="000000" w:themeColor="text1"/>
                      <w:szCs w:val="21"/>
                      <w14:textFill>
                        <w14:solidFill>
                          <w14:schemeClr w14:val="tx1"/>
                        </w14:solidFill>
                      </w14:textFill>
                    </w:rPr>
                    <w:t>2</w:t>
                  </w:r>
                </w:p>
              </w:tc>
              <w:tc>
                <w:tcPr>
                  <w:tcW w:w="1379" w:type="dxa"/>
                  <w:tcBorders>
                    <w:tl2br w:val="nil"/>
                    <w:tr2bl w:val="nil"/>
                  </w:tcBorders>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非甲烷总烃</w:t>
                  </w:r>
                </w:p>
              </w:tc>
              <w:tc>
                <w:tcPr>
                  <w:tcW w:w="1343"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3937" w:type="dxa"/>
                  <w:tcBorders>
                    <w:tl2br w:val="nil"/>
                    <w:tr2bl w:val="nil"/>
                  </w:tcBorders>
                  <w:vAlign w:val="center"/>
                </w:tcPr>
                <w:p>
                  <w:pPr>
                    <w:autoSpaceDE w:val="0"/>
                    <w:autoSpaceDN w:val="0"/>
                    <w:spacing w:line="400" w:lineRule="atLeast"/>
                    <w:jc w:val="left"/>
                    <w:rPr>
                      <w:color w:val="000000" w:themeColor="text1"/>
                      <w:szCs w:val="21"/>
                      <w14:textFill>
                        <w14:solidFill>
                          <w14:schemeClr w14:val="tx1"/>
                        </w14:solidFill>
                      </w14:textFill>
                    </w:rPr>
                  </w:pPr>
                  <w:r>
                    <w:rPr>
                      <w:color w:val="000000" w:themeColor="text1"/>
                      <w:spacing w:val="-10"/>
                      <w:szCs w:val="21"/>
                      <w14:textFill>
                        <w14:solidFill>
                          <w14:schemeClr w14:val="tx1"/>
                        </w14:solidFill>
                      </w14:textFill>
                    </w:rPr>
                    <w:t>《大气污染物综合排放标准》（GB16297-1996）表2</w:t>
                  </w:r>
                  <w:r>
                    <w:rPr>
                      <w:rFonts w:hint="eastAsia"/>
                      <w:color w:val="000000" w:themeColor="text1"/>
                      <w:spacing w:val="-10"/>
                      <w:szCs w:val="21"/>
                      <w14:textFill>
                        <w14:solidFill>
                          <w14:schemeClr w14:val="tx1"/>
                        </w14:solidFill>
                      </w14:textFill>
                    </w:rPr>
                    <w:t>、</w:t>
                  </w:r>
                  <w:r>
                    <w:rPr>
                      <w:color w:val="000000" w:themeColor="text1"/>
                      <w:spacing w:val="-10"/>
                      <w:szCs w:val="21"/>
                      <w14:textFill>
                        <w14:solidFill>
                          <w14:schemeClr w14:val="tx1"/>
                        </w14:solidFill>
                      </w14:textFill>
                    </w:rPr>
                    <w:t>《工业涂装工序挥发性有机物排放标准》（DB41/1951-2020）</w:t>
                  </w:r>
                  <w:r>
                    <w:rPr>
                      <w:rFonts w:hint="eastAsia"/>
                      <w:color w:val="000000" w:themeColor="text1"/>
                      <w:spacing w:val="-10"/>
                      <w:szCs w:val="21"/>
                      <w14:textFill>
                        <w14:solidFill>
                          <w14:schemeClr w14:val="tx1"/>
                        </w14:solidFill>
                      </w14:textFill>
                    </w:rPr>
                    <w:t>、《关于全省开展工业企业挥发性有机物专项治理工作中排放建议值的通知》（豫环攻坚办〔2017〕162 号文）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57" w:type="dxa"/>
                  <w:bottom w:w="0" w:type="dxa"/>
                  <w:right w:w="57" w:type="dxa"/>
                </w:tblCellMar>
              </w:tblPrEx>
              <w:trPr>
                <w:trHeight w:val="995" w:hRule="atLeast"/>
                <w:jc w:val="center"/>
              </w:trPr>
              <w:tc>
                <w:tcPr>
                  <w:tcW w:w="655" w:type="dxa"/>
                  <w:vMerge w:val="continue"/>
                  <w:tcBorders>
                    <w:tl2br w:val="nil"/>
                    <w:tr2bl w:val="nil"/>
                  </w:tcBorders>
                  <w:vAlign w:val="center"/>
                </w:tcPr>
                <w:p>
                  <w:pPr>
                    <w:autoSpaceDE w:val="0"/>
                    <w:autoSpaceDN w:val="0"/>
                    <w:spacing w:line="400" w:lineRule="atLeast"/>
                    <w:jc w:val="left"/>
                    <w:rPr>
                      <w:color w:val="000000" w:themeColor="text1"/>
                      <w14:textFill>
                        <w14:solidFill>
                          <w14:schemeClr w14:val="tx1"/>
                        </w14:solidFill>
                      </w14:textFill>
                    </w:rPr>
                  </w:pPr>
                </w:p>
              </w:tc>
              <w:tc>
                <w:tcPr>
                  <w:tcW w:w="1024" w:type="dxa"/>
                  <w:vMerge w:val="continue"/>
                  <w:tcBorders>
                    <w:tl2br w:val="nil"/>
                    <w:tr2bl w:val="nil"/>
                  </w:tcBorders>
                  <w:vAlign w:val="center"/>
                </w:tcPr>
                <w:p>
                  <w:pPr>
                    <w:autoSpaceDE w:val="0"/>
                    <w:autoSpaceDN w:val="0"/>
                    <w:spacing w:line="400" w:lineRule="atLeast"/>
                    <w:jc w:val="left"/>
                    <w:rPr>
                      <w:color w:val="000000" w:themeColor="text1"/>
                      <w14:textFill>
                        <w14:solidFill>
                          <w14:schemeClr w14:val="tx1"/>
                        </w14:solidFill>
                      </w14:textFill>
                    </w:rPr>
                  </w:pPr>
                </w:p>
              </w:tc>
              <w:tc>
                <w:tcPr>
                  <w:tcW w:w="1379" w:type="dxa"/>
                  <w:tcBorders>
                    <w:tl2br w:val="nil"/>
                    <w:tr2bl w:val="nil"/>
                  </w:tcBorders>
                  <w:vAlign w:val="center"/>
                </w:tcPr>
                <w:p>
                  <w:pPr>
                    <w:autoSpaceDE w:val="0"/>
                    <w:autoSpaceDN w:val="0"/>
                    <w:spacing w:line="400" w:lineRule="atLeast"/>
                    <w:jc w:val="center"/>
                    <w:rPr>
                      <w:color w:val="000000" w:themeColor="text1"/>
                      <w:szCs w:val="21"/>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颗粒物</w:t>
                  </w:r>
                </w:p>
              </w:tc>
              <w:tc>
                <w:tcPr>
                  <w:tcW w:w="1343" w:type="dxa"/>
                  <w:tcBorders>
                    <w:tl2br w:val="nil"/>
                    <w:tr2bl w:val="nil"/>
                  </w:tcBorders>
                  <w:vAlign w:val="center"/>
                </w:tcPr>
                <w:p>
                  <w:pPr>
                    <w:autoSpaceDE w:val="0"/>
                    <w:autoSpaceDN w:val="0"/>
                    <w:spacing w:line="400" w:lineRule="atLeast"/>
                    <w:jc w:val="center"/>
                    <w:rPr>
                      <w:rFonts w:hint="default" w:eastAsia="宋体"/>
                      <w:color w:val="000000" w:themeColor="text1"/>
                      <w:szCs w:val="21"/>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1次/年</w:t>
                  </w:r>
                </w:p>
              </w:tc>
              <w:tc>
                <w:tcPr>
                  <w:tcW w:w="3937" w:type="dxa"/>
                  <w:tcBorders>
                    <w:tl2br w:val="nil"/>
                    <w:tr2bl w:val="nil"/>
                  </w:tcBorders>
                  <w:vAlign w:val="center"/>
                </w:tcPr>
                <w:p>
                  <w:pPr>
                    <w:autoSpaceDE w:val="0"/>
                    <w:autoSpaceDN w:val="0"/>
                    <w:spacing w:line="400" w:lineRule="atLeast"/>
                    <w:jc w:val="center"/>
                    <w:rPr>
                      <w:color w:val="000000" w:themeColor="text1"/>
                      <w:szCs w:val="21"/>
                      <w14:textFill>
                        <w14:solidFill>
                          <w14:schemeClr w14:val="tx1"/>
                        </w14:solidFill>
                      </w14:textFill>
                    </w:rPr>
                  </w:pPr>
                  <w:r>
                    <w:rPr>
                      <w:rFonts w:hint="eastAsia"/>
                      <w:b/>
                      <w:bCs/>
                      <w:color w:val="000000" w:themeColor="text1"/>
                      <w:szCs w:val="21"/>
                      <w:u w:val="single"/>
                      <w14:textFill>
                        <w14:solidFill>
                          <w14:schemeClr w14:val="tx1"/>
                        </w14:solidFill>
                      </w14:textFill>
                    </w:rPr>
                    <w:t>《大气污染物综合排放标准》（GB16297-1996）表2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655"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1024"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厂房外</w:t>
                  </w:r>
                </w:p>
              </w:tc>
              <w:tc>
                <w:tcPr>
                  <w:tcW w:w="1379"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1343"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1次/</w:t>
                  </w:r>
                  <w:r>
                    <w:rPr>
                      <w:rFonts w:hint="eastAsia"/>
                      <w:color w:val="000000" w:themeColor="text1"/>
                      <w:szCs w:val="21"/>
                      <w14:textFill>
                        <w14:solidFill>
                          <w14:schemeClr w14:val="tx1"/>
                        </w14:solidFill>
                      </w14:textFill>
                    </w:rPr>
                    <w:t>年</w:t>
                  </w:r>
                </w:p>
              </w:tc>
              <w:tc>
                <w:tcPr>
                  <w:tcW w:w="3937"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《挥发性有机物无组织排放控制标准》（GB37822-2019）</w:t>
                  </w:r>
                  <w:r>
                    <w:rPr>
                      <w:rFonts w:hint="eastAsia"/>
                      <w:color w:val="000000" w:themeColor="text1"/>
                      <w:szCs w:val="21"/>
                      <w14:textFill>
                        <w14:solidFill>
                          <w14:schemeClr w14:val="tx1"/>
                        </w14:solidFill>
                      </w14:textFill>
                    </w:rPr>
                    <w:t>、</w:t>
                  </w:r>
                  <w:r>
                    <w:rPr>
                      <w:color w:val="000000" w:themeColor="text1"/>
                      <w:spacing w:val="-10"/>
                      <w:szCs w:val="21"/>
                      <w14:textFill>
                        <w14:solidFill>
                          <w14:schemeClr w14:val="tx1"/>
                        </w14:solidFill>
                      </w14:textFill>
                    </w:rPr>
                    <w:t>《工业涂装工序挥发性有机物排放标准》（DB41/1951-2020）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655" w:type="dxa"/>
                  <w:vMerge w:val="continue"/>
                  <w:tcBorders>
                    <w:tl2br w:val="nil"/>
                    <w:tr2bl w:val="nil"/>
                  </w:tcBorders>
                  <w:vAlign w:val="center"/>
                </w:tcPr>
                <w:p>
                  <w:pPr>
                    <w:spacing w:line="320" w:lineRule="exact"/>
                    <w:jc w:val="center"/>
                    <w:rPr>
                      <w:color w:val="000000" w:themeColor="text1"/>
                      <w:szCs w:val="21"/>
                      <w14:textFill>
                        <w14:solidFill>
                          <w14:schemeClr w14:val="tx1"/>
                        </w14:solidFill>
                      </w14:textFill>
                    </w:rPr>
                  </w:pPr>
                </w:p>
              </w:tc>
              <w:tc>
                <w:tcPr>
                  <w:tcW w:w="1024" w:type="dxa"/>
                  <w:vMerge w:val="restar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厂界</w:t>
                  </w:r>
                </w:p>
              </w:tc>
              <w:tc>
                <w:tcPr>
                  <w:tcW w:w="1379"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颗粒物</w:t>
                  </w:r>
                </w:p>
              </w:tc>
              <w:tc>
                <w:tcPr>
                  <w:tcW w:w="1343"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1次/年</w:t>
                  </w:r>
                </w:p>
              </w:tc>
              <w:tc>
                <w:tcPr>
                  <w:tcW w:w="3937"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《大气污染物综合排放标准》（GB16297-1996）表2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jc w:val="center"/>
              </w:trPr>
              <w:tc>
                <w:tcPr>
                  <w:tcW w:w="655" w:type="dxa"/>
                  <w:vMerge w:val="continue"/>
                  <w:tcBorders>
                    <w:tl2br w:val="nil"/>
                    <w:tr2bl w:val="nil"/>
                  </w:tcBorders>
                  <w:vAlign w:val="center"/>
                </w:tcPr>
                <w:p>
                  <w:pPr>
                    <w:spacing w:line="320" w:lineRule="exact"/>
                    <w:jc w:val="center"/>
                    <w:rPr>
                      <w:color w:val="000000" w:themeColor="text1"/>
                      <w14:textFill>
                        <w14:solidFill>
                          <w14:schemeClr w14:val="tx1"/>
                        </w14:solidFill>
                      </w14:textFill>
                    </w:rPr>
                  </w:pPr>
                </w:p>
              </w:tc>
              <w:tc>
                <w:tcPr>
                  <w:tcW w:w="1024" w:type="dxa"/>
                  <w:vMerge w:val="continue"/>
                  <w:tcBorders>
                    <w:tl2br w:val="nil"/>
                    <w:tr2bl w:val="nil"/>
                  </w:tcBorders>
                  <w:vAlign w:val="center"/>
                </w:tcPr>
                <w:p>
                  <w:pPr>
                    <w:spacing w:line="320" w:lineRule="exact"/>
                    <w:jc w:val="center"/>
                    <w:rPr>
                      <w:color w:val="000000" w:themeColor="text1"/>
                      <w14:textFill>
                        <w14:solidFill>
                          <w14:schemeClr w14:val="tx1"/>
                        </w14:solidFill>
                      </w14:textFill>
                    </w:rPr>
                  </w:pPr>
                </w:p>
              </w:tc>
              <w:tc>
                <w:tcPr>
                  <w:tcW w:w="1379"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1343"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1次/年</w:t>
                  </w:r>
                </w:p>
              </w:tc>
              <w:tc>
                <w:tcPr>
                  <w:tcW w:w="3937" w:type="dxa"/>
                  <w:tcBorders>
                    <w:tl2br w:val="nil"/>
                    <w:tr2bl w:val="nil"/>
                  </w:tcBorders>
                  <w:vAlign w:val="center"/>
                </w:tcPr>
                <w:p>
                  <w:pPr>
                    <w:spacing w:line="320" w:lineRule="exact"/>
                    <w:jc w:val="center"/>
                    <w:rPr>
                      <w:color w:val="000000" w:themeColor="text1"/>
                      <w:szCs w:val="21"/>
                      <w14:textFill>
                        <w14:solidFill>
                          <w14:schemeClr w14:val="tx1"/>
                        </w14:solidFill>
                      </w14:textFill>
                    </w:rPr>
                  </w:pPr>
                  <w:r>
                    <w:rPr>
                      <w:color w:val="000000" w:themeColor="text1"/>
                      <w:spacing w:val="-10"/>
                      <w:szCs w:val="21"/>
                      <w14:textFill>
                        <w14:solidFill>
                          <w14:schemeClr w14:val="tx1"/>
                        </w14:solidFill>
                      </w14:textFill>
                    </w:rPr>
                    <w:t>《大气污染物综合排放标准》（GB16297-1996）表2</w:t>
                  </w:r>
                  <w:r>
                    <w:rPr>
                      <w:rFonts w:hint="eastAsia"/>
                      <w:color w:val="000000" w:themeColor="text1"/>
                      <w:spacing w:val="-10"/>
                      <w:kern w:val="0"/>
                      <w:szCs w:val="21"/>
                      <w:lang w:bidi="he-IL"/>
                      <w14:textFill>
                        <w14:solidFill>
                          <w14:schemeClr w14:val="tx1"/>
                        </w14:solidFill>
                      </w14:textFill>
                    </w:rPr>
                    <w:t>、</w:t>
                  </w:r>
                  <w:r>
                    <w:rPr>
                      <w:rFonts w:hint="eastAsia"/>
                      <w:color w:val="000000" w:themeColor="text1"/>
                      <w:spacing w:val="-10"/>
                      <w:szCs w:val="21"/>
                      <w14:textFill>
                        <w14:solidFill>
                          <w14:schemeClr w14:val="tx1"/>
                        </w14:solidFill>
                      </w14:textFill>
                    </w:rPr>
                    <w:t>《关于全省开展工业企业挥发性有机物专项治理工作中排放建议值的通知》（豫环攻坚办〔2017〕162 号文）</w:t>
                  </w:r>
                </w:p>
              </w:tc>
            </w:tr>
          </w:tbl>
          <w:p>
            <w:pPr>
              <w:adjustRightInd w:val="0"/>
              <w:snapToGrid w:val="0"/>
              <w:spacing w:line="4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1.6 大气环境影响分析</w:t>
            </w:r>
          </w:p>
          <w:p>
            <w:pPr>
              <w:snapToGrid w:val="0"/>
              <w:spacing w:line="4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根据空气现状监测结果，PM</w:t>
            </w:r>
            <w:r>
              <w:rPr>
                <w:rFonts w:hint="eastAsia"/>
                <w:color w:val="000000" w:themeColor="text1"/>
                <w:sz w:val="24"/>
                <w:vertAlign w:val="subscript"/>
                <w14:textFill>
                  <w14:solidFill>
                    <w14:schemeClr w14:val="tx1"/>
                  </w14:solidFill>
                </w14:textFill>
              </w:rPr>
              <w:t>10</w:t>
            </w:r>
            <w:r>
              <w:rPr>
                <w:rFonts w:hint="eastAsia"/>
                <w:color w:val="000000" w:themeColor="text1"/>
                <w:sz w:val="24"/>
                <w14:textFill>
                  <w14:solidFill>
                    <w14:schemeClr w14:val="tx1"/>
                  </w14:solidFill>
                </w14:textFill>
              </w:rPr>
              <w:t>、PM</w:t>
            </w:r>
            <w:r>
              <w:rPr>
                <w:rFonts w:hint="eastAsia"/>
                <w:color w:val="000000" w:themeColor="text1"/>
                <w:sz w:val="24"/>
                <w:vertAlign w:val="subscript"/>
                <w14:textFill>
                  <w14:solidFill>
                    <w14:schemeClr w14:val="tx1"/>
                  </w14:solidFill>
                </w14:textFill>
              </w:rPr>
              <w:t>2.5</w:t>
            </w:r>
            <w:r>
              <w:rPr>
                <w:rFonts w:hint="eastAsia"/>
                <w:color w:val="000000" w:themeColor="text1"/>
                <w:sz w:val="24"/>
                <w14:textFill>
                  <w14:solidFill>
                    <w14:schemeClr w14:val="tx1"/>
                  </w14:solidFill>
                </w14:textFill>
              </w:rPr>
              <w:t>、O</w:t>
            </w:r>
            <w:r>
              <w:rPr>
                <w:rFonts w:hint="eastAsia"/>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相应浓度不满足《环境空气质量标准》（GB3095-2012）二级标准，针对区域大气环境质量现状超标的情况，洛阳市出台了《洛阳市污染防治攻坚战领导小组关于印发洛阳市2021年大气、水、土壤污染防治攻坚战及农业农村污染治理攻坚战实施方案的通知》（洛环攻坚[2021]5号），偃师区出台了《偃师区污染防治攻坚战领导小组关于印发2021年大气、水、土壤污染防治攻坚战及农业农村污染治理攻坚战实施方案的通知》（偃环攻坚〔2021〕4号）等相关大气治理文件，通过治理区域环境质量状况正在逐步好转。项目评价范围的特征污染因子非甲烷总烃1小时浓度监测值满足《大气污染物综合排放标准详解》一次浓度限值要求。</w:t>
            </w:r>
          </w:p>
          <w:p>
            <w:pPr>
              <w:snapToGrid w:val="0"/>
              <w:spacing w:line="4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本项目生产过程中产生的</w:t>
            </w:r>
            <w:r>
              <w:rPr>
                <w:color w:val="000000" w:themeColor="text1"/>
                <w:sz w:val="24"/>
                <w14:textFill>
                  <w14:solidFill>
                    <w14:schemeClr w14:val="tx1"/>
                  </w14:solidFill>
                </w14:textFill>
              </w:rPr>
              <w:t>大气污染物均能达标排放</w:t>
            </w:r>
            <w:r>
              <w:rPr>
                <w:rFonts w:hint="eastAsia"/>
                <w:color w:val="000000" w:themeColor="text1"/>
                <w:sz w:val="24"/>
                <w14:textFill>
                  <w14:solidFill>
                    <w14:schemeClr w14:val="tx1"/>
                  </w14:solidFill>
                </w14:textFill>
              </w:rPr>
              <w:t>，废气治理措施为可行性技术，</w:t>
            </w:r>
            <w:r>
              <w:rPr>
                <w:color w:val="000000" w:themeColor="text1"/>
                <w:sz w:val="24"/>
                <w14:textFill>
                  <w14:solidFill>
                    <w14:schemeClr w14:val="tx1"/>
                  </w14:solidFill>
                </w14:textFill>
              </w:rPr>
              <w:t>因此</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的建设对周围大气环境影响较小</w:t>
            </w:r>
            <w:r>
              <w:rPr>
                <w:rFonts w:hint="eastAsia"/>
                <w:color w:val="000000" w:themeColor="text1"/>
                <w:sz w:val="24"/>
                <w14:textFill>
                  <w14:solidFill>
                    <w14:schemeClr w14:val="tx1"/>
                  </w14:solidFill>
                </w14:textFill>
              </w:rPr>
              <w:t>。</w:t>
            </w:r>
          </w:p>
          <w:p>
            <w:pPr>
              <w:adjustRightInd w:val="0"/>
              <w:snapToGrid w:val="0"/>
              <w:spacing w:line="4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废水</w:t>
            </w:r>
          </w:p>
          <w:p>
            <w:pPr>
              <w:adjustRightInd w:val="0"/>
              <w:snapToGrid w:val="0"/>
              <w:spacing w:line="460" w:lineRule="exact"/>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2.1废水产排分析</w:t>
            </w:r>
          </w:p>
          <w:p>
            <w:pPr>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本项目营运期产生的废水主要为职工活动中产生的生活废水。</w:t>
            </w:r>
            <w:r>
              <w:rPr>
                <w:color w:val="000000" w:themeColor="text1"/>
                <w:sz w:val="24"/>
                <w14:textFill>
                  <w14:solidFill>
                    <w14:schemeClr w14:val="tx1"/>
                  </w14:solidFill>
                </w14:textFill>
              </w:rPr>
              <w:t>根据建设单位提供资料，本项目劳动定员为</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人，</w:t>
            </w:r>
            <w:r>
              <w:rPr>
                <w:rFonts w:hint="eastAsia"/>
                <w:color w:val="000000" w:themeColor="text1"/>
                <w:sz w:val="24"/>
                <w14:textFill>
                  <w14:solidFill>
                    <w14:schemeClr w14:val="tx1"/>
                  </w14:solidFill>
                </w14:textFill>
              </w:rPr>
              <w:t>均不在厂区食宿，年有效工作时间300天，为单班工作制，</w:t>
            </w:r>
            <w:r>
              <w:rPr>
                <w:color w:val="000000" w:themeColor="text1"/>
                <w:sz w:val="24"/>
                <w14:textFill>
                  <w14:solidFill>
                    <w14:schemeClr w14:val="tx1"/>
                  </w14:solidFill>
                </w14:textFill>
              </w:rPr>
              <w:t>根据河南省《工业与城镇生活用水定额》（DB41/T385-2020），用水定额40 L/（人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d），则本项目生活用水量总计为</w:t>
            </w:r>
            <w:r>
              <w:rPr>
                <w:rFonts w:hint="eastAsia"/>
                <w:color w:val="000000" w:themeColor="text1"/>
                <w:sz w:val="24"/>
                <w14:textFill>
                  <w14:solidFill>
                    <w14:schemeClr w14:val="tx1"/>
                  </w14:solidFill>
                </w14:textFill>
              </w:rPr>
              <w:t>0.6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180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/a），污水产生系数按0.8计，则站内职工生活污水产生量为</w:t>
            </w:r>
            <w:r>
              <w:rPr>
                <w:rFonts w:hint="eastAsia"/>
                <w:color w:val="000000" w:themeColor="text1"/>
                <w:sz w:val="24"/>
                <w14:textFill>
                  <w14:solidFill>
                    <w14:schemeClr w14:val="tx1"/>
                  </w14:solidFill>
                </w14:textFill>
              </w:rPr>
              <w:t>144</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4"/>
                <w14:textFill>
                  <w14:solidFill>
                    <w14:schemeClr w14:val="tx1"/>
                  </w14:solidFill>
                </w14:textFill>
              </w:rPr>
              <w:t>0.48</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/d）。经化粪池预处理，污水的主要污染因子有COD、SS、NH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w:t>
            </w:r>
            <w:r>
              <w:rPr>
                <w:rFonts w:hint="eastAsia"/>
                <w:color w:val="000000" w:themeColor="text1"/>
                <w:sz w:val="24"/>
                <w14:textFill>
                  <w14:solidFill>
                    <w14:schemeClr w14:val="tx1"/>
                  </w14:solidFill>
                </w14:textFill>
              </w:rPr>
              <w:t>。</w:t>
            </w:r>
          </w:p>
          <w:p>
            <w:pPr>
              <w:pStyle w:val="6"/>
              <w:numPr>
                <w:ilvl w:val="0"/>
                <w:numId w:val="0"/>
              </w:numPr>
              <w:ind w:firstLine="482" w:firstLineChars="200"/>
              <w:rPr>
                <w:b w:val="0"/>
                <w:color w:val="000000" w:themeColor="text1"/>
                <w14:textFill>
                  <w14:solidFill>
                    <w14:schemeClr w14:val="tx1"/>
                  </w14:solidFill>
                </w14:textFill>
              </w:rPr>
            </w:pPr>
            <w:r>
              <w:rPr>
                <w:rFonts w:hint="eastAsia"/>
                <w:bCs/>
                <w:color w:val="000000" w:themeColor="text1"/>
                <w14:textFill>
                  <w14:solidFill>
                    <w14:schemeClr w14:val="tx1"/>
                  </w14:solidFill>
                </w14:textFill>
              </w:rPr>
              <w:t>表</w:t>
            </w:r>
            <w:r>
              <w:rPr>
                <w:rFonts w:hint="eastAsia"/>
                <w:bCs/>
                <w:color w:val="000000" w:themeColor="text1"/>
                <w:lang w:val="en-US" w:eastAsia="zh-CN"/>
                <w14:textFill>
                  <w14:solidFill>
                    <w14:schemeClr w14:val="tx1"/>
                  </w14:solidFill>
                </w14:textFill>
              </w:rPr>
              <w:t>22</w:t>
            </w:r>
            <w:r>
              <w:rPr>
                <w:rFonts w:hint="eastAsia"/>
                <w:bCs/>
                <w:color w:val="000000" w:themeColor="text1"/>
                <w14:textFill>
                  <w14:solidFill>
                    <w14:schemeClr w14:val="tx1"/>
                  </w14:solidFill>
                </w14:textFill>
              </w:rPr>
              <w:t xml:space="preserve">            本项目生活污水产排情况一览表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3244"/>
              <w:gridCol w:w="874"/>
              <w:gridCol w:w="1341"/>
              <w:gridCol w:w="1246"/>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pct"/>
                  <w:gridSpan w:val="2"/>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类别</w:t>
                  </w:r>
                </w:p>
              </w:tc>
              <w:tc>
                <w:tcPr>
                  <w:tcW w:w="521"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污水量</w:t>
                  </w:r>
                </w:p>
              </w:tc>
              <w:tc>
                <w:tcPr>
                  <w:tcW w:w="800"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COD</w:t>
                  </w:r>
                </w:p>
              </w:tc>
              <w:tc>
                <w:tcPr>
                  <w:tcW w:w="743"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NH</w:t>
                  </w:r>
                  <w:r>
                    <w:rPr>
                      <w:color w:val="000000" w:themeColor="text1"/>
                      <w:sz w:val="24"/>
                      <w:vertAlign w:val="subscript"/>
                      <w14:textFill>
                        <w14:solidFill>
                          <w14:schemeClr w14:val="tx1"/>
                        </w14:solidFill>
                      </w14:textFill>
                    </w:rPr>
                    <w:t>3</w:t>
                  </w:r>
                  <w:r>
                    <w:rPr>
                      <w:color w:val="000000" w:themeColor="text1"/>
                      <w14:textFill>
                        <w14:solidFill>
                          <w14:schemeClr w14:val="tx1"/>
                        </w14:solidFill>
                      </w14:textFill>
                    </w:rPr>
                    <w:t>-N</w:t>
                  </w:r>
                </w:p>
              </w:tc>
              <w:tc>
                <w:tcPr>
                  <w:tcW w:w="662"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Merge w:val="restar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处理前</w:t>
                  </w:r>
                </w:p>
              </w:tc>
              <w:tc>
                <w:tcPr>
                  <w:tcW w:w="1933"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浓度（mg/L）</w:t>
                  </w:r>
                </w:p>
              </w:tc>
              <w:tc>
                <w:tcPr>
                  <w:tcW w:w="521"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800"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350</w:t>
                  </w:r>
                </w:p>
              </w:tc>
              <w:tc>
                <w:tcPr>
                  <w:tcW w:w="743"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662"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Merge w:val="continue"/>
                  <w:tcBorders>
                    <w:tl2br w:val="nil"/>
                    <w:tr2bl w:val="nil"/>
                  </w:tcBorders>
                  <w:vAlign w:val="center"/>
                </w:tcPr>
                <w:p>
                  <w:pPr>
                    <w:spacing w:line="320" w:lineRule="exact"/>
                    <w:jc w:val="center"/>
                    <w:rPr>
                      <w:color w:val="000000" w:themeColor="text1"/>
                      <w14:textFill>
                        <w14:solidFill>
                          <w14:schemeClr w14:val="tx1"/>
                        </w14:solidFill>
                      </w14:textFill>
                    </w:rPr>
                  </w:pPr>
                </w:p>
              </w:tc>
              <w:tc>
                <w:tcPr>
                  <w:tcW w:w="1933"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产生量（</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/a）</w:t>
                  </w:r>
                </w:p>
              </w:tc>
              <w:tc>
                <w:tcPr>
                  <w:tcW w:w="521"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800"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0.0504</w:t>
                  </w:r>
                </w:p>
              </w:tc>
              <w:tc>
                <w:tcPr>
                  <w:tcW w:w="743" w:type="pct"/>
                  <w:tcBorders>
                    <w:tl2br w:val="nil"/>
                    <w:tr2bl w:val="nil"/>
                  </w:tcBorders>
                  <w:vAlign w:val="center"/>
                </w:tcPr>
                <w:p>
                  <w:pPr>
                    <w:tabs>
                      <w:tab w:val="left" w:pos="483"/>
                    </w:tabs>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0.0043</w:t>
                  </w:r>
                </w:p>
              </w:tc>
              <w:tc>
                <w:tcPr>
                  <w:tcW w:w="662"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2" w:type="pct"/>
                  <w:gridSpan w:val="2"/>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化粪池去除效率（%）</w:t>
                  </w:r>
                </w:p>
              </w:tc>
              <w:tc>
                <w:tcPr>
                  <w:tcW w:w="521"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800"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20</w:t>
                  </w:r>
                </w:p>
              </w:tc>
              <w:tc>
                <w:tcPr>
                  <w:tcW w:w="743"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662"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Merge w:val="restar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处理后</w:t>
                  </w:r>
                </w:p>
              </w:tc>
              <w:tc>
                <w:tcPr>
                  <w:tcW w:w="1933"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浓度（mg/L）</w:t>
                  </w:r>
                </w:p>
              </w:tc>
              <w:tc>
                <w:tcPr>
                  <w:tcW w:w="521"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800"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280</w:t>
                  </w:r>
                </w:p>
              </w:tc>
              <w:tc>
                <w:tcPr>
                  <w:tcW w:w="743"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29.1</w:t>
                  </w:r>
                </w:p>
              </w:tc>
              <w:tc>
                <w:tcPr>
                  <w:tcW w:w="662"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Merge w:val="continue"/>
                  <w:tcBorders>
                    <w:tl2br w:val="nil"/>
                    <w:tr2bl w:val="nil"/>
                  </w:tcBorders>
                  <w:vAlign w:val="center"/>
                </w:tcPr>
                <w:p>
                  <w:pPr>
                    <w:spacing w:line="320" w:lineRule="exact"/>
                    <w:jc w:val="center"/>
                    <w:rPr>
                      <w:color w:val="000000" w:themeColor="text1"/>
                      <w14:textFill>
                        <w14:solidFill>
                          <w14:schemeClr w14:val="tx1"/>
                        </w14:solidFill>
                      </w14:textFill>
                    </w:rPr>
                  </w:pPr>
                </w:p>
              </w:tc>
              <w:tc>
                <w:tcPr>
                  <w:tcW w:w="1933" w:type="pct"/>
                  <w:tcBorders>
                    <w:tl2br w:val="nil"/>
                    <w:tr2bl w:val="nil"/>
                  </w:tcBorders>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排放量（</w:t>
                  </w:r>
                  <w:r>
                    <w:rPr>
                      <w:rFonts w:hint="eastAsia"/>
                      <w:color w:val="000000" w:themeColor="text1"/>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color w:val="000000" w:themeColor="text1"/>
                      <w14:textFill>
                        <w14:solidFill>
                          <w14:schemeClr w14:val="tx1"/>
                        </w14:solidFill>
                      </w14:textFill>
                    </w:rPr>
                    <w:t>/a）</w:t>
                  </w:r>
                </w:p>
              </w:tc>
              <w:tc>
                <w:tcPr>
                  <w:tcW w:w="521"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144</w:t>
                  </w:r>
                </w:p>
              </w:tc>
              <w:tc>
                <w:tcPr>
                  <w:tcW w:w="800"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0.0403</w:t>
                  </w:r>
                </w:p>
              </w:tc>
              <w:tc>
                <w:tcPr>
                  <w:tcW w:w="743"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0.0042</w:t>
                  </w:r>
                </w:p>
              </w:tc>
              <w:tc>
                <w:tcPr>
                  <w:tcW w:w="662" w:type="pct"/>
                  <w:tcBorders>
                    <w:tl2br w:val="nil"/>
                    <w:tr2bl w:val="nil"/>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0.0144</w:t>
                  </w:r>
                </w:p>
              </w:tc>
            </w:tr>
          </w:tbl>
          <w:p>
            <w:pPr>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2.2依托化粪池可行性分析</w:t>
            </w:r>
          </w:p>
          <w:p>
            <w:pPr>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经调查，</w:t>
            </w:r>
            <w:r>
              <w:rPr>
                <w:rFonts w:hint="eastAsia"/>
                <w:b/>
                <w:bCs/>
                <w:color w:val="000000" w:themeColor="text1"/>
                <w:sz w:val="24"/>
                <w:u w:val="single"/>
                <w14:textFill>
                  <w14:solidFill>
                    <w14:schemeClr w14:val="tx1"/>
                  </w14:solidFill>
                </w14:textFill>
              </w:rPr>
              <w:t>厂区内现有</w:t>
            </w:r>
            <w:r>
              <w:rPr>
                <w:rFonts w:hint="eastAsia"/>
                <w:b/>
                <w:bCs/>
                <w:color w:val="000000" w:themeColor="text1"/>
                <w:sz w:val="24"/>
                <w:u w:val="single"/>
                <w:lang w:val="en-US" w:eastAsia="zh-CN"/>
                <w14:textFill>
                  <w14:solidFill>
                    <w14:schemeClr w14:val="tx1"/>
                  </w14:solidFill>
                </w14:textFill>
              </w:rPr>
              <w:t>1个7</w:t>
            </w:r>
            <w:r>
              <w:rPr>
                <w:rFonts w:hint="eastAsia"/>
                <w:b/>
                <w:bCs/>
                <w:color w:val="000000" w:themeColor="text1"/>
                <w:sz w:val="24"/>
                <w:u w:val="single"/>
                <w14:textFill>
                  <w14:solidFill>
                    <w14:schemeClr w14:val="tx1"/>
                  </w14:solidFill>
                </w14:textFill>
              </w:rPr>
              <w:t>m</w:t>
            </w:r>
            <w:r>
              <w:rPr>
                <w:rFonts w:hint="eastAsia"/>
                <w:b/>
                <w:bCs/>
                <w:color w:val="000000" w:themeColor="text1"/>
                <w:sz w:val="24"/>
                <w:u w:val="single"/>
                <w:vertAlign w:val="superscript"/>
                <w14:textFill>
                  <w14:solidFill>
                    <w14:schemeClr w14:val="tx1"/>
                  </w14:solidFill>
                </w14:textFill>
              </w:rPr>
              <w:t>3</w:t>
            </w:r>
            <w:r>
              <w:rPr>
                <w:rFonts w:hint="eastAsia"/>
                <w:b/>
                <w:bCs/>
                <w:color w:val="000000" w:themeColor="text1"/>
                <w:sz w:val="24"/>
                <w:u w:val="single"/>
                <w14:textFill>
                  <w14:solidFill>
                    <w14:schemeClr w14:val="tx1"/>
                  </w14:solidFill>
                </w14:textFill>
              </w:rPr>
              <w:t>化粪池对废水进行</w:t>
            </w:r>
            <w:r>
              <w:rPr>
                <w:rFonts w:hint="eastAsia" w:hAnsi="宋体"/>
                <w:b/>
                <w:bCs/>
                <w:color w:val="000000" w:themeColor="text1"/>
                <w:sz w:val="24"/>
                <w:u w:val="single"/>
                <w14:textFill>
                  <w14:solidFill>
                    <w14:schemeClr w14:val="tx1"/>
                  </w14:solidFill>
                </w14:textFill>
              </w:rPr>
              <w:t>收集后定期清掏用于周围农户肥田</w:t>
            </w:r>
            <w:r>
              <w:rPr>
                <w:rFonts w:hint="eastAsia" w:hAnsi="宋体"/>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厂区内除本项目外，还有4家企业共用现有化粪池，厂区内企业每天需用化粪池处理废水排放情况如下表。</w:t>
            </w:r>
          </w:p>
          <w:p>
            <w:pPr>
              <w:pStyle w:val="6"/>
              <w:numPr>
                <w:ilvl w:val="0"/>
                <w:numId w:val="0"/>
              </w:numPr>
              <w:ind w:firstLine="482"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表</w:t>
            </w:r>
            <w:r>
              <w:rPr>
                <w:rFonts w:hint="eastAsia"/>
                <w:bCs/>
                <w:color w:val="000000" w:themeColor="text1"/>
                <w:lang w:val="en-US" w:eastAsia="zh-CN"/>
                <w14:textFill>
                  <w14:solidFill>
                    <w14:schemeClr w14:val="tx1"/>
                  </w14:solidFill>
                </w14:textFill>
              </w:rPr>
              <w:t>23</w:t>
            </w:r>
            <w:r>
              <w:rPr>
                <w:rFonts w:hint="eastAsia"/>
                <w:bCs/>
                <w:color w:val="000000" w:themeColor="text1"/>
                <w14:textFill>
                  <w14:solidFill>
                    <w14:schemeClr w14:val="tx1"/>
                  </w14:solidFill>
                </w14:textFill>
              </w:rPr>
              <w:t xml:space="preserve">               化粪池收水范围一览表</w:t>
            </w:r>
          </w:p>
          <w:tbl>
            <w:tblPr>
              <w:tblStyle w:val="19"/>
              <w:tblW w:w="815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38"/>
              <w:gridCol w:w="3914"/>
              <w:gridCol w:w="228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123" w:type="dxa"/>
                  <w:shd w:val="clear" w:color="auto" w:fill="auto"/>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838" w:type="dxa"/>
                  <w:shd w:val="clear" w:color="auto" w:fill="auto"/>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3914" w:type="dxa"/>
                  <w:shd w:val="clear" w:color="auto" w:fill="auto"/>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企业名称</w:t>
                  </w:r>
                </w:p>
              </w:tc>
              <w:tc>
                <w:tcPr>
                  <w:tcW w:w="2282" w:type="dxa"/>
                  <w:shd w:val="clear" w:color="auto" w:fill="auto"/>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污水排放量（m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123"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w:t>
                  </w:r>
                  <w:r>
                    <w:rPr>
                      <w:color w:val="000000" w:themeColor="text1"/>
                      <w:szCs w:val="21"/>
                      <w14:textFill>
                        <w14:solidFill>
                          <w14:schemeClr w14:val="tx1"/>
                        </w14:solidFill>
                      </w14:textFill>
                    </w:rPr>
                    <w:t>项目</w:t>
                  </w:r>
                </w:p>
              </w:tc>
              <w:tc>
                <w:tcPr>
                  <w:tcW w:w="838"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914"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河南达恒科技有限公司</w:t>
                  </w:r>
                </w:p>
              </w:tc>
              <w:tc>
                <w:tcPr>
                  <w:tcW w:w="2282"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0.48</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123" w:type="dxa"/>
                  <w:vMerge w:val="restart"/>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现有企业</w:t>
                  </w:r>
                </w:p>
              </w:tc>
              <w:tc>
                <w:tcPr>
                  <w:tcW w:w="838"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914"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洛阳市冠誉办公家具有限公司</w:t>
                  </w:r>
                </w:p>
              </w:tc>
              <w:tc>
                <w:tcPr>
                  <w:tcW w:w="2282"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0.96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123" w:type="dxa"/>
                  <w:vMerge w:val="continue"/>
                  <w:shd w:val="clear" w:color="auto" w:fill="auto"/>
                  <w:vAlign w:val="center"/>
                </w:tcPr>
                <w:p>
                  <w:pPr>
                    <w:spacing w:line="320" w:lineRule="exact"/>
                    <w:jc w:val="center"/>
                    <w:rPr>
                      <w:color w:val="000000" w:themeColor="text1"/>
                      <w:szCs w:val="21"/>
                      <w14:textFill>
                        <w14:solidFill>
                          <w14:schemeClr w14:val="tx1"/>
                        </w14:solidFill>
                      </w14:textFill>
                    </w:rPr>
                  </w:pPr>
                </w:p>
              </w:tc>
              <w:tc>
                <w:tcPr>
                  <w:tcW w:w="838"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914"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洛阳致强办公家具有限公司</w:t>
                  </w:r>
                </w:p>
              </w:tc>
              <w:tc>
                <w:tcPr>
                  <w:tcW w:w="2282" w:type="dxa"/>
                  <w:shd w:val="clear" w:color="auto" w:fill="auto"/>
                  <w:vAlign w:val="center"/>
                </w:tcPr>
                <w:p>
                  <w:pPr>
                    <w:spacing w:line="320" w:lineRule="exact"/>
                    <w:jc w:val="center"/>
                    <w:rPr>
                      <w:rFonts w:hint="default" w:eastAsia="宋体"/>
                      <w:color w:val="000000" w:themeColor="text1"/>
                      <w:szCs w:val="21"/>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0.32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123" w:type="dxa"/>
                  <w:vMerge w:val="continue"/>
                  <w:shd w:val="clear" w:color="auto" w:fill="auto"/>
                  <w:vAlign w:val="center"/>
                </w:tcPr>
                <w:p>
                  <w:pPr>
                    <w:spacing w:line="320" w:lineRule="exact"/>
                    <w:jc w:val="center"/>
                    <w:rPr>
                      <w:color w:val="000000" w:themeColor="text1"/>
                      <w:szCs w:val="21"/>
                      <w14:textFill>
                        <w14:solidFill>
                          <w14:schemeClr w14:val="tx1"/>
                        </w14:solidFill>
                      </w14:textFill>
                    </w:rPr>
                  </w:pPr>
                </w:p>
              </w:tc>
              <w:tc>
                <w:tcPr>
                  <w:tcW w:w="838"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3914"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偃师市旭方塑料制品厂</w:t>
                  </w:r>
                </w:p>
              </w:tc>
              <w:tc>
                <w:tcPr>
                  <w:tcW w:w="2282"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123" w:type="dxa"/>
                  <w:vMerge w:val="continue"/>
                  <w:shd w:val="clear" w:color="auto" w:fill="auto"/>
                  <w:vAlign w:val="center"/>
                </w:tcPr>
                <w:p>
                  <w:pPr>
                    <w:spacing w:line="320" w:lineRule="exact"/>
                    <w:jc w:val="center"/>
                    <w:rPr>
                      <w:color w:val="000000" w:themeColor="text1"/>
                      <w:szCs w:val="21"/>
                      <w14:textFill>
                        <w14:solidFill>
                          <w14:schemeClr w14:val="tx1"/>
                        </w14:solidFill>
                      </w14:textFill>
                    </w:rPr>
                  </w:pPr>
                </w:p>
              </w:tc>
              <w:tc>
                <w:tcPr>
                  <w:tcW w:w="838" w:type="dxa"/>
                  <w:shd w:val="clear" w:color="auto" w:fill="auto"/>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3914" w:type="dxa"/>
                  <w:shd w:val="clear" w:color="auto" w:fill="auto"/>
                  <w:vAlign w:val="center"/>
                </w:tcPr>
                <w:p>
                  <w:pPr>
                    <w:spacing w:line="320" w:lineRule="exact"/>
                    <w:jc w:val="center"/>
                    <w:rPr>
                      <w:b w:val="0"/>
                      <w:bCs w:val="0"/>
                      <w:color w:val="000000" w:themeColor="text1"/>
                      <w:szCs w:val="21"/>
                      <w:u w:val="none"/>
                      <w14:textFill>
                        <w14:solidFill>
                          <w14:schemeClr w14:val="tx1"/>
                        </w14:solidFill>
                      </w14:textFill>
                    </w:rPr>
                  </w:pPr>
                  <w:r>
                    <w:rPr>
                      <w:rFonts w:hint="eastAsia"/>
                      <w:b w:val="0"/>
                      <w:bCs w:val="0"/>
                      <w:color w:val="000000" w:themeColor="text1"/>
                      <w:szCs w:val="21"/>
                      <w:u w:val="none"/>
                      <w14:textFill>
                        <w14:solidFill>
                          <w14:schemeClr w14:val="tx1"/>
                        </w14:solidFill>
                      </w14:textFill>
                    </w:rPr>
                    <w:t>洛阳睿曼实业有限公司</w:t>
                  </w:r>
                </w:p>
              </w:tc>
              <w:tc>
                <w:tcPr>
                  <w:tcW w:w="2282" w:type="dxa"/>
                  <w:shd w:val="clear" w:color="auto" w:fill="auto"/>
                  <w:vAlign w:val="center"/>
                </w:tcPr>
                <w:p>
                  <w:pPr>
                    <w:spacing w:line="320" w:lineRule="exact"/>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val="0"/>
                      <w:bCs w:val="0"/>
                      <w:color w:val="000000" w:themeColor="text1"/>
                      <w:szCs w:val="21"/>
                      <w:u w:val="none"/>
                      <w:lang w:val="en-US" w:eastAsia="zh-CN"/>
                      <w14:textFill>
                        <w14:solidFill>
                          <w14:schemeClr w14:val="tx1"/>
                        </w14:solidFill>
                      </w14:textFill>
                    </w:rPr>
                    <w:t>1.28</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5875" w:type="dxa"/>
                  <w:gridSpan w:val="3"/>
                  <w:shd w:val="clear" w:color="auto" w:fill="auto"/>
                  <w:vAlign w:val="center"/>
                </w:tcPr>
                <w:p>
                  <w:pPr>
                    <w:spacing w:line="320" w:lineRule="exact"/>
                    <w:jc w:val="center"/>
                    <w:rPr>
                      <w:b w:val="0"/>
                      <w:bCs w:val="0"/>
                      <w:color w:val="000000" w:themeColor="text1"/>
                      <w:szCs w:val="21"/>
                      <w:u w:val="none"/>
                      <w14:textFill>
                        <w14:solidFill>
                          <w14:schemeClr w14:val="tx1"/>
                        </w14:solidFill>
                      </w14:textFill>
                    </w:rPr>
                  </w:pPr>
                  <w:r>
                    <w:rPr>
                      <w:b w:val="0"/>
                      <w:bCs w:val="0"/>
                      <w:color w:val="000000" w:themeColor="text1"/>
                      <w:szCs w:val="21"/>
                      <w:u w:val="none"/>
                      <w14:textFill>
                        <w14:solidFill>
                          <w14:schemeClr w14:val="tx1"/>
                        </w14:solidFill>
                      </w14:textFill>
                    </w:rPr>
                    <w:t>合计</w:t>
                  </w:r>
                </w:p>
              </w:tc>
              <w:tc>
                <w:tcPr>
                  <w:tcW w:w="2282" w:type="dxa"/>
                  <w:shd w:val="clear" w:color="auto" w:fill="auto"/>
                  <w:vAlign w:val="center"/>
                </w:tcPr>
                <w:p>
                  <w:pPr>
                    <w:spacing w:line="320" w:lineRule="exact"/>
                    <w:jc w:val="center"/>
                    <w:rPr>
                      <w:rFonts w:hint="default" w:eastAsia="宋体"/>
                      <w:b w:val="0"/>
                      <w:bCs w:val="0"/>
                      <w:color w:val="000000" w:themeColor="text1"/>
                      <w:szCs w:val="21"/>
                      <w:u w:val="non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3.36</w:t>
                  </w:r>
                </w:p>
              </w:tc>
            </w:tr>
          </w:tbl>
          <w:p>
            <w:pPr>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由上表可知，</w:t>
            </w:r>
            <w:r>
              <w:rPr>
                <w:rFonts w:hint="eastAsia"/>
                <w:b/>
                <w:bCs/>
                <w:color w:val="000000" w:themeColor="text1"/>
                <w:kern w:val="0"/>
                <w:sz w:val="24"/>
                <w:u w:val="single"/>
                <w14:textFill>
                  <w14:solidFill>
                    <w14:schemeClr w14:val="tx1"/>
                  </w14:solidFill>
                </w14:textFill>
              </w:rPr>
              <w:t>本项目完成后</w:t>
            </w:r>
            <w:r>
              <w:rPr>
                <w:rFonts w:hint="eastAsia"/>
                <w:b/>
                <w:bCs/>
                <w:color w:val="000000" w:themeColor="text1"/>
                <w:sz w:val="24"/>
                <w:u w:val="single"/>
                <w14:textFill>
                  <w14:solidFill>
                    <w14:schemeClr w14:val="tx1"/>
                  </w14:solidFill>
                </w14:textFill>
              </w:rPr>
              <w:t>厂区内现有企业每天化粪池处理废水总量为</w:t>
            </w:r>
            <w:r>
              <w:rPr>
                <w:rFonts w:hint="eastAsia"/>
                <w:b/>
                <w:bCs/>
                <w:color w:val="000000" w:themeColor="text1"/>
                <w:sz w:val="24"/>
                <w:u w:val="single"/>
                <w:lang w:val="en-US" w:eastAsia="zh-CN"/>
                <w14:textFill>
                  <w14:solidFill>
                    <w14:schemeClr w14:val="tx1"/>
                  </w14:solidFill>
                </w14:textFill>
              </w:rPr>
              <w:t>3.36</w:t>
            </w:r>
            <w:r>
              <w:rPr>
                <w:rFonts w:hint="eastAsia"/>
                <w:b/>
                <w:bCs/>
                <w:color w:val="000000" w:themeColor="text1"/>
                <w:sz w:val="24"/>
                <w:u w:val="single"/>
                <w14:textFill>
                  <w14:solidFill>
                    <w14:schemeClr w14:val="tx1"/>
                  </w14:solidFill>
                </w14:textFill>
              </w:rPr>
              <w:t>m</w:t>
            </w:r>
            <w:r>
              <w:rPr>
                <w:rFonts w:hint="eastAsia"/>
                <w:b/>
                <w:bCs/>
                <w:color w:val="000000" w:themeColor="text1"/>
                <w:sz w:val="24"/>
                <w:u w:val="single"/>
                <w:vertAlign w:val="superscript"/>
                <w14:textFill>
                  <w14:solidFill>
                    <w14:schemeClr w14:val="tx1"/>
                  </w14:solidFill>
                </w14:textFill>
              </w:rPr>
              <w:t>3</w:t>
            </w:r>
            <w:r>
              <w:rPr>
                <w:rFonts w:hint="eastAsia"/>
                <w:b/>
                <w:bCs/>
                <w:color w:val="000000" w:themeColor="text1"/>
                <w:sz w:val="24"/>
                <w:u w:val="single"/>
                <w14:textFill>
                  <w14:solidFill>
                    <w14:schemeClr w14:val="tx1"/>
                  </w14:solidFill>
                </w14:textFill>
              </w:rPr>
              <w:t>，</w:t>
            </w:r>
            <w:r>
              <w:rPr>
                <w:rFonts w:hint="eastAsia"/>
                <w:b/>
                <w:bCs/>
                <w:color w:val="000000" w:themeColor="text1"/>
                <w:kern w:val="0"/>
                <w:sz w:val="24"/>
                <w:u w:val="single"/>
                <w14:textFill>
                  <w14:solidFill>
                    <w14:schemeClr w14:val="tx1"/>
                  </w14:solidFill>
                </w14:textFill>
              </w:rPr>
              <w:t>化粪池总容积为</w:t>
            </w:r>
            <w:r>
              <w:rPr>
                <w:rFonts w:hint="eastAsia"/>
                <w:b/>
                <w:bCs/>
                <w:color w:val="000000" w:themeColor="text1"/>
                <w:sz w:val="24"/>
                <w:u w:val="single"/>
                <w:lang w:val="en-US" w:eastAsia="zh-CN"/>
                <w14:textFill>
                  <w14:solidFill>
                    <w14:schemeClr w14:val="tx1"/>
                  </w14:solidFill>
                </w14:textFill>
              </w:rPr>
              <w:t>7</w:t>
            </w:r>
            <w:r>
              <w:rPr>
                <w:rFonts w:hint="eastAsia"/>
                <w:b/>
                <w:bCs/>
                <w:color w:val="000000" w:themeColor="text1"/>
                <w:sz w:val="24"/>
                <w:u w:val="single"/>
                <w14:textFill>
                  <w14:solidFill>
                    <w14:schemeClr w14:val="tx1"/>
                  </w14:solidFill>
                </w14:textFill>
              </w:rPr>
              <w:t>m</w:t>
            </w:r>
            <w:r>
              <w:rPr>
                <w:rFonts w:hint="eastAsia"/>
                <w:b/>
                <w:bCs/>
                <w:color w:val="000000" w:themeColor="text1"/>
                <w:sz w:val="24"/>
                <w:u w:val="single"/>
                <w:vertAlign w:val="superscript"/>
                <w14:textFill>
                  <w14:solidFill>
                    <w14:schemeClr w14:val="tx1"/>
                  </w14:solidFill>
                </w14:textFill>
              </w:rPr>
              <w:t>3</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本项目废水进入该化粪池后可满足化粪池停留12h的设计要求，因此化粪池的依托合理。</w:t>
            </w:r>
          </w:p>
          <w:p>
            <w:pPr>
              <w:adjustRightIn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2.3水环境影响分析</w:t>
            </w:r>
          </w:p>
          <w:p>
            <w:pPr>
              <w:adjustRightInd w:val="0"/>
              <w:snapToGrid w:val="0"/>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本项目生活污水经化粪池及收集池收集，</w:t>
            </w:r>
            <w:r>
              <w:rPr>
                <w:color w:val="000000" w:themeColor="text1"/>
                <w:sz w:val="24"/>
                <w14:textFill>
                  <w14:solidFill>
                    <w14:schemeClr w14:val="tx1"/>
                  </w14:solidFill>
                </w14:textFill>
              </w:rPr>
              <w:t>定期清掏至周围农田施肥</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因此</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的建设对周围</w:t>
            </w:r>
            <w:r>
              <w:rPr>
                <w:rFonts w:hint="eastAsia"/>
                <w:color w:val="000000" w:themeColor="text1"/>
                <w:sz w:val="24"/>
                <w14:textFill>
                  <w14:solidFill>
                    <w14:schemeClr w14:val="tx1"/>
                  </w14:solidFill>
                </w14:textFill>
              </w:rPr>
              <w:t>水</w:t>
            </w:r>
            <w:r>
              <w:rPr>
                <w:color w:val="000000" w:themeColor="text1"/>
                <w:sz w:val="24"/>
                <w14:textFill>
                  <w14:solidFill>
                    <w14:schemeClr w14:val="tx1"/>
                  </w14:solidFill>
                </w14:textFill>
              </w:rPr>
              <w:t>环境影响较小</w:t>
            </w:r>
            <w:r>
              <w:rPr>
                <w:rFonts w:hint="eastAsia"/>
                <w:color w:val="000000" w:themeColor="text1"/>
                <w:sz w:val="24"/>
                <w14:textFill>
                  <w14:solidFill>
                    <w14:schemeClr w14:val="tx1"/>
                  </w14:solidFill>
                </w14:textFill>
              </w:rPr>
              <w:t>。</w:t>
            </w:r>
          </w:p>
          <w:p>
            <w:pPr>
              <w:adjustRightInd w:val="0"/>
              <w:snapToGrid w:val="0"/>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3、噪声</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3.1 噪声污染源及治理措施</w:t>
            </w:r>
          </w:p>
          <w:p>
            <w:pPr>
              <w:spacing w:line="460" w:lineRule="exact"/>
              <w:ind w:firstLine="480" w:firstLineChars="200"/>
              <w:textAlignment w:val="baseline"/>
              <w:rPr>
                <w:color w:val="000000" w:themeColor="text1"/>
                <w14:textFill>
                  <w14:solidFill>
                    <w14:schemeClr w14:val="tx1"/>
                  </w14:solidFill>
                </w14:textFill>
              </w:rPr>
            </w:pPr>
            <w:r>
              <w:rPr>
                <w:color w:val="000000" w:themeColor="text1"/>
                <w:sz w:val="24"/>
                <w14:textFill>
                  <w14:solidFill>
                    <w14:schemeClr w14:val="tx1"/>
                  </w14:solidFill>
                </w14:textFill>
              </w:rPr>
              <w:t>本项目运营期噪声主要为生产过程中</w:t>
            </w:r>
            <w:r>
              <w:rPr>
                <w:rFonts w:hint="eastAsia"/>
                <w:color w:val="000000" w:themeColor="text1"/>
                <w:sz w:val="24"/>
                <w14:textFill>
                  <w14:solidFill>
                    <w14:schemeClr w14:val="tx1"/>
                  </w14:solidFill>
                </w14:textFill>
              </w:rPr>
              <w:t>产生的机械噪声</w:t>
            </w:r>
            <w:r>
              <w:rPr>
                <w:color w:val="000000" w:themeColor="text1"/>
                <w:sz w:val="24"/>
                <w14:textFill>
                  <w14:solidFill>
                    <w14:schemeClr w14:val="tx1"/>
                  </w14:solidFill>
                </w14:textFill>
              </w:rPr>
              <w:t>，经类比同类设备，声级为</w:t>
            </w:r>
            <w:r>
              <w:rPr>
                <w:rFonts w:hint="eastAsia"/>
                <w:color w:val="000000" w:themeColor="text1"/>
                <w:sz w:val="24"/>
                <w14:textFill>
                  <w14:solidFill>
                    <w14:schemeClr w14:val="tx1"/>
                  </w14:solidFill>
                </w14:textFill>
              </w:rPr>
              <w:t>70~80</w:t>
            </w:r>
            <w:r>
              <w:rPr>
                <w:color w:val="000000" w:themeColor="text1"/>
                <w:sz w:val="24"/>
                <w14:textFill>
                  <w14:solidFill>
                    <w14:schemeClr w14:val="tx1"/>
                  </w14:solidFill>
                </w14:textFill>
              </w:rPr>
              <w:t>dB（A）。其主要噪声源强及防治措施见下表。</w:t>
            </w:r>
          </w:p>
          <w:p>
            <w:pPr>
              <w:pStyle w:val="6"/>
              <w:numPr>
                <w:ilvl w:val="0"/>
                <w:numId w:val="0"/>
              </w:numPr>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24</w:t>
            </w:r>
            <w:r>
              <w:rPr>
                <w:color w:val="000000" w:themeColor="text1"/>
                <w14:textFill>
                  <w14:solidFill>
                    <w14:schemeClr w14:val="tx1"/>
                  </w14:solidFill>
                </w14:textFill>
              </w:rPr>
              <w:t xml:space="preserve">         项目主要噪声源及治理措施一览表       单位：dB(A)</w:t>
            </w:r>
          </w:p>
          <w:tbl>
            <w:tblPr>
              <w:tblStyle w:val="19"/>
              <w:tblW w:w="498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66"/>
              <w:gridCol w:w="846"/>
              <w:gridCol w:w="913"/>
              <w:gridCol w:w="1204"/>
              <w:gridCol w:w="2045"/>
              <w:gridCol w:w="12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2" w:type="pct"/>
                  <w:vAlign w:val="center"/>
                </w:tcPr>
                <w:p>
                  <w:pPr>
                    <w:pStyle w:val="34"/>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高噪声设备名称</w:t>
                  </w:r>
                </w:p>
              </w:tc>
              <w:tc>
                <w:tcPr>
                  <w:tcW w:w="505" w:type="pct"/>
                  <w:vAlign w:val="center"/>
                </w:tcPr>
                <w:p>
                  <w:pPr>
                    <w:pStyle w:val="34"/>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数量</w:t>
                  </w:r>
                  <w:r>
                    <w:rPr>
                      <w:rFonts w:hint="eastAsia"/>
                      <w:color w:val="000000" w:themeColor="text1"/>
                      <w14:textFill>
                        <w14:solidFill>
                          <w14:schemeClr w14:val="tx1"/>
                        </w14:solidFill>
                      </w14:textFill>
                    </w:rPr>
                    <w:t>（台）</w:t>
                  </w:r>
                </w:p>
              </w:tc>
              <w:tc>
                <w:tcPr>
                  <w:tcW w:w="545" w:type="pct"/>
                  <w:vAlign w:val="center"/>
                </w:tcPr>
                <w:p>
                  <w:pPr>
                    <w:pStyle w:val="34"/>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噪声</w:t>
                  </w:r>
                </w:p>
                <w:p>
                  <w:pPr>
                    <w:pStyle w:val="34"/>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源强</w:t>
                  </w:r>
                </w:p>
              </w:tc>
              <w:tc>
                <w:tcPr>
                  <w:tcW w:w="719" w:type="pct"/>
                  <w:vAlign w:val="center"/>
                </w:tcPr>
                <w:p>
                  <w:pPr>
                    <w:pStyle w:val="34"/>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运行情况</w:t>
                  </w:r>
                </w:p>
              </w:tc>
              <w:tc>
                <w:tcPr>
                  <w:tcW w:w="1220" w:type="pct"/>
                  <w:vAlign w:val="center"/>
                </w:tcPr>
                <w:p>
                  <w:pPr>
                    <w:pStyle w:val="34"/>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防治措施</w:t>
                  </w:r>
                </w:p>
              </w:tc>
              <w:tc>
                <w:tcPr>
                  <w:tcW w:w="776" w:type="pct"/>
                  <w:vAlign w:val="center"/>
                </w:tcPr>
                <w:p>
                  <w:pPr>
                    <w:pStyle w:val="34"/>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采取措施后车间外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2"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点焊机</w:t>
                  </w:r>
                </w:p>
              </w:tc>
              <w:tc>
                <w:tcPr>
                  <w:tcW w:w="50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54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719" w:type="pct"/>
                  <w:vMerge w:val="restart"/>
                  <w:vAlign w:val="center"/>
                </w:tcPr>
                <w:p>
                  <w:pPr>
                    <w:pStyle w:val="34"/>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间断</w:t>
                  </w:r>
                </w:p>
              </w:tc>
              <w:tc>
                <w:tcPr>
                  <w:tcW w:w="1220" w:type="pct"/>
                  <w:vMerge w:val="restar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距离衰减</w:t>
                  </w:r>
                  <w:r>
                    <w:rPr>
                      <w:color w:val="000000" w:themeColor="text1"/>
                      <w14:textFill>
                        <w14:solidFill>
                          <w14:schemeClr w14:val="tx1"/>
                        </w14:solidFill>
                      </w14:textFill>
                    </w:rPr>
                    <w:t>、车间隔声</w:t>
                  </w:r>
                </w:p>
              </w:tc>
              <w:tc>
                <w:tcPr>
                  <w:tcW w:w="776"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2"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折弯机</w:t>
                  </w:r>
                </w:p>
              </w:tc>
              <w:tc>
                <w:tcPr>
                  <w:tcW w:w="50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54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70</w:t>
                  </w:r>
                </w:p>
              </w:tc>
              <w:tc>
                <w:tcPr>
                  <w:tcW w:w="719" w:type="pct"/>
                  <w:vMerge w:val="continue"/>
                  <w:vAlign w:val="center"/>
                </w:tcPr>
                <w:p>
                  <w:pPr>
                    <w:pStyle w:val="34"/>
                    <w:spacing w:line="320" w:lineRule="exact"/>
                    <w:jc w:val="center"/>
                    <w:rPr>
                      <w:color w:val="000000" w:themeColor="text1"/>
                      <w14:textFill>
                        <w14:solidFill>
                          <w14:schemeClr w14:val="tx1"/>
                        </w14:solidFill>
                      </w14:textFill>
                    </w:rPr>
                  </w:pPr>
                </w:p>
              </w:tc>
              <w:tc>
                <w:tcPr>
                  <w:tcW w:w="1220" w:type="pct"/>
                  <w:vMerge w:val="continue"/>
                  <w:vAlign w:val="center"/>
                </w:tcPr>
                <w:p>
                  <w:pPr>
                    <w:pStyle w:val="34"/>
                    <w:spacing w:line="320" w:lineRule="exact"/>
                    <w:jc w:val="center"/>
                    <w:rPr>
                      <w:color w:val="000000" w:themeColor="text1"/>
                      <w14:textFill>
                        <w14:solidFill>
                          <w14:schemeClr w14:val="tx1"/>
                        </w14:solidFill>
                      </w14:textFill>
                    </w:rPr>
                  </w:pPr>
                </w:p>
              </w:tc>
              <w:tc>
                <w:tcPr>
                  <w:tcW w:w="776"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2"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冲床</w:t>
                  </w:r>
                </w:p>
              </w:tc>
              <w:tc>
                <w:tcPr>
                  <w:tcW w:w="50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4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719" w:type="pct"/>
                  <w:vMerge w:val="continue"/>
                  <w:vAlign w:val="center"/>
                </w:tcPr>
                <w:p>
                  <w:pPr>
                    <w:pStyle w:val="34"/>
                    <w:spacing w:line="320" w:lineRule="exact"/>
                    <w:jc w:val="center"/>
                    <w:rPr>
                      <w:color w:val="000000" w:themeColor="text1"/>
                      <w14:textFill>
                        <w14:solidFill>
                          <w14:schemeClr w14:val="tx1"/>
                        </w14:solidFill>
                      </w14:textFill>
                    </w:rPr>
                  </w:pPr>
                </w:p>
              </w:tc>
              <w:tc>
                <w:tcPr>
                  <w:tcW w:w="1220" w:type="pct"/>
                  <w:vMerge w:val="continue"/>
                  <w:vAlign w:val="center"/>
                </w:tcPr>
                <w:p>
                  <w:pPr>
                    <w:pStyle w:val="34"/>
                    <w:spacing w:line="320" w:lineRule="exact"/>
                    <w:jc w:val="center"/>
                    <w:rPr>
                      <w:color w:val="000000" w:themeColor="text1"/>
                      <w14:textFill>
                        <w14:solidFill>
                          <w14:schemeClr w14:val="tx1"/>
                        </w14:solidFill>
                      </w14:textFill>
                    </w:rPr>
                  </w:pPr>
                </w:p>
              </w:tc>
              <w:tc>
                <w:tcPr>
                  <w:tcW w:w="776"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2"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二保焊机</w:t>
                  </w:r>
                </w:p>
              </w:tc>
              <w:tc>
                <w:tcPr>
                  <w:tcW w:w="50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54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75</w:t>
                  </w:r>
                </w:p>
              </w:tc>
              <w:tc>
                <w:tcPr>
                  <w:tcW w:w="719" w:type="pct"/>
                  <w:vMerge w:val="continue"/>
                  <w:vAlign w:val="center"/>
                </w:tcPr>
                <w:p>
                  <w:pPr>
                    <w:pStyle w:val="34"/>
                    <w:spacing w:line="320" w:lineRule="exact"/>
                    <w:jc w:val="center"/>
                    <w:rPr>
                      <w:color w:val="000000" w:themeColor="text1"/>
                      <w14:textFill>
                        <w14:solidFill>
                          <w14:schemeClr w14:val="tx1"/>
                        </w14:solidFill>
                      </w14:textFill>
                    </w:rPr>
                  </w:pPr>
                </w:p>
              </w:tc>
              <w:tc>
                <w:tcPr>
                  <w:tcW w:w="1220" w:type="pct"/>
                  <w:vMerge w:val="continue"/>
                  <w:vAlign w:val="center"/>
                </w:tcPr>
                <w:p>
                  <w:pPr>
                    <w:pStyle w:val="34"/>
                    <w:spacing w:line="320" w:lineRule="exact"/>
                    <w:jc w:val="center"/>
                    <w:rPr>
                      <w:color w:val="000000" w:themeColor="text1"/>
                      <w14:textFill>
                        <w14:solidFill>
                          <w14:schemeClr w14:val="tx1"/>
                        </w14:solidFill>
                      </w14:textFill>
                    </w:rPr>
                  </w:pPr>
                </w:p>
              </w:tc>
              <w:tc>
                <w:tcPr>
                  <w:tcW w:w="776"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2"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激光切割机</w:t>
                  </w:r>
                </w:p>
              </w:tc>
              <w:tc>
                <w:tcPr>
                  <w:tcW w:w="50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4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719" w:type="pct"/>
                  <w:vMerge w:val="continue"/>
                  <w:vAlign w:val="center"/>
                </w:tcPr>
                <w:p>
                  <w:pPr>
                    <w:pStyle w:val="34"/>
                    <w:spacing w:line="320" w:lineRule="exact"/>
                    <w:jc w:val="center"/>
                    <w:rPr>
                      <w:color w:val="000000" w:themeColor="text1"/>
                      <w14:textFill>
                        <w14:solidFill>
                          <w14:schemeClr w14:val="tx1"/>
                        </w14:solidFill>
                      </w14:textFill>
                    </w:rPr>
                  </w:pPr>
                </w:p>
              </w:tc>
              <w:tc>
                <w:tcPr>
                  <w:tcW w:w="1220" w:type="pct"/>
                  <w:vMerge w:val="continue"/>
                  <w:vAlign w:val="center"/>
                </w:tcPr>
                <w:p>
                  <w:pPr>
                    <w:pStyle w:val="34"/>
                    <w:spacing w:line="320" w:lineRule="exact"/>
                    <w:jc w:val="center"/>
                    <w:rPr>
                      <w:color w:val="000000" w:themeColor="text1"/>
                      <w14:textFill>
                        <w14:solidFill>
                          <w14:schemeClr w14:val="tx1"/>
                        </w14:solidFill>
                      </w14:textFill>
                    </w:rPr>
                  </w:pPr>
                </w:p>
              </w:tc>
              <w:tc>
                <w:tcPr>
                  <w:tcW w:w="776"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3" w:hRule="atLeast"/>
                <w:tblHeader/>
                <w:jc w:val="center"/>
              </w:trPr>
              <w:tc>
                <w:tcPr>
                  <w:tcW w:w="1232"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风机</w:t>
                  </w:r>
                </w:p>
              </w:tc>
              <w:tc>
                <w:tcPr>
                  <w:tcW w:w="50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545"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80</w:t>
                  </w:r>
                </w:p>
              </w:tc>
              <w:tc>
                <w:tcPr>
                  <w:tcW w:w="719" w:type="pct"/>
                  <w:vMerge w:val="continue"/>
                  <w:vAlign w:val="center"/>
                </w:tcPr>
                <w:p>
                  <w:pPr>
                    <w:pStyle w:val="34"/>
                    <w:spacing w:line="320" w:lineRule="exact"/>
                    <w:jc w:val="center"/>
                    <w:rPr>
                      <w:color w:val="000000" w:themeColor="text1"/>
                      <w14:textFill>
                        <w14:solidFill>
                          <w14:schemeClr w14:val="tx1"/>
                        </w14:solidFill>
                      </w14:textFill>
                    </w:rPr>
                  </w:pPr>
                </w:p>
              </w:tc>
              <w:tc>
                <w:tcPr>
                  <w:tcW w:w="1220" w:type="pct"/>
                  <w:vMerge w:val="continue"/>
                  <w:vAlign w:val="center"/>
                </w:tcPr>
                <w:p>
                  <w:pPr>
                    <w:pStyle w:val="34"/>
                    <w:spacing w:line="320" w:lineRule="exact"/>
                    <w:jc w:val="center"/>
                    <w:rPr>
                      <w:color w:val="000000" w:themeColor="text1"/>
                      <w14:textFill>
                        <w14:solidFill>
                          <w14:schemeClr w14:val="tx1"/>
                        </w14:solidFill>
                      </w14:textFill>
                    </w:rPr>
                  </w:pPr>
                </w:p>
              </w:tc>
              <w:tc>
                <w:tcPr>
                  <w:tcW w:w="776" w:type="pct"/>
                  <w:vAlign w:val="center"/>
                </w:tcPr>
                <w:p>
                  <w:pPr>
                    <w:pStyle w:val="34"/>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r>
          </w:tbl>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3.2预测模式</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本次声环境影响评价选用如下预测模式：</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当预测点受多声源叠加影响时，噪声源叠加公式：</w:t>
            </w:r>
          </w:p>
          <w:p>
            <w:pPr>
              <w:spacing w:line="460" w:lineRule="exact"/>
              <w:ind w:firstLine="420" w:firstLineChars="200"/>
              <w:rPr>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color w:val="000000" w:themeColor="text1"/>
                <w:position w:val="-28"/>
                <w14:textFill>
                  <w14:solidFill>
                    <w14:schemeClr w14:val="tx1"/>
                  </w14:solidFill>
                </w14:textFill>
              </w:rPr>
              <w:object>
                <v:shape id="_x0000_i1025" o:spt="75" type="#_x0000_t75" style="height:37.8pt;width:112.2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式中：L—总声压级，dB(A)；</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Li—第i个声源的声压级，dB(A)；</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n—声源数量。</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根据《环境影响评价技术导则 声环境》(HJ 2.4-2009)，本项目车间可视为面源。设距离为r，厂房高度为a，宽度为b，面声源影响预测模式如下：</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L(r)=L（r0）—Adiv</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当r&lt;a/π时，几乎不衰减（Adiv≈0）；</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当a/π&lt;r&lt;b/π时，距离加倍衰减3dB左右，类似线声源衰减特性（Adiv≈10lg（r/r0））；</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当r&gt;b/π时，距离加倍衰减趋近于6dB，类似为点声源衰减特性Adiv≈20lg（r/r0））；</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上述式中：L(r0)—参考位置r0处的A声级，dB(A)；</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r—预测点距离声源的距离，m；</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r0—参考位置距离声源的距离，m；</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Adiv—声波几何发散引起的倍频带衰减，dB。</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3.3预测结果</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经调查，</w:t>
            </w:r>
            <w:r>
              <w:rPr>
                <w:rFonts w:hint="eastAsia"/>
                <w:color w:val="000000" w:themeColor="text1"/>
                <w:sz w:val="24"/>
                <w14:textFill>
                  <w14:solidFill>
                    <w14:schemeClr w14:val="tx1"/>
                  </w14:solidFill>
                </w14:textFill>
              </w:rPr>
              <w:t>本项目夜间不生产</w:t>
            </w:r>
            <w:r>
              <w:rPr>
                <w:color w:val="000000" w:themeColor="text1"/>
                <w:sz w:val="24"/>
                <w14:textFill>
                  <w14:solidFill>
                    <w14:schemeClr w14:val="tx1"/>
                  </w14:solidFill>
                </w14:textFill>
              </w:rPr>
              <w:t>，因此本评价预测昼间项目噪声源对厂址厂界的噪声贡献情况。噪声预测结果见</w:t>
            </w:r>
            <w:r>
              <w:rPr>
                <w:rFonts w:hint="eastAsia"/>
                <w:color w:val="000000" w:themeColor="text1"/>
                <w:sz w:val="24"/>
                <w14:textFill>
                  <w14:solidFill>
                    <w14:schemeClr w14:val="tx1"/>
                  </w14:solidFill>
                </w14:textFill>
              </w:rPr>
              <w:t>下表。</w:t>
            </w:r>
          </w:p>
          <w:p>
            <w:pPr>
              <w:pStyle w:val="6"/>
              <w:numPr>
                <w:ilvl w:val="0"/>
                <w:numId w:val="0"/>
              </w:numPr>
              <w:ind w:firstLine="482" w:firstLineChars="200"/>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25</w:t>
            </w:r>
            <w:r>
              <w:rPr>
                <w:color w:val="000000" w:themeColor="text1"/>
                <w14:textFill>
                  <w14:solidFill>
                    <w14:schemeClr w14:val="tx1"/>
                  </w14:solidFill>
                </w14:textFill>
              </w:rPr>
              <w:t xml:space="preserve">             各厂界</w:t>
            </w:r>
            <w:r>
              <w:rPr>
                <w:rFonts w:hint="eastAsia"/>
                <w:color w:val="000000" w:themeColor="text1"/>
                <w14:textFill>
                  <w14:solidFill>
                    <w14:schemeClr w14:val="tx1"/>
                  </w14:solidFill>
                </w14:textFill>
              </w:rPr>
              <w:t>及敏感点</w:t>
            </w:r>
            <w:r>
              <w:rPr>
                <w:color w:val="000000" w:themeColor="text1"/>
                <w14:textFill>
                  <w14:solidFill>
                    <w14:schemeClr w14:val="tx1"/>
                  </w14:solidFill>
                </w14:textFill>
              </w:rPr>
              <w:t>噪声预测结果          单位：dB(A)</w:t>
            </w:r>
          </w:p>
          <w:tbl>
            <w:tblPr>
              <w:tblStyle w:val="19"/>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72"/>
              <w:gridCol w:w="1024"/>
              <w:gridCol w:w="1052"/>
              <w:gridCol w:w="1023"/>
              <w:gridCol w:w="1021"/>
              <w:gridCol w:w="108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Merge w:val="restar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影响对象</w:t>
                  </w:r>
                </w:p>
              </w:tc>
              <w:tc>
                <w:tcPr>
                  <w:tcW w:w="2848" w:type="dxa"/>
                  <w:gridSpan w:val="3"/>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厂房</w:t>
                  </w:r>
                </w:p>
              </w:tc>
              <w:tc>
                <w:tcPr>
                  <w:tcW w:w="1023" w:type="dxa"/>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现状值</w:t>
                  </w:r>
                </w:p>
              </w:tc>
              <w:tc>
                <w:tcPr>
                  <w:tcW w:w="1021" w:type="dxa"/>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预测值</w:t>
                  </w:r>
                </w:p>
              </w:tc>
              <w:tc>
                <w:tcPr>
                  <w:tcW w:w="1086" w:type="dxa"/>
                  <w:vMerge w:val="restar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标准值</w:t>
                  </w:r>
                </w:p>
              </w:tc>
              <w:tc>
                <w:tcPr>
                  <w:tcW w:w="1129" w:type="dxa"/>
                  <w:vMerge w:val="restar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51" w:type="dxa"/>
                  <w:vMerge w:val="continue"/>
                  <w:vAlign w:val="center"/>
                </w:tcPr>
                <w:p>
                  <w:pPr>
                    <w:spacing w:line="320" w:lineRule="exact"/>
                    <w:jc w:val="center"/>
                    <w:rPr>
                      <w:color w:val="000000" w:themeColor="text1"/>
                      <w14:textFill>
                        <w14:solidFill>
                          <w14:schemeClr w14:val="tx1"/>
                        </w14:solidFill>
                      </w14:textFill>
                    </w:rPr>
                  </w:pPr>
                </w:p>
              </w:tc>
              <w:tc>
                <w:tcPr>
                  <w:tcW w:w="772"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源强</w:t>
                  </w:r>
                </w:p>
              </w:tc>
              <w:tc>
                <w:tcPr>
                  <w:tcW w:w="1024"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距离（m）</w:t>
                  </w:r>
                </w:p>
              </w:tc>
              <w:tc>
                <w:tcPr>
                  <w:tcW w:w="1052"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贡献值</w:t>
                  </w:r>
                </w:p>
              </w:tc>
              <w:tc>
                <w:tcPr>
                  <w:tcW w:w="1023" w:type="dxa"/>
                  <w:vMerge w:val="continue"/>
                  <w:vAlign w:val="center"/>
                </w:tcPr>
                <w:p>
                  <w:pPr>
                    <w:spacing w:line="320" w:lineRule="exact"/>
                    <w:jc w:val="center"/>
                    <w:rPr>
                      <w:color w:val="000000" w:themeColor="text1"/>
                      <w14:textFill>
                        <w14:solidFill>
                          <w14:schemeClr w14:val="tx1"/>
                        </w14:solidFill>
                      </w14:textFill>
                    </w:rPr>
                  </w:pPr>
                </w:p>
              </w:tc>
              <w:tc>
                <w:tcPr>
                  <w:tcW w:w="1021" w:type="dxa"/>
                  <w:vMerge w:val="continue"/>
                  <w:vAlign w:val="center"/>
                </w:tcPr>
                <w:p>
                  <w:pPr>
                    <w:spacing w:line="320" w:lineRule="exact"/>
                    <w:jc w:val="center"/>
                    <w:rPr>
                      <w:color w:val="000000" w:themeColor="text1"/>
                      <w14:textFill>
                        <w14:solidFill>
                          <w14:schemeClr w14:val="tx1"/>
                        </w14:solidFill>
                      </w14:textFill>
                    </w:rPr>
                  </w:pPr>
                </w:p>
              </w:tc>
              <w:tc>
                <w:tcPr>
                  <w:tcW w:w="1086" w:type="dxa"/>
                  <w:vMerge w:val="continue"/>
                  <w:vAlign w:val="center"/>
                </w:tcPr>
                <w:p>
                  <w:pPr>
                    <w:spacing w:line="320" w:lineRule="exact"/>
                    <w:jc w:val="center"/>
                    <w:rPr>
                      <w:color w:val="000000" w:themeColor="text1"/>
                      <w14:textFill>
                        <w14:solidFill>
                          <w14:schemeClr w14:val="tx1"/>
                        </w14:solidFill>
                      </w14:textFill>
                    </w:rPr>
                  </w:pPr>
                </w:p>
              </w:tc>
              <w:tc>
                <w:tcPr>
                  <w:tcW w:w="1129" w:type="dxa"/>
                  <w:vMerge w:val="continue"/>
                  <w:vAlign w:val="center"/>
                </w:tcPr>
                <w:p>
                  <w:pPr>
                    <w:spacing w:line="32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东厂界</w:t>
                  </w:r>
                </w:p>
              </w:tc>
              <w:tc>
                <w:tcPr>
                  <w:tcW w:w="772" w:type="dxa"/>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65.11</w:t>
                  </w:r>
                </w:p>
              </w:tc>
              <w:tc>
                <w:tcPr>
                  <w:tcW w:w="1024"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052"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55.36</w:t>
                  </w:r>
                </w:p>
              </w:tc>
              <w:tc>
                <w:tcPr>
                  <w:tcW w:w="1023"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1"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55.56</w:t>
                  </w:r>
                </w:p>
              </w:tc>
              <w:tc>
                <w:tcPr>
                  <w:tcW w:w="1086" w:type="dxa"/>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1129"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南厂界</w:t>
                  </w:r>
                </w:p>
              </w:tc>
              <w:tc>
                <w:tcPr>
                  <w:tcW w:w="772" w:type="dxa"/>
                  <w:vMerge w:val="continue"/>
                  <w:vAlign w:val="center"/>
                </w:tcPr>
                <w:p>
                  <w:pPr>
                    <w:spacing w:line="320" w:lineRule="exact"/>
                    <w:jc w:val="center"/>
                    <w:rPr>
                      <w:color w:val="000000" w:themeColor="text1"/>
                      <w14:textFill>
                        <w14:solidFill>
                          <w14:schemeClr w14:val="tx1"/>
                        </w14:solidFill>
                      </w14:textFill>
                    </w:rPr>
                  </w:pPr>
                </w:p>
              </w:tc>
              <w:tc>
                <w:tcPr>
                  <w:tcW w:w="1024"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103</w:t>
                  </w:r>
                </w:p>
              </w:tc>
              <w:tc>
                <w:tcPr>
                  <w:tcW w:w="1052"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24.65</w:t>
                  </w:r>
                </w:p>
              </w:tc>
              <w:tc>
                <w:tcPr>
                  <w:tcW w:w="1023"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1"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24.85</w:t>
                  </w:r>
                </w:p>
              </w:tc>
              <w:tc>
                <w:tcPr>
                  <w:tcW w:w="1086" w:type="dxa"/>
                  <w:vMerge w:val="continue"/>
                  <w:vAlign w:val="center"/>
                </w:tcPr>
                <w:p>
                  <w:pPr>
                    <w:spacing w:line="320" w:lineRule="exact"/>
                    <w:jc w:val="center"/>
                    <w:rPr>
                      <w:color w:val="000000" w:themeColor="text1"/>
                      <w14:textFill>
                        <w14:solidFill>
                          <w14:schemeClr w14:val="tx1"/>
                        </w14:solidFill>
                      </w14:textFill>
                    </w:rPr>
                  </w:pPr>
                </w:p>
              </w:tc>
              <w:tc>
                <w:tcPr>
                  <w:tcW w:w="1129"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西厂界</w:t>
                  </w:r>
                </w:p>
              </w:tc>
              <w:tc>
                <w:tcPr>
                  <w:tcW w:w="772" w:type="dxa"/>
                  <w:vMerge w:val="continue"/>
                  <w:vAlign w:val="center"/>
                </w:tcPr>
                <w:p>
                  <w:pPr>
                    <w:spacing w:line="320" w:lineRule="exact"/>
                    <w:jc w:val="center"/>
                    <w:rPr>
                      <w:color w:val="000000" w:themeColor="text1"/>
                      <w14:textFill>
                        <w14:solidFill>
                          <w14:schemeClr w14:val="tx1"/>
                        </w14:solidFill>
                      </w14:textFill>
                    </w:rPr>
                  </w:pPr>
                </w:p>
              </w:tc>
              <w:tc>
                <w:tcPr>
                  <w:tcW w:w="1024"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136</w:t>
                  </w:r>
                </w:p>
              </w:tc>
              <w:tc>
                <w:tcPr>
                  <w:tcW w:w="1052"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22.23</w:t>
                  </w:r>
                </w:p>
              </w:tc>
              <w:tc>
                <w:tcPr>
                  <w:tcW w:w="1023"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1"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22.43</w:t>
                  </w:r>
                </w:p>
              </w:tc>
              <w:tc>
                <w:tcPr>
                  <w:tcW w:w="1086" w:type="dxa"/>
                  <w:vMerge w:val="continue"/>
                  <w:vAlign w:val="center"/>
                </w:tcPr>
                <w:p>
                  <w:pPr>
                    <w:spacing w:line="320" w:lineRule="exact"/>
                    <w:jc w:val="center"/>
                    <w:rPr>
                      <w:color w:val="000000" w:themeColor="text1"/>
                      <w14:textFill>
                        <w14:solidFill>
                          <w14:schemeClr w14:val="tx1"/>
                        </w14:solidFill>
                      </w14:textFill>
                    </w:rPr>
                  </w:pPr>
                </w:p>
              </w:tc>
              <w:tc>
                <w:tcPr>
                  <w:tcW w:w="1129"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51"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北厂界</w:t>
                  </w:r>
                </w:p>
              </w:tc>
              <w:tc>
                <w:tcPr>
                  <w:tcW w:w="772" w:type="dxa"/>
                  <w:vMerge w:val="continue"/>
                  <w:vAlign w:val="center"/>
                </w:tcPr>
                <w:p>
                  <w:pPr>
                    <w:spacing w:line="320" w:lineRule="exact"/>
                    <w:jc w:val="center"/>
                    <w:rPr>
                      <w:color w:val="000000" w:themeColor="text1"/>
                      <w14:textFill>
                        <w14:solidFill>
                          <w14:schemeClr w14:val="tx1"/>
                        </w14:solidFill>
                      </w14:textFill>
                    </w:rPr>
                  </w:pPr>
                </w:p>
              </w:tc>
              <w:tc>
                <w:tcPr>
                  <w:tcW w:w="1024"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73</w:t>
                  </w:r>
                </w:p>
              </w:tc>
              <w:tc>
                <w:tcPr>
                  <w:tcW w:w="1052"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27.64</w:t>
                  </w:r>
                </w:p>
              </w:tc>
              <w:tc>
                <w:tcPr>
                  <w:tcW w:w="1023"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021" w:type="dxa"/>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27.84</w:t>
                  </w:r>
                </w:p>
              </w:tc>
              <w:tc>
                <w:tcPr>
                  <w:tcW w:w="1086" w:type="dxa"/>
                  <w:vMerge w:val="continue"/>
                  <w:vAlign w:val="center"/>
                </w:tcPr>
                <w:p>
                  <w:pPr>
                    <w:spacing w:line="320" w:lineRule="exact"/>
                    <w:jc w:val="center"/>
                    <w:rPr>
                      <w:color w:val="000000" w:themeColor="text1"/>
                      <w14:textFill>
                        <w14:solidFill>
                          <w14:schemeClr w14:val="tx1"/>
                        </w14:solidFill>
                      </w14:textFill>
                    </w:rPr>
                  </w:pPr>
                </w:p>
              </w:tc>
              <w:tc>
                <w:tcPr>
                  <w:tcW w:w="1129" w:type="dxa"/>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达标</w:t>
                  </w:r>
                </w:p>
              </w:tc>
            </w:tr>
          </w:tbl>
          <w:p>
            <w:pPr>
              <w:spacing w:line="360" w:lineRule="auto"/>
              <w:ind w:firstLine="486"/>
              <w:rPr>
                <w:color w:val="000000" w:themeColor="text1"/>
                <w:sz w:val="24"/>
                <w14:textFill>
                  <w14:solidFill>
                    <w14:schemeClr w14:val="tx1"/>
                  </w14:solidFill>
                </w14:textFill>
              </w:rPr>
            </w:pPr>
            <w:r>
              <w:rPr>
                <w:color w:val="000000" w:themeColor="text1"/>
                <w:sz w:val="24"/>
                <w14:textFill>
                  <w14:solidFill>
                    <w14:schemeClr w14:val="tx1"/>
                  </w14:solidFill>
                </w14:textFill>
              </w:rPr>
              <w:t>由上表可知，本项目运营期间生产设备产生的噪声经过</w:t>
            </w:r>
            <w:r>
              <w:rPr>
                <w:rFonts w:hint="eastAsia"/>
                <w:color w:val="000000" w:themeColor="text1"/>
                <w:sz w:val="24"/>
                <w14:textFill>
                  <w14:solidFill>
                    <w14:schemeClr w14:val="tx1"/>
                  </w14:solidFill>
                </w14:textFill>
              </w:rPr>
              <w:t>距离衰减、厂房隔声后</w:t>
            </w:r>
            <w:r>
              <w:rPr>
                <w:color w:val="000000" w:themeColor="text1"/>
                <w:sz w:val="24"/>
                <w14:textFill>
                  <w14:solidFill>
                    <w14:schemeClr w14:val="tx1"/>
                  </w14:solidFill>
                </w14:textFill>
              </w:rPr>
              <w:t>，项目厂界四周噪声贡献值均满足《工业企业厂界环境噪声排放标准》（GB12348-2008）</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类</w:t>
            </w:r>
            <w:r>
              <w:rPr>
                <w:rFonts w:hint="eastAsia"/>
                <w:color w:val="000000" w:themeColor="text1"/>
                <w:sz w:val="24"/>
                <w14:textFill>
                  <w14:solidFill>
                    <w14:schemeClr w14:val="tx1"/>
                  </w14:solidFill>
                </w14:textFill>
              </w:rPr>
              <w:t>要求，</w:t>
            </w:r>
            <w:r>
              <w:rPr>
                <w:rFonts w:hint="eastAsia"/>
                <w:color w:val="000000" w:themeColor="text1"/>
                <w:kern w:val="0"/>
                <w:sz w:val="24"/>
                <w14:textFill>
                  <w14:solidFill>
                    <w14:schemeClr w14:val="tx1"/>
                  </w14:solidFill>
                </w14:textFill>
              </w:rPr>
              <w:t>因此，</w:t>
            </w:r>
            <w:r>
              <w:rPr>
                <w:color w:val="000000" w:themeColor="text1"/>
                <w:sz w:val="24"/>
                <w14:textFill>
                  <w14:solidFill>
                    <w14:schemeClr w14:val="tx1"/>
                  </w14:solidFill>
                </w14:textFill>
              </w:rPr>
              <w:t>本项目营运期间生产噪声对周边声环境影响</w:t>
            </w:r>
            <w:r>
              <w:rPr>
                <w:rFonts w:hint="eastAsia"/>
                <w:color w:val="000000" w:themeColor="text1"/>
                <w:sz w:val="24"/>
                <w14:textFill>
                  <w14:solidFill>
                    <w14:schemeClr w14:val="tx1"/>
                  </w14:solidFill>
                </w14:textFill>
              </w:rPr>
              <w:t>较小。</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3.4噪声监测计划</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根据《排污单位自行监测技术指南 总则》（HJ819-2017）、《排污许可申请与核发技术规范 </w:t>
            </w:r>
            <w:r>
              <w:rPr>
                <w:rFonts w:hint="eastAsia"/>
                <w:color w:val="000000" w:themeColor="text1"/>
                <w:sz w:val="24"/>
                <w14:textFill>
                  <w14:solidFill>
                    <w14:schemeClr w14:val="tx1"/>
                  </w14:solidFill>
                </w14:textFill>
              </w:rPr>
              <w:t>家具制造工业》（HJ1027-2019）</w:t>
            </w:r>
            <w:r>
              <w:rPr>
                <w:color w:val="000000" w:themeColor="text1"/>
                <w:sz w:val="24"/>
                <w14:textFill>
                  <w14:solidFill>
                    <w14:schemeClr w14:val="tx1"/>
                  </w14:solidFill>
                </w14:textFill>
              </w:rPr>
              <w:t>中关于污染源监测的要求制定以下监测方案</w:t>
            </w:r>
            <w:r>
              <w:rPr>
                <w:rFonts w:hint="eastAsia"/>
                <w:color w:val="000000" w:themeColor="text1"/>
                <w:sz w:val="24"/>
                <w14:textFill>
                  <w14:solidFill>
                    <w14:schemeClr w14:val="tx1"/>
                  </w14:solidFill>
                </w14:textFill>
              </w:rPr>
              <w:t>。</w:t>
            </w:r>
          </w:p>
          <w:p>
            <w:pPr>
              <w:pStyle w:val="6"/>
              <w:numPr>
                <w:ilvl w:val="0"/>
                <w:numId w:val="0"/>
              </w:numPr>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26</w:t>
            </w:r>
            <w:r>
              <w:rPr>
                <w:rFonts w:hint="eastAsia"/>
                <w:color w:val="000000" w:themeColor="text1"/>
                <w14:textFill>
                  <w14:solidFill>
                    <w14:schemeClr w14:val="tx1"/>
                  </w14:solidFill>
                </w14:textFill>
              </w:rPr>
              <w:t xml:space="preserve">             噪声自行监测及记录信息</w:t>
            </w:r>
          </w:p>
          <w:tbl>
            <w:tblPr>
              <w:tblStyle w:val="20"/>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16"/>
              <w:gridCol w:w="1009"/>
              <w:gridCol w:w="1050"/>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pPr>
                    <w:spacing w:line="320" w:lineRule="exact"/>
                    <w:jc w:val="center"/>
                    <w:rPr>
                      <w:color w:val="000000" w:themeColor="text1"/>
                      <w:sz w:val="24"/>
                      <w14:textFill>
                        <w14:solidFill>
                          <w14:schemeClr w14:val="tx1"/>
                        </w14:solidFill>
                      </w14:textFill>
                    </w:rPr>
                  </w:pPr>
                  <w:r>
                    <w:rPr>
                      <w:color w:val="000000" w:themeColor="text1"/>
                      <w:szCs w:val="21"/>
                      <w14:textFill>
                        <w14:solidFill>
                          <w14:schemeClr w14:val="tx1"/>
                        </w14:solidFill>
                      </w14:textFill>
                    </w:rPr>
                    <w:t>污染源类别/监测类别</w:t>
                  </w:r>
                </w:p>
              </w:tc>
              <w:tc>
                <w:tcPr>
                  <w:tcW w:w="1916" w:type="dxa"/>
                  <w:vAlign w:val="center"/>
                </w:tcPr>
                <w:p>
                  <w:pPr>
                    <w:spacing w:line="320" w:lineRule="exact"/>
                    <w:jc w:val="center"/>
                    <w:rPr>
                      <w:color w:val="000000" w:themeColor="text1"/>
                      <w:sz w:val="24"/>
                      <w14:textFill>
                        <w14:solidFill>
                          <w14:schemeClr w14:val="tx1"/>
                        </w14:solidFill>
                      </w14:textFill>
                    </w:rPr>
                  </w:pPr>
                  <w:r>
                    <w:rPr>
                      <w:color w:val="000000" w:themeColor="text1"/>
                      <w:szCs w:val="21"/>
                      <w14:textFill>
                        <w14:solidFill>
                          <w14:schemeClr w14:val="tx1"/>
                        </w14:solidFill>
                      </w14:textFill>
                    </w:rPr>
                    <w:t>排放口编号/监测点位</w:t>
                  </w:r>
                </w:p>
              </w:tc>
              <w:tc>
                <w:tcPr>
                  <w:tcW w:w="1009" w:type="dxa"/>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w:t>
                  </w:r>
                </w:p>
                <w:p>
                  <w:pPr>
                    <w:spacing w:line="320" w:lineRule="exact"/>
                    <w:jc w:val="center"/>
                    <w:rPr>
                      <w:color w:val="000000" w:themeColor="text1"/>
                      <w:sz w:val="24"/>
                      <w14:textFill>
                        <w14:solidFill>
                          <w14:schemeClr w14:val="tx1"/>
                        </w14:solidFill>
                      </w14:textFill>
                    </w:rPr>
                  </w:pPr>
                  <w:r>
                    <w:rPr>
                      <w:color w:val="000000" w:themeColor="text1"/>
                      <w:szCs w:val="21"/>
                      <w14:textFill>
                        <w14:solidFill>
                          <w14:schemeClr w14:val="tx1"/>
                        </w14:solidFill>
                      </w14:textFill>
                    </w:rPr>
                    <w:t>因子</w:t>
                  </w:r>
                </w:p>
              </w:tc>
              <w:tc>
                <w:tcPr>
                  <w:tcW w:w="1050" w:type="dxa"/>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w:t>
                  </w:r>
                </w:p>
                <w:p>
                  <w:pPr>
                    <w:spacing w:line="320" w:lineRule="exact"/>
                    <w:jc w:val="center"/>
                    <w:rPr>
                      <w:color w:val="000000" w:themeColor="text1"/>
                      <w:sz w:val="24"/>
                      <w14:textFill>
                        <w14:solidFill>
                          <w14:schemeClr w14:val="tx1"/>
                        </w14:solidFill>
                      </w14:textFill>
                    </w:rPr>
                  </w:pPr>
                  <w:r>
                    <w:rPr>
                      <w:color w:val="000000" w:themeColor="text1"/>
                      <w:szCs w:val="21"/>
                      <w14:textFill>
                        <w14:solidFill>
                          <w14:schemeClr w14:val="tx1"/>
                        </w14:solidFill>
                      </w14:textFill>
                    </w:rPr>
                    <w:t>频次</w:t>
                  </w:r>
                </w:p>
              </w:tc>
              <w:tc>
                <w:tcPr>
                  <w:tcW w:w="2983" w:type="dxa"/>
                  <w:vAlign w:val="center"/>
                </w:tcPr>
                <w:p>
                  <w:pPr>
                    <w:spacing w:line="320" w:lineRule="exact"/>
                    <w:jc w:val="center"/>
                    <w:rPr>
                      <w:color w:val="000000" w:themeColor="text1"/>
                      <w:sz w:val="24"/>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1916" w:type="dxa"/>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东、南、西、北厂界</w:t>
                  </w:r>
                </w:p>
              </w:tc>
              <w:tc>
                <w:tcPr>
                  <w:tcW w:w="1009" w:type="dxa"/>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Leq（A）</w:t>
                  </w:r>
                </w:p>
              </w:tc>
              <w:tc>
                <w:tcPr>
                  <w:tcW w:w="1050" w:type="dxa"/>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1次/</w:t>
                  </w:r>
                  <w:r>
                    <w:rPr>
                      <w:rFonts w:hint="eastAsia"/>
                      <w:color w:val="000000" w:themeColor="text1"/>
                      <w:szCs w:val="21"/>
                      <w14:textFill>
                        <w14:solidFill>
                          <w14:schemeClr w14:val="tx1"/>
                        </w14:solidFill>
                      </w14:textFill>
                    </w:rPr>
                    <w:t>季度</w:t>
                  </w:r>
                </w:p>
              </w:tc>
              <w:tc>
                <w:tcPr>
                  <w:tcW w:w="2983" w:type="dxa"/>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类</w:t>
                  </w:r>
                </w:p>
              </w:tc>
            </w:tr>
          </w:tbl>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4、固体废物影响分析</w:t>
            </w:r>
          </w:p>
          <w:p>
            <w:pPr>
              <w:spacing w:line="460" w:lineRule="exact"/>
              <w:ind w:firstLine="480" w:firstLineChars="200"/>
              <w:rPr>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本项目</w:t>
            </w:r>
            <w:r>
              <w:rPr>
                <w:rFonts w:hint="eastAsia"/>
                <w:bCs/>
                <w:color w:val="000000" w:themeColor="text1"/>
                <w:sz w:val="24"/>
                <w14:textFill>
                  <w14:solidFill>
                    <w14:schemeClr w14:val="tx1"/>
                  </w14:solidFill>
                </w14:textFill>
              </w:rPr>
              <w:t>营运期产生的固体废物主要为废金属边角料、废包装材料、</w:t>
            </w:r>
            <w:r>
              <w:rPr>
                <w:rFonts w:hint="eastAsia"/>
                <w:color w:val="000000" w:themeColor="text1"/>
                <w:sz w:val="24"/>
                <w:szCs w:val="20"/>
                <w14:textFill>
                  <w14:solidFill>
                    <w14:schemeClr w14:val="tx1"/>
                  </w14:solidFill>
                </w14:textFill>
              </w:rPr>
              <w:t>旋风除尘器回收塑粉、</w:t>
            </w:r>
            <w:r>
              <w:rPr>
                <w:rFonts w:hint="eastAsia"/>
                <w:bCs/>
                <w:color w:val="000000" w:themeColor="text1"/>
                <w:sz w:val="24"/>
                <w14:textFill>
                  <w14:solidFill>
                    <w14:schemeClr w14:val="tx1"/>
                  </w14:solidFill>
                </w14:textFill>
              </w:rPr>
              <w:t>废滤筒、废液压液、废磷化液桶、废磷化抹布及手套、</w:t>
            </w:r>
            <w:r>
              <w:rPr>
                <w:rFonts w:hint="eastAsia"/>
                <w:color w:val="000000" w:themeColor="text1"/>
                <w:sz w:val="24"/>
                <w:szCs w:val="20"/>
                <w14:textFill>
                  <w14:solidFill>
                    <w14:schemeClr w14:val="tx1"/>
                  </w14:solidFill>
                </w14:textFill>
              </w:rPr>
              <w:t>废UV灯管、废活性炭、</w:t>
            </w:r>
            <w:r>
              <w:rPr>
                <w:rFonts w:hint="eastAsia"/>
                <w:bCs/>
                <w:color w:val="000000" w:themeColor="text1"/>
                <w:sz w:val="24"/>
                <w14:textFill>
                  <w14:solidFill>
                    <w14:schemeClr w14:val="tx1"/>
                  </w14:solidFill>
                </w14:textFill>
              </w:rPr>
              <w:t>职工生活垃圾。</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4.1 生活垃圾</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本项目劳动定员15人，年工作时间为300天，生活垃圾产生量按0.5kg/（人/天）计，则生活垃圾产生量为2.25t/a。生活垃圾由厂区集中收集后由当地环卫部门统一清理。</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4.2 一般固废</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（1）废金属边角料</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本项目板材在机加工过程会产生钢板边角料，约5t/a，</w:t>
            </w:r>
            <w:r>
              <w:rPr>
                <w:color w:val="000000" w:themeColor="text1"/>
                <w:sz w:val="24"/>
                <w14:textFill>
                  <w14:solidFill>
                    <w14:schemeClr w14:val="tx1"/>
                  </w14:solidFill>
                </w14:textFill>
              </w:rPr>
              <w:t>集中收集</w:t>
            </w:r>
            <w:r>
              <w:rPr>
                <w:rFonts w:hint="eastAsia"/>
                <w:color w:val="000000" w:themeColor="text1"/>
                <w:sz w:val="24"/>
                <w14:textFill>
                  <w14:solidFill>
                    <w14:schemeClr w14:val="tx1"/>
                  </w14:solidFill>
                </w14:textFill>
              </w:rPr>
              <w:t>于一般固废暂存间定期</w:t>
            </w:r>
            <w:r>
              <w:rPr>
                <w:color w:val="000000" w:themeColor="text1"/>
                <w:sz w:val="24"/>
                <w14:textFill>
                  <w14:solidFill>
                    <w14:schemeClr w14:val="tx1"/>
                  </w14:solidFill>
                </w14:textFill>
              </w:rPr>
              <w:t>外售。</w:t>
            </w:r>
            <w:r>
              <w:rPr>
                <w:rFonts w:hint="eastAsia"/>
                <w:color w:val="000000" w:themeColor="text1"/>
                <w:sz w:val="24"/>
                <w14:textFill>
                  <w14:solidFill>
                    <w14:schemeClr w14:val="tx1"/>
                  </w14:solidFill>
                </w14:textFill>
              </w:rPr>
              <w:t>根据《一般固体废物分类与代码》（GB/T39198-2020），本项目废金属边角料固废代码为213-001-09。</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（2）废纸箱</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塑粉包装废纸箱产生量约为0.</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t/a，集中收集</w:t>
            </w:r>
            <w:r>
              <w:rPr>
                <w:rFonts w:hint="eastAsia"/>
                <w:color w:val="000000" w:themeColor="text1"/>
                <w:sz w:val="24"/>
                <w14:textFill>
                  <w14:solidFill>
                    <w14:schemeClr w14:val="tx1"/>
                  </w14:solidFill>
                </w14:textFill>
              </w:rPr>
              <w:t>于一般固废暂存间定期</w:t>
            </w:r>
            <w:r>
              <w:rPr>
                <w:color w:val="000000" w:themeColor="text1"/>
                <w:sz w:val="24"/>
                <w14:textFill>
                  <w14:solidFill>
                    <w14:schemeClr w14:val="tx1"/>
                  </w14:solidFill>
                </w14:textFill>
              </w:rPr>
              <w:t>外售。</w:t>
            </w:r>
            <w:r>
              <w:rPr>
                <w:rFonts w:hint="eastAsia"/>
                <w:color w:val="000000" w:themeColor="text1"/>
                <w:sz w:val="24"/>
                <w14:textFill>
                  <w14:solidFill>
                    <w14:schemeClr w14:val="tx1"/>
                  </w14:solidFill>
                </w14:textFill>
              </w:rPr>
              <w:t>根据《一般固体废物分类与代码》（GB/T39198-2020），本项目</w:t>
            </w:r>
            <w:r>
              <w:rPr>
                <w:color w:val="000000" w:themeColor="text1"/>
                <w:sz w:val="24"/>
                <w14:textFill>
                  <w14:solidFill>
                    <w14:schemeClr w14:val="tx1"/>
                  </w14:solidFill>
                </w14:textFill>
              </w:rPr>
              <w:t>塑粉包装废纸箱</w:t>
            </w:r>
            <w:r>
              <w:rPr>
                <w:rFonts w:hint="eastAsia"/>
                <w:color w:val="000000" w:themeColor="text1"/>
                <w:sz w:val="24"/>
                <w14:textFill>
                  <w14:solidFill>
                    <w14:schemeClr w14:val="tx1"/>
                  </w14:solidFill>
                </w14:textFill>
              </w:rPr>
              <w:t>代码为213-001-07</w:t>
            </w:r>
            <w:r>
              <w:rPr>
                <w:color w:val="000000" w:themeColor="text1"/>
                <w:sz w:val="24"/>
                <w14:textFill>
                  <w14:solidFill>
                    <w14:schemeClr w14:val="tx1"/>
                  </w14:solidFill>
                </w14:textFill>
              </w:rPr>
              <w:t>。</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（3）旋风除尘器回收塑粉</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本项目旋风</w:t>
            </w:r>
            <w:r>
              <w:rPr>
                <w:bCs/>
                <w:color w:val="000000" w:themeColor="text1"/>
                <w:sz w:val="24"/>
                <w14:textFill>
                  <w14:solidFill>
                    <w14:schemeClr w14:val="tx1"/>
                  </w14:solidFill>
                </w14:textFill>
              </w:rPr>
              <w:t>除尘器收集塑粉量约为</w:t>
            </w:r>
            <w:r>
              <w:rPr>
                <w:rFonts w:hint="eastAsia"/>
                <w:bCs/>
                <w:color w:val="000000" w:themeColor="text1"/>
                <w:sz w:val="24"/>
                <w14:textFill>
                  <w14:solidFill>
                    <w14:schemeClr w14:val="tx1"/>
                  </w14:solidFill>
                </w14:textFill>
              </w:rPr>
              <w:t>8.16</w:t>
            </w:r>
            <w:r>
              <w:rPr>
                <w:bCs/>
                <w:color w:val="000000" w:themeColor="text1"/>
                <w:sz w:val="24"/>
                <w14:textFill>
                  <w14:solidFill>
                    <w14:schemeClr w14:val="tx1"/>
                  </w14:solidFill>
                </w14:textFill>
              </w:rPr>
              <w:t>t/a，集中收集</w:t>
            </w:r>
            <w:r>
              <w:rPr>
                <w:rFonts w:hint="eastAsia"/>
                <w:bCs/>
                <w:color w:val="000000" w:themeColor="text1"/>
                <w:sz w:val="24"/>
                <w14:textFill>
                  <w14:solidFill>
                    <w14:schemeClr w14:val="tx1"/>
                  </w14:solidFill>
                </w14:textFill>
              </w:rPr>
              <w:t>于一般固废暂存间定期</w:t>
            </w:r>
            <w:r>
              <w:rPr>
                <w:bCs/>
                <w:color w:val="000000" w:themeColor="text1"/>
                <w:sz w:val="24"/>
                <w14:textFill>
                  <w14:solidFill>
                    <w14:schemeClr w14:val="tx1"/>
                  </w14:solidFill>
                </w14:textFill>
              </w:rPr>
              <w:t>外售</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根据《一般固体废物分类与代码》（GB/T39198-2020），本项目旋风除尘器回收塑粉代码为213-001-99</w:t>
            </w:r>
            <w:r>
              <w:rPr>
                <w:rFonts w:hint="eastAsia"/>
                <w:bCs/>
                <w:color w:val="000000" w:themeColor="text1"/>
                <w:sz w:val="24"/>
                <w14:textFill>
                  <w14:solidFill>
                    <w14:schemeClr w14:val="tx1"/>
                  </w14:solidFill>
                </w14:textFill>
              </w:rPr>
              <w:t>。</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（4）废滤筒</w:t>
            </w:r>
          </w:p>
          <w:p>
            <w:pPr>
              <w:spacing w:line="460" w:lineRule="exact"/>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本项目</w:t>
            </w:r>
            <w:r>
              <w:rPr>
                <w:color w:val="000000" w:themeColor="text1"/>
                <w:sz w:val="24"/>
                <w14:textFill>
                  <w14:solidFill>
                    <w14:schemeClr w14:val="tx1"/>
                  </w14:solidFill>
                </w14:textFill>
              </w:rPr>
              <w:t>喷粉间除尘</w:t>
            </w:r>
            <w:r>
              <w:rPr>
                <w:rFonts w:hint="eastAsia"/>
                <w:color w:val="000000" w:themeColor="text1"/>
                <w:sz w:val="24"/>
                <w14:textFill>
                  <w14:solidFill>
                    <w14:schemeClr w14:val="tx1"/>
                  </w14:solidFill>
                </w14:textFill>
              </w:rPr>
              <w:t>设施</w:t>
            </w:r>
            <w:r>
              <w:rPr>
                <w:color w:val="000000" w:themeColor="text1"/>
                <w:sz w:val="24"/>
                <w14:textFill>
                  <w14:solidFill>
                    <w14:schemeClr w14:val="tx1"/>
                  </w14:solidFill>
                </w14:textFill>
              </w:rPr>
              <w:t>滤</w:t>
            </w:r>
            <w:r>
              <w:rPr>
                <w:rFonts w:hint="eastAsia"/>
                <w:color w:val="000000" w:themeColor="text1"/>
                <w:sz w:val="24"/>
                <w14:textFill>
                  <w14:solidFill>
                    <w14:schemeClr w14:val="tx1"/>
                  </w14:solidFill>
                </w14:textFill>
              </w:rPr>
              <w:t>筒</w:t>
            </w:r>
            <w:r>
              <w:rPr>
                <w:color w:val="000000" w:themeColor="text1"/>
                <w:sz w:val="24"/>
                <w14:textFill>
                  <w14:solidFill>
                    <w14:schemeClr w14:val="tx1"/>
                  </w14:solidFill>
                </w14:textFill>
              </w:rPr>
              <w:t>在运转过程中会产生损耗，影响收尘效率，</w:t>
            </w:r>
            <w:r>
              <w:rPr>
                <w:rFonts w:hint="eastAsia"/>
                <w:color w:val="000000" w:themeColor="text1"/>
                <w:sz w:val="24"/>
                <w14:textFill>
                  <w14:solidFill>
                    <w14:schemeClr w14:val="tx1"/>
                  </w14:solidFill>
                </w14:textFill>
              </w:rPr>
              <w:t>需</w:t>
            </w:r>
            <w:r>
              <w:rPr>
                <w:color w:val="000000" w:themeColor="text1"/>
                <w:sz w:val="24"/>
                <w14:textFill>
                  <w14:solidFill>
                    <w14:schemeClr w14:val="tx1"/>
                  </w14:solidFill>
                </w14:textFill>
              </w:rPr>
              <w:t>每年更换一次，废滤芯产生量约</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个/a，集中收集</w:t>
            </w:r>
            <w:r>
              <w:rPr>
                <w:rFonts w:hint="eastAsia"/>
                <w:color w:val="000000" w:themeColor="text1"/>
                <w:sz w:val="24"/>
                <w14:textFill>
                  <w14:solidFill>
                    <w14:schemeClr w14:val="tx1"/>
                  </w14:solidFill>
                </w14:textFill>
              </w:rPr>
              <w:t>于一般固废暂存间后厂家回收。根据《一般固体废物分类与代码》（GB/T39198-2020），本项目废滤筒代码为213-001-99</w:t>
            </w:r>
            <w:r>
              <w:rPr>
                <w:color w:val="000000" w:themeColor="text1"/>
                <w:sz w:val="24"/>
                <w14:textFill>
                  <w14:solidFill>
                    <w14:schemeClr w14:val="tx1"/>
                  </w14:solidFill>
                </w14:textFill>
              </w:rPr>
              <w:t>。</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4.3危险废物</w:t>
            </w:r>
          </w:p>
          <w:p>
            <w:pPr>
              <w:pStyle w:val="46"/>
              <w:rPr>
                <w:color w:val="000000" w:themeColor="text1"/>
                <w:lang w:bidi="he-IL"/>
                <w14:textFill>
                  <w14:solidFill>
                    <w14:schemeClr w14:val="tx1"/>
                  </w14:solidFill>
                </w14:textFill>
              </w:rPr>
            </w:pPr>
            <w:r>
              <w:rPr>
                <w:rFonts w:hint="eastAsia"/>
                <w:color w:val="000000" w:themeColor="text1"/>
                <w:lang w:bidi="he-IL"/>
                <w14:textFill>
                  <w14:solidFill>
                    <w14:schemeClr w14:val="tx1"/>
                  </w14:solidFill>
                </w14:textFill>
              </w:rPr>
              <w:t>（1）废液压油</w:t>
            </w:r>
          </w:p>
          <w:p>
            <w:pPr>
              <w:pStyle w:val="46"/>
              <w:rPr>
                <w:color w:val="000000" w:themeColor="text1"/>
                <w:lang w:bidi="he-IL"/>
                <w14:textFill>
                  <w14:solidFill>
                    <w14:schemeClr w14:val="tx1"/>
                  </w14:solidFill>
                </w14:textFill>
              </w:rPr>
            </w:pPr>
            <w:r>
              <w:rPr>
                <w:rFonts w:hint="eastAsia"/>
                <w:color w:val="000000" w:themeColor="text1"/>
                <w:lang w:bidi="he-IL"/>
                <w14:textFill>
                  <w14:solidFill>
                    <w14:schemeClr w14:val="tx1"/>
                  </w14:solidFill>
                </w14:textFill>
              </w:rPr>
              <w:t>本项目冲床、折弯机设备维护液压油</w:t>
            </w:r>
            <w:r>
              <w:rPr>
                <w:color w:val="000000" w:themeColor="text1"/>
                <w:szCs w:val="20"/>
                <w14:textFill>
                  <w14:solidFill>
                    <w14:schemeClr w14:val="tx1"/>
                  </w14:solidFill>
                </w14:textFill>
              </w:rPr>
              <w:t>长时间使用会由于高温氧化、机械零件的磨损物等因素的影响而受到污染，因此设备会定期进行维修及保养，更换</w:t>
            </w:r>
            <w:r>
              <w:rPr>
                <w:rFonts w:hint="eastAsia"/>
                <w:color w:val="000000" w:themeColor="text1"/>
                <w:szCs w:val="20"/>
                <w14:textFill>
                  <w14:solidFill>
                    <w14:schemeClr w14:val="tx1"/>
                  </w14:solidFill>
                </w14:textFill>
              </w:rPr>
              <w:t>液压油</w:t>
            </w:r>
            <w:r>
              <w:rPr>
                <w:color w:val="000000" w:themeColor="text1"/>
                <w:szCs w:val="20"/>
                <w14:textFill>
                  <w14:solidFill>
                    <w14:schemeClr w14:val="tx1"/>
                  </w14:solidFill>
                </w14:textFill>
              </w:rPr>
              <w:t>，每年更换一次，按各设备在同一周期内更换计算，</w:t>
            </w:r>
            <w:r>
              <w:rPr>
                <w:rFonts w:hint="eastAsia"/>
                <w:color w:val="000000" w:themeColor="text1"/>
                <w:lang w:bidi="he-IL"/>
                <w14:textFill>
                  <w14:solidFill>
                    <w14:schemeClr w14:val="tx1"/>
                  </w14:solidFill>
                </w14:textFill>
              </w:rPr>
              <w:t>废液压油产生量为0.00</w:t>
            </w:r>
            <w:r>
              <w:rPr>
                <w:rFonts w:hint="eastAsia"/>
                <w:color w:val="000000" w:themeColor="text1"/>
                <w:lang w:val="en-US" w:eastAsia="zh-CN" w:bidi="he-IL"/>
                <w14:textFill>
                  <w14:solidFill>
                    <w14:schemeClr w14:val="tx1"/>
                  </w14:solidFill>
                </w14:textFill>
              </w:rPr>
              <w:t>8</w:t>
            </w:r>
            <w:r>
              <w:rPr>
                <w:rFonts w:hint="eastAsia"/>
                <w:color w:val="000000" w:themeColor="text1"/>
                <w:lang w:bidi="he-IL"/>
                <w14:textFill>
                  <w14:solidFill>
                    <w14:schemeClr w14:val="tx1"/>
                  </w14:solidFill>
                </w14:textFill>
              </w:rPr>
              <w:t>t/a，经查询《国家危险废物名录》（2021年版），项目产生的废液压油属于危险废物（HW08），危废代码为900-218-08，</w:t>
            </w:r>
            <w:r>
              <w:rPr>
                <w:rFonts w:hint="eastAsia"/>
                <w:color w:val="000000" w:themeColor="text1"/>
                <w14:textFill>
                  <w14:solidFill>
                    <w14:schemeClr w14:val="tx1"/>
                  </w14:solidFill>
                </w14:textFill>
              </w:rPr>
              <w:t>设置专门容器收集后，存放于危废暂存间，定期送有资质的危险废物处置单位进行处置。</w:t>
            </w:r>
          </w:p>
          <w:p>
            <w:pPr>
              <w:pStyle w:val="46"/>
              <w:rPr>
                <w:color w:val="000000" w:themeColor="text1"/>
                <w:lang w:bidi="he-IL"/>
                <w14:textFill>
                  <w14:solidFill>
                    <w14:schemeClr w14:val="tx1"/>
                  </w14:solidFill>
                </w14:textFill>
              </w:rPr>
            </w:pPr>
            <w:r>
              <w:rPr>
                <w:rFonts w:hint="eastAsia"/>
                <w:color w:val="000000" w:themeColor="text1"/>
                <w:lang w:bidi="he-IL"/>
                <w14:textFill>
                  <w14:solidFill>
                    <w14:schemeClr w14:val="tx1"/>
                  </w14:solidFill>
                </w14:textFill>
              </w:rPr>
              <w:t>（2）废磷化液桶</w:t>
            </w:r>
          </w:p>
          <w:p>
            <w:pPr>
              <w:pStyle w:val="46"/>
              <w:rPr>
                <w:color w:val="000000" w:themeColor="text1"/>
                <w:lang w:bidi="he-IL"/>
                <w14:textFill>
                  <w14:solidFill>
                    <w14:schemeClr w14:val="tx1"/>
                  </w14:solidFill>
                </w14:textFill>
              </w:rPr>
            </w:pPr>
            <w:r>
              <w:rPr>
                <w:rFonts w:hint="eastAsia"/>
                <w:color w:val="000000" w:themeColor="text1"/>
                <w:lang w:bidi="he-IL"/>
                <w14:textFill>
                  <w14:solidFill>
                    <w14:schemeClr w14:val="tx1"/>
                  </w14:solidFill>
                </w14:textFill>
              </w:rPr>
              <w:t>本项目人工磷化除锈过程中废磷化液桶产生量为4个/a，经查询《国家危险废物名录》（2021年版），项目产生的废磷化液桶属于危险废物（HW49），危废代码为900-041-49，整齐存放于危废暂存间内，</w:t>
            </w:r>
            <w:r>
              <w:rPr>
                <w:rFonts w:hint="eastAsia"/>
                <w:color w:val="000000" w:themeColor="text1"/>
                <w14:textFill>
                  <w14:solidFill>
                    <w14:schemeClr w14:val="tx1"/>
                  </w14:solidFill>
                </w14:textFill>
              </w:rPr>
              <w:t>定期送有资质的危险废物处置单位进行处置。</w:t>
            </w:r>
          </w:p>
          <w:p>
            <w:pPr>
              <w:pStyle w:val="46"/>
              <w:rPr>
                <w:bCs/>
                <w:color w:val="000000" w:themeColor="text1"/>
                <w14:textFill>
                  <w14:solidFill>
                    <w14:schemeClr w14:val="tx1"/>
                  </w14:solidFill>
                </w14:textFill>
              </w:rPr>
            </w:pPr>
            <w:r>
              <w:rPr>
                <w:rFonts w:hint="eastAsia"/>
                <w:color w:val="000000" w:themeColor="text1"/>
                <w:lang w:bidi="he-IL"/>
                <w14:textFill>
                  <w14:solidFill>
                    <w14:schemeClr w14:val="tx1"/>
                  </w14:solidFill>
                </w14:textFill>
              </w:rPr>
              <w:t>（3）</w:t>
            </w:r>
            <w:r>
              <w:rPr>
                <w:rFonts w:hint="eastAsia"/>
                <w:bCs/>
                <w:color w:val="000000" w:themeColor="text1"/>
                <w14:textFill>
                  <w14:solidFill>
                    <w14:schemeClr w14:val="tx1"/>
                  </w14:solidFill>
                </w14:textFill>
              </w:rPr>
              <w:t>废磷化抹布及手套</w:t>
            </w:r>
          </w:p>
          <w:p>
            <w:pPr>
              <w:pStyle w:val="46"/>
              <w:rPr>
                <w:bCs/>
                <w:color w:val="000000" w:themeColor="text1"/>
                <w14:textFill>
                  <w14:solidFill>
                    <w14:schemeClr w14:val="tx1"/>
                  </w14:solidFill>
                </w14:textFill>
              </w:rPr>
            </w:pPr>
            <w:r>
              <w:rPr>
                <w:rFonts w:hint="eastAsia"/>
                <w:color w:val="000000" w:themeColor="text1"/>
                <w:lang w:bidi="he-IL"/>
                <w14:textFill>
                  <w14:solidFill>
                    <w14:schemeClr w14:val="tx1"/>
                  </w14:solidFill>
                </w14:textFill>
              </w:rPr>
              <w:t>本项目人工擦拭磷化液产生的废磷化液抹布手套量约0.05t/a，经查询《国家危险废物名录》（2021年版），项目产生的</w:t>
            </w:r>
            <w:r>
              <w:rPr>
                <w:rFonts w:hint="eastAsia"/>
                <w:bCs/>
                <w:color w:val="000000" w:themeColor="text1"/>
                <w14:textFill>
                  <w14:solidFill>
                    <w14:schemeClr w14:val="tx1"/>
                  </w14:solidFill>
                </w14:textFill>
              </w:rPr>
              <w:t>废磷化抹布及手套</w:t>
            </w:r>
            <w:r>
              <w:rPr>
                <w:rFonts w:hint="eastAsia"/>
                <w:color w:val="000000" w:themeColor="text1"/>
                <w:lang w:bidi="he-IL"/>
                <w14:textFill>
                  <w14:solidFill>
                    <w14:schemeClr w14:val="tx1"/>
                  </w14:solidFill>
                </w14:textFill>
              </w:rPr>
              <w:t>属于危险废物（HW49），危废代码为900-041-49，设置专门容器收集后，存放于危废暂存间，定期送有资质的危险废物处置单位进行处置。</w:t>
            </w:r>
          </w:p>
          <w:p>
            <w:pPr>
              <w:pStyle w:val="46"/>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（4）废UV灯管</w:t>
            </w:r>
          </w:p>
          <w:p>
            <w:pPr>
              <w:pStyle w:val="46"/>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本项目有机废气处理装置UV灯管每年更换一次，废UV灯管产生量为0.01t/a，经查询《国家危险废物名录》（2021年版），项目产生的废UV灯管属于危险废物（HW29），危废代码为900-023-29，</w:t>
            </w:r>
            <w:r>
              <w:rPr>
                <w:rFonts w:hint="eastAsia"/>
                <w:color w:val="000000" w:themeColor="text1"/>
                <w14:textFill>
                  <w14:solidFill>
                    <w14:schemeClr w14:val="tx1"/>
                  </w14:solidFill>
                </w14:textFill>
              </w:rPr>
              <w:t>设置专门容器收集后，存放于危废暂存间，定期送有资质的危险废物处置单位进行处置。</w:t>
            </w:r>
          </w:p>
          <w:p>
            <w:pPr>
              <w:pStyle w:val="46"/>
              <w:rPr>
                <w:bCs/>
                <w:color w:val="000000" w:themeColor="text1"/>
                <w14:textFill>
                  <w14:solidFill>
                    <w14:schemeClr w14:val="tx1"/>
                  </w14:solidFill>
                </w14:textFill>
              </w:rPr>
            </w:pPr>
            <w:r>
              <w:rPr>
                <w:rFonts w:hint="eastAsia"/>
                <w:bCs/>
                <w:color w:val="000000" w:themeColor="text1"/>
                <w14:textFill>
                  <w14:solidFill>
                    <w14:schemeClr w14:val="tx1"/>
                  </w14:solidFill>
                </w14:textFill>
              </w:rPr>
              <w:t>（5）废活性炭</w:t>
            </w:r>
          </w:p>
          <w:p>
            <w:pPr>
              <w:pStyle w:val="36"/>
              <w:spacing w:line="460" w:lineRule="exact"/>
              <w:rPr>
                <w:color w:val="000000" w:themeColor="text1"/>
                <w:lang w:bidi="he-IL"/>
                <w14:textFill>
                  <w14:solidFill>
                    <w14:schemeClr w14:val="tx1"/>
                  </w14:solidFill>
                </w14:textFill>
              </w:rPr>
            </w:pPr>
            <w:r>
              <w:rPr>
                <w:snapToGrid w:val="0"/>
                <w:color w:val="000000" w:themeColor="text1"/>
                <w14:textFill>
                  <w14:solidFill>
                    <w14:schemeClr w14:val="tx1"/>
                  </w14:solidFill>
                </w14:textFill>
              </w:rPr>
              <w:t>本项目固化</w:t>
            </w:r>
            <w:r>
              <w:rPr>
                <w:rFonts w:hint="eastAsia"/>
                <w:snapToGrid w:val="0"/>
                <w:color w:val="000000" w:themeColor="text1"/>
                <w14:textFill>
                  <w14:solidFill>
                    <w14:schemeClr w14:val="tx1"/>
                  </w14:solidFill>
                </w14:textFill>
              </w:rPr>
              <w:t>过程更有机</w:t>
            </w:r>
            <w:r>
              <w:rPr>
                <w:snapToGrid w:val="0"/>
                <w:color w:val="000000" w:themeColor="text1"/>
                <w14:textFill>
                  <w14:solidFill>
                    <w14:schemeClr w14:val="tx1"/>
                  </w14:solidFill>
                </w14:textFill>
              </w:rPr>
              <w:t>废气进入</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UV光氧催化+活性炭</w:t>
            </w:r>
            <w:r>
              <w:rPr>
                <w:rFonts w:hint="eastAsia"/>
                <w:bCs/>
                <w:color w:val="000000" w:themeColor="text1"/>
                <w14:textFill>
                  <w14:solidFill>
                    <w14:schemeClr w14:val="tx1"/>
                  </w14:solidFill>
                </w14:textFill>
              </w:rPr>
              <w:t>吸附”</w:t>
            </w:r>
            <w:r>
              <w:rPr>
                <w:bCs/>
                <w:color w:val="000000" w:themeColor="text1"/>
                <w14:textFill>
                  <w14:solidFill>
                    <w14:schemeClr w14:val="tx1"/>
                  </w14:solidFill>
                </w14:textFill>
              </w:rPr>
              <w:t>废气处理装置处理，经活性炭吸附的有机废气量为</w:t>
            </w:r>
            <w:r>
              <w:rPr>
                <w:rFonts w:hint="eastAsia"/>
                <w:bCs/>
                <w:color w:val="000000" w:themeColor="text1"/>
                <w14:textFill>
                  <w14:solidFill>
                    <w14:schemeClr w14:val="tx1"/>
                  </w14:solidFill>
                </w14:textFill>
              </w:rPr>
              <w:t>0.0</w:t>
            </w:r>
            <w:r>
              <w:rPr>
                <w:rFonts w:hint="eastAsia"/>
                <w:bCs/>
                <w:color w:val="000000" w:themeColor="text1"/>
                <w:lang w:val="en-US" w:eastAsia="zh-CN"/>
                <w14:textFill>
                  <w14:solidFill>
                    <w14:schemeClr w14:val="tx1"/>
                  </w14:solidFill>
                </w14:textFill>
              </w:rPr>
              <w:t>34</w:t>
            </w:r>
            <w:r>
              <w:rPr>
                <w:bCs/>
                <w:color w:val="000000" w:themeColor="text1"/>
                <w14:textFill>
                  <w14:solidFill>
                    <w14:schemeClr w14:val="tx1"/>
                  </w14:solidFill>
                </w14:textFill>
              </w:rPr>
              <w:t>t/a</w:t>
            </w:r>
            <w:r>
              <w:rPr>
                <w:rFonts w:hint="eastAsia"/>
                <w:bCs/>
                <w:color w:val="000000" w:themeColor="text1"/>
                <w14:textFill>
                  <w14:solidFill>
                    <w14:schemeClr w14:val="tx1"/>
                  </w14:solidFill>
                </w14:textFill>
              </w:rPr>
              <w:t>。</w:t>
            </w:r>
            <w:r>
              <w:rPr>
                <w:rFonts w:hint="eastAsia"/>
                <w:b/>
                <w:bCs/>
                <w:color w:val="000000" w:themeColor="text1"/>
                <w:sz w:val="24"/>
                <w:u w:val="single"/>
                <w14:textFill>
                  <w14:solidFill>
                    <w14:schemeClr w14:val="tx1"/>
                  </w14:solidFill>
                </w14:textFill>
              </w:rPr>
              <w:t>根据《简明通风设计手册》可知，1t活性炭约能吸附0.25t~0.3t有机废气，本项目取活性炭吸附能力为0.25t有机废气/1t活性炭</w:t>
            </w:r>
            <w:r>
              <w:rPr>
                <w:rFonts w:hint="eastAsia"/>
                <w:b/>
                <w:bCs w:val="0"/>
                <w:color w:val="000000" w:themeColor="text1"/>
                <w:u w:val="single"/>
                <w14:textFill>
                  <w14:solidFill>
                    <w14:schemeClr w14:val="tx1"/>
                  </w14:solidFill>
                </w14:textFill>
              </w:rPr>
              <w:t>，则废活性炭产生量约为</w:t>
            </w:r>
            <w:r>
              <w:rPr>
                <w:rFonts w:hint="eastAsia"/>
                <w:b/>
                <w:bCs w:val="0"/>
                <w:color w:val="000000" w:themeColor="text1"/>
                <w:u w:val="single"/>
                <w:lang w:val="en-US" w:eastAsia="zh-CN"/>
                <w14:textFill>
                  <w14:solidFill>
                    <w14:schemeClr w14:val="tx1"/>
                  </w14:solidFill>
                </w14:textFill>
              </w:rPr>
              <w:t>0.136</w:t>
            </w:r>
            <w:r>
              <w:rPr>
                <w:b/>
                <w:bCs w:val="0"/>
                <w:color w:val="000000" w:themeColor="text1"/>
                <w:u w:val="single"/>
                <w14:textFill>
                  <w14:solidFill>
                    <w14:schemeClr w14:val="tx1"/>
                  </w14:solidFill>
                </w14:textFill>
              </w:rPr>
              <w:t>t/a</w:t>
            </w:r>
            <w:r>
              <w:rPr>
                <w:rFonts w:hint="eastAsia"/>
                <w:b/>
                <w:bCs w:val="0"/>
                <w:color w:val="000000" w:themeColor="text1"/>
                <w:u w:val="single"/>
                <w14:textFill>
                  <w14:solidFill>
                    <w14:schemeClr w14:val="tx1"/>
                  </w14:solidFill>
                </w14:textFill>
              </w:rPr>
              <w:t>。</w:t>
            </w:r>
            <w:r>
              <w:rPr>
                <w:rFonts w:hint="eastAsia"/>
                <w:b/>
                <w:bCs/>
                <w:color w:val="000000" w:themeColor="text1"/>
                <w:sz w:val="24"/>
                <w:u w:val="single"/>
                <w14:textFill>
                  <w14:solidFill>
                    <w14:schemeClr w14:val="tx1"/>
                  </w14:solidFill>
                </w14:textFill>
              </w:rPr>
              <w:t>本项目</w:t>
            </w:r>
            <w:r>
              <w:rPr>
                <w:rFonts w:hint="eastAsia"/>
                <w:b/>
                <w:bCs/>
                <w:color w:val="000000" w:themeColor="text1"/>
                <w:sz w:val="24"/>
                <w:u w:val="single"/>
                <w:lang w:val="en-US" w:eastAsia="zh-CN"/>
                <w14:textFill>
                  <w14:solidFill>
                    <w14:schemeClr w14:val="tx1"/>
                  </w14:solidFill>
                </w14:textFill>
              </w:rPr>
              <w:t>拟</w:t>
            </w:r>
            <w:r>
              <w:rPr>
                <w:rFonts w:hint="eastAsia"/>
                <w:b/>
                <w:bCs/>
                <w:color w:val="000000" w:themeColor="text1"/>
                <w:sz w:val="24"/>
                <w:u w:val="single"/>
                <w14:textFill>
                  <w14:solidFill>
                    <w14:schemeClr w14:val="tx1"/>
                  </w14:solidFill>
                </w14:textFill>
              </w:rPr>
              <w:t>设置1个活性炭吸附箱，吸附箱内一次装填量为</w:t>
            </w:r>
            <w:r>
              <w:rPr>
                <w:rFonts w:hint="eastAsia"/>
                <w:b/>
                <w:bCs/>
                <w:color w:val="000000" w:themeColor="text1"/>
                <w:sz w:val="24"/>
                <w:u w:val="single"/>
                <w:lang w:val="en-US" w:eastAsia="zh-CN"/>
                <w14:textFill>
                  <w14:solidFill>
                    <w14:schemeClr w14:val="tx1"/>
                  </w14:solidFill>
                </w14:textFill>
              </w:rPr>
              <w:t>0.07t</w:t>
            </w:r>
            <w:r>
              <w:rPr>
                <w:rFonts w:hint="eastAsia"/>
                <w:b/>
                <w:bCs/>
                <w:color w:val="000000" w:themeColor="text1"/>
                <w:sz w:val="24"/>
                <w:u w:val="single"/>
                <w14:textFill>
                  <w14:solidFill>
                    <w14:schemeClr w14:val="tx1"/>
                  </w14:solidFill>
                </w14:textFill>
              </w:rPr>
              <w:t>，每</w:t>
            </w:r>
            <w:r>
              <w:rPr>
                <w:rFonts w:hint="eastAsia"/>
                <w:b/>
                <w:bCs/>
                <w:color w:val="000000" w:themeColor="text1"/>
                <w:sz w:val="24"/>
                <w:u w:val="single"/>
                <w:lang w:val="en-US" w:eastAsia="zh-CN"/>
                <w14:textFill>
                  <w14:solidFill>
                    <w14:schemeClr w14:val="tx1"/>
                  </w14:solidFill>
                </w14:textFill>
              </w:rPr>
              <w:t>6个月</w:t>
            </w:r>
            <w:r>
              <w:rPr>
                <w:rFonts w:hint="eastAsia"/>
                <w:b/>
                <w:bCs/>
                <w:color w:val="000000" w:themeColor="text1"/>
                <w:sz w:val="24"/>
                <w:u w:val="single"/>
                <w14:textFill>
                  <w14:solidFill>
                    <w14:schemeClr w14:val="tx1"/>
                  </w14:solidFill>
                </w14:textFill>
              </w:rPr>
              <w:t>更换一次。</w:t>
            </w:r>
            <w:r>
              <w:rPr>
                <w:rFonts w:hint="eastAsia"/>
                <w:bCs/>
                <w:color w:val="000000" w:themeColor="text1"/>
                <w14:textFill>
                  <w14:solidFill>
                    <w14:schemeClr w14:val="tx1"/>
                  </w14:solidFill>
                </w14:textFill>
              </w:rPr>
              <w:t>经查询《国家危险废物名录》（2021年版），</w:t>
            </w:r>
            <w:r>
              <w:rPr>
                <w:rFonts w:hint="eastAsia"/>
                <w:color w:val="000000" w:themeColor="text1"/>
                <w:lang w:bidi="he-IL"/>
                <w14:textFill>
                  <w14:solidFill>
                    <w14:schemeClr w14:val="tx1"/>
                  </w14:solidFill>
                </w14:textFill>
              </w:rPr>
              <w:t>项目产生的</w:t>
            </w:r>
            <w:r>
              <w:rPr>
                <w:rFonts w:hint="eastAsia"/>
                <w:bCs/>
                <w:color w:val="000000" w:themeColor="text1"/>
                <w14:textFill>
                  <w14:solidFill>
                    <w14:schemeClr w14:val="tx1"/>
                  </w14:solidFill>
                </w14:textFill>
              </w:rPr>
              <w:t>废活性炭</w:t>
            </w:r>
            <w:r>
              <w:rPr>
                <w:rFonts w:hint="eastAsia"/>
                <w:color w:val="000000" w:themeColor="text1"/>
                <w:lang w:bidi="he-IL"/>
                <w14:textFill>
                  <w14:solidFill>
                    <w14:schemeClr w14:val="tx1"/>
                  </w14:solidFill>
                </w14:textFill>
              </w:rPr>
              <w:t>属于危险废物（HW49）</w:t>
            </w:r>
            <w:r>
              <w:rPr>
                <w:rFonts w:hint="eastAsia"/>
                <w:bCs/>
                <w:color w:val="000000" w:themeColor="text1"/>
                <w14:textFill>
                  <w14:solidFill>
                    <w14:schemeClr w14:val="tx1"/>
                  </w14:solidFill>
                </w14:textFill>
              </w:rPr>
              <w:t>，废物代码为</w:t>
            </w:r>
            <w:r>
              <w:rPr>
                <w:bCs/>
                <w:color w:val="000000" w:themeColor="text1"/>
                <w14:textFill>
                  <w14:solidFill>
                    <w14:schemeClr w14:val="tx1"/>
                  </w14:solidFill>
                </w14:textFill>
              </w:rPr>
              <w:t>900-039-49</w:t>
            </w:r>
            <w:r>
              <w:rPr>
                <w:rFonts w:hint="eastAsia"/>
                <w:bCs/>
                <w:color w:val="000000" w:themeColor="text1"/>
                <w14:textFill>
                  <w14:solidFill>
                    <w14:schemeClr w14:val="tx1"/>
                  </w14:solidFill>
                </w14:textFill>
              </w:rPr>
              <w:t>，</w:t>
            </w:r>
            <w:r>
              <w:rPr>
                <w:rFonts w:hint="eastAsia"/>
                <w:color w:val="000000" w:themeColor="text1"/>
                <w:lang w:bidi="he-IL"/>
                <w14:textFill>
                  <w14:solidFill>
                    <w14:schemeClr w14:val="tx1"/>
                  </w14:solidFill>
                </w14:textFill>
              </w:rPr>
              <w:t>设置专门容器收集后，存放于危废暂存间，定期送有资质的危险废物处置单位进行处置。</w:t>
            </w:r>
          </w:p>
          <w:p>
            <w:pPr>
              <w:pStyle w:val="36"/>
              <w:spacing w:line="460" w:lineRule="exact"/>
              <w:rPr>
                <w:bCs/>
                <w:color w:val="000000" w:themeColor="text1"/>
                <w14:textFill>
                  <w14:solidFill>
                    <w14:schemeClr w14:val="tx1"/>
                  </w14:solidFill>
                </w14:textFill>
              </w:rPr>
            </w:pPr>
            <w:r>
              <w:rPr>
                <w:bCs/>
                <w:color w:val="000000" w:themeColor="text1"/>
                <w14:textFill>
                  <w14:solidFill>
                    <w14:schemeClr w14:val="tx1"/>
                  </w14:solidFill>
                </w14:textFill>
              </w:rPr>
              <w:t>4.3.1危废贮存设施设置情况</w:t>
            </w:r>
          </w:p>
          <w:p>
            <w:pPr>
              <w:snapToGrid w:val="0"/>
              <w:spacing w:line="460" w:lineRule="exact"/>
              <w:ind w:firstLine="465"/>
              <w:rPr>
                <w:color w:val="000000" w:themeColor="text1"/>
                <w:sz w:val="24"/>
                <w14:textFill>
                  <w14:solidFill>
                    <w14:schemeClr w14:val="tx1"/>
                  </w14:solidFill>
                </w14:textFill>
              </w:rPr>
            </w:pPr>
            <w:r>
              <w:rPr>
                <w:color w:val="000000" w:themeColor="text1"/>
                <w:sz w:val="24"/>
                <w14:textFill>
                  <w14:solidFill>
                    <w14:schemeClr w14:val="tx1"/>
                  </w14:solidFill>
                </w14:textFill>
              </w:rPr>
              <w:t>项目在厂区按照《危险废物贮存污染控制标准》要求设置危废专用容器，危废暂存</w:t>
            </w:r>
            <w:r>
              <w:rPr>
                <w:rFonts w:hint="eastAsia"/>
                <w:color w:val="000000" w:themeColor="text1"/>
                <w:sz w:val="24"/>
                <w14:textFill>
                  <w14:solidFill>
                    <w14:schemeClr w14:val="tx1"/>
                  </w14:solidFill>
                </w14:textFill>
              </w:rPr>
              <w:t>间</w:t>
            </w:r>
            <w:r>
              <w:rPr>
                <w:color w:val="000000" w:themeColor="text1"/>
                <w:sz w:val="24"/>
                <w14:textFill>
                  <w14:solidFill>
                    <w14:schemeClr w14:val="tx1"/>
                  </w14:solidFill>
                </w14:textFill>
              </w:rPr>
              <w:t>，要求如下：</w:t>
            </w:r>
          </w:p>
          <w:p>
            <w:pPr>
              <w:snapToGrid w:val="0"/>
              <w:spacing w:line="460" w:lineRule="exact"/>
              <w:ind w:firstLine="465"/>
              <w:rPr>
                <w:color w:val="000000" w:themeColor="text1"/>
                <w:sz w:val="24"/>
                <w14:textFill>
                  <w14:solidFill>
                    <w14:schemeClr w14:val="tx1"/>
                  </w14:solidFill>
                </w14:textFill>
              </w:rPr>
            </w:pPr>
            <w:r>
              <w:rPr>
                <w:color w:val="000000" w:themeColor="text1"/>
                <w:sz w:val="24"/>
                <w14:textFill>
                  <w14:solidFill>
                    <w14:schemeClr w14:val="tx1"/>
                  </w14:solidFill>
                </w14:textFill>
              </w:rPr>
              <w:t>①厂内危废贮存设施必须按照GB18597-2001《危险废物贮存污染标准》的要求进行设计、施工，对</w:t>
            </w:r>
            <w:r>
              <w:rPr>
                <w:rFonts w:hint="eastAsia"/>
                <w:bCs/>
                <w:color w:val="000000" w:themeColor="text1"/>
                <w:sz w:val="24"/>
                <w14:textFill>
                  <w14:solidFill>
                    <w14:schemeClr w14:val="tx1"/>
                  </w14:solidFill>
                </w14:textFill>
              </w:rPr>
              <w:t>废液压液、废磷化液桶、废磷化抹布及手套</w:t>
            </w:r>
            <w:r>
              <w:rPr>
                <w:rFonts w:hint="eastAsia"/>
                <w:color w:val="000000" w:themeColor="text1"/>
                <w:sz w:val="24"/>
                <w:szCs w:val="20"/>
                <w14:textFill>
                  <w14:solidFill>
                    <w14:schemeClr w14:val="tx1"/>
                  </w14:solidFill>
                </w14:textFill>
              </w:rPr>
              <w:t>、废UV灯管</w:t>
            </w:r>
            <w:r>
              <w:rPr>
                <w:rFonts w:hint="eastAsia"/>
                <w:bCs/>
                <w:color w:val="000000" w:themeColor="text1"/>
                <w:sz w:val="24"/>
                <w14:textFill>
                  <w14:solidFill>
                    <w14:schemeClr w14:val="tx1"/>
                  </w14:solidFill>
                </w14:textFill>
              </w:rPr>
              <w:t>、</w:t>
            </w:r>
            <w:r>
              <w:rPr>
                <w:rFonts w:hint="eastAsia"/>
                <w:color w:val="000000" w:themeColor="text1"/>
                <w:sz w:val="24"/>
                <w:szCs w:val="20"/>
                <w14:textFill>
                  <w14:solidFill>
                    <w14:schemeClr w14:val="tx1"/>
                  </w14:solidFill>
                </w14:textFill>
              </w:rPr>
              <w:t>废活性炭</w:t>
            </w:r>
            <w:r>
              <w:rPr>
                <w:color w:val="000000" w:themeColor="text1"/>
                <w:sz w:val="24"/>
                <w14:textFill>
                  <w14:solidFill>
                    <w14:schemeClr w14:val="tx1"/>
                  </w14:solidFill>
                </w14:textFill>
              </w:rPr>
              <w:t>定期收集后装入符合标准的容器内，容器材质要满足强度要求，应当满足防风、防雨、防晒、防渗的“四防”要求；</w:t>
            </w:r>
          </w:p>
          <w:p>
            <w:pPr>
              <w:snapToGrid w:val="0"/>
              <w:spacing w:line="460" w:lineRule="exact"/>
              <w:ind w:firstLine="465"/>
              <w:rPr>
                <w:color w:val="000000" w:themeColor="text1"/>
                <w:sz w:val="24"/>
                <w14:textFill>
                  <w14:solidFill>
                    <w14:schemeClr w14:val="tx1"/>
                  </w14:solidFill>
                </w14:textFill>
              </w:rPr>
            </w:pPr>
            <w:r>
              <w:rPr>
                <w:color w:val="000000" w:themeColor="text1"/>
                <w:sz w:val="24"/>
                <w14:textFill>
                  <w14:solidFill>
                    <w14:schemeClr w14:val="tx1"/>
                  </w14:solidFill>
                </w14:textFill>
              </w:rPr>
              <w:t>②危废贮存区地面要用坚固、防渗材料建造；危废堆放的基础必须防渗，建议铺设2mm厚高密度聚乙烯膜或至少2mm厚的其它人工材料；</w:t>
            </w:r>
          </w:p>
          <w:p>
            <w:pPr>
              <w:snapToGrid w:val="0"/>
              <w:spacing w:line="460" w:lineRule="exact"/>
              <w:ind w:firstLine="465"/>
              <w:rPr>
                <w:color w:val="000000" w:themeColor="text1"/>
                <w:sz w:val="24"/>
                <w14:textFill>
                  <w14:solidFill>
                    <w14:schemeClr w14:val="tx1"/>
                  </w14:solidFill>
                </w14:textFill>
              </w:rPr>
            </w:pPr>
            <w:r>
              <w:rPr>
                <w:color w:val="000000" w:themeColor="text1"/>
                <w:sz w:val="24"/>
                <w14:textFill>
                  <w14:solidFill>
                    <w14:schemeClr w14:val="tx1"/>
                  </w14:solidFill>
                </w14:textFill>
              </w:rPr>
              <w:t>③按照《环境保护图形标志—固体废物贮存(处置)场》（GB15562.2-1995）标准规定设置环境保护图形标准。危废品库内应注明危险废物名称、数量、特性及接受单位等。同时标明不同危险废物在泄漏、火灾及爆炸等事故情况下，紧急处理处置措施，危废品库内应配备足够的堵漏及其他消防安全器材，确保固废临时安全储存；</w:t>
            </w:r>
          </w:p>
          <w:p>
            <w:pPr>
              <w:snapToGrid w:val="0"/>
              <w:spacing w:line="460" w:lineRule="exact"/>
              <w:ind w:firstLine="465"/>
              <w:rPr>
                <w:color w:val="000000" w:themeColor="text1"/>
                <w:sz w:val="24"/>
                <w14:textFill>
                  <w14:solidFill>
                    <w14:schemeClr w14:val="tx1"/>
                  </w14:solidFill>
                </w14:textFill>
              </w:rPr>
            </w:pPr>
            <w:r>
              <w:rPr>
                <w:color w:val="000000" w:themeColor="text1"/>
                <w:sz w:val="24"/>
                <w14:textFill>
                  <w14:solidFill>
                    <w14:schemeClr w14:val="tx1"/>
                  </w14:solidFill>
                </w14:textFill>
              </w:rPr>
              <w:t>④所有的危险废物均应在专用密闭容器中储存，不得混装，废物收集和封装容积应得到接受单位及当地环保部门的认可。收集危险废物应详细列出危险废物的数量和成分，并填写有关资料，设置明显的废物名称及性质标识牌，并在库外设置明显的危险废物专用的警示标志；</w:t>
            </w:r>
          </w:p>
          <w:p>
            <w:pPr>
              <w:pStyle w:val="6"/>
              <w:numPr>
                <w:ilvl w:val="0"/>
                <w:numId w:val="0"/>
              </w:numPr>
              <w:snapToGrid w:val="0"/>
              <w:ind w:firstLine="480" w:firstLineChars="200"/>
              <w:rPr>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⑤</w:t>
            </w:r>
            <w:r>
              <w:rPr>
                <w:b w:val="0"/>
                <w:bCs/>
                <w:color w:val="000000" w:themeColor="text1"/>
                <w14:textFill>
                  <w14:solidFill>
                    <w14:schemeClr w14:val="tx1"/>
                  </w14:solidFill>
                </w14:textFill>
              </w:rPr>
              <w:t>建设单位应指定专人负责固废及残液的收集、贮存管理工作，明确责任人工作制度，按照管理要求，及时将危废品库的危险固废送至有资质的单位处理，不得长期储存或超容量储存。</w:t>
            </w:r>
          </w:p>
          <w:p>
            <w:pPr>
              <w:pStyle w:val="6"/>
              <w:numPr>
                <w:ilvl w:val="0"/>
                <w:numId w:val="0"/>
              </w:numPr>
              <w:snapToGrid w:val="0"/>
              <w:ind w:left="420" w:leftChars="200"/>
              <w:rPr>
                <w:b w:val="0"/>
                <w:bCs/>
                <w:color w:val="000000" w:themeColor="text1"/>
                <w14:textFill>
                  <w14:solidFill>
                    <w14:schemeClr w14:val="tx1"/>
                  </w14:solidFill>
                </w14:textFill>
              </w:rPr>
            </w:pPr>
            <w:r>
              <w:rPr>
                <w:rFonts w:hint="eastAsia" w:cs="Calibri"/>
                <w:b w:val="0"/>
                <w:bCs/>
                <w:color w:val="000000" w:themeColor="text1"/>
                <w14:textFill>
                  <w14:solidFill>
                    <w14:schemeClr w14:val="tx1"/>
                  </w14:solidFill>
                </w14:textFill>
              </w:rPr>
              <w:t>4.3.2</w:t>
            </w:r>
            <w:r>
              <w:rPr>
                <w:b w:val="0"/>
                <w:bCs/>
                <w:color w:val="000000" w:themeColor="text1"/>
                <w14:textFill>
                  <w14:solidFill>
                    <w14:schemeClr w14:val="tx1"/>
                  </w14:solidFill>
                </w14:textFill>
              </w:rPr>
              <w:t>危险废物贮存设施的运行与管理</w:t>
            </w:r>
          </w:p>
          <w:p>
            <w:pPr>
              <w:pStyle w:val="6"/>
              <w:numPr>
                <w:ilvl w:val="0"/>
                <w:numId w:val="0"/>
              </w:numPr>
              <w:snapToGrid w:val="0"/>
              <w:ind w:firstLine="480" w:firstLineChars="200"/>
              <w:rPr>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①</w:t>
            </w:r>
            <w:r>
              <w:rPr>
                <w:b w:val="0"/>
                <w:bCs/>
                <w:color w:val="000000" w:themeColor="text1"/>
                <w14:textFill>
                  <w14:solidFill>
                    <w14:schemeClr w14:val="tx1"/>
                  </w14:solidFill>
                </w14:textFill>
              </w:rPr>
              <w:t>定期对所贮存的危险废物包装容器及贮存设施进行检查，发现破损，应及时采取措施清理更换。</w:t>
            </w:r>
          </w:p>
          <w:p>
            <w:pPr>
              <w:pStyle w:val="6"/>
              <w:numPr>
                <w:ilvl w:val="0"/>
                <w:numId w:val="0"/>
              </w:numPr>
              <w:snapToGrid w:val="0"/>
              <w:ind w:firstLine="480" w:firstLineChars="200"/>
              <w:rPr>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②</w:t>
            </w:r>
            <w:r>
              <w:rPr>
                <w:b w:val="0"/>
                <w:bCs/>
                <w:color w:val="000000" w:themeColor="text1"/>
                <w14:textFill>
                  <w14:solidFill>
                    <w14:schemeClr w14:val="tx1"/>
                  </w14:solidFill>
                </w14:textFill>
              </w:rPr>
              <w:t>不得将不相容的废物混合或合并存放。</w:t>
            </w:r>
          </w:p>
          <w:p>
            <w:pPr>
              <w:pStyle w:val="6"/>
              <w:numPr>
                <w:ilvl w:val="0"/>
                <w:numId w:val="0"/>
              </w:numPr>
              <w:snapToGrid w:val="0"/>
              <w:ind w:firstLine="480" w:firstLineChars="200"/>
              <w:rPr>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③</w:t>
            </w:r>
            <w:r>
              <w:rPr>
                <w:b w:val="0"/>
                <w:bCs/>
                <w:color w:val="000000" w:themeColor="text1"/>
                <w14:textFill>
                  <w14:solidFill>
                    <w14:schemeClr w14:val="tx1"/>
                  </w14:solidFill>
                </w14:textFill>
              </w:rPr>
              <w:t>危险废物产生和危险废物贮存设施管理者均须作好危险废物情况的记录，记录上须注明危险废物的名称、来源、数量、特性和包装容器的类别、入库日期、废物出库日期及接收单位名称。</w:t>
            </w:r>
          </w:p>
          <w:p>
            <w:pPr>
              <w:pStyle w:val="6"/>
              <w:numPr>
                <w:ilvl w:val="0"/>
                <w:numId w:val="0"/>
              </w:numPr>
              <w:snapToGrid w:val="0"/>
              <w:ind w:left="420" w:leftChars="200"/>
              <w:rPr>
                <w:b w:val="0"/>
                <w:bCs/>
                <w:color w:val="000000" w:themeColor="text1"/>
                <w14:textFill>
                  <w14:solidFill>
                    <w14:schemeClr w14:val="tx1"/>
                  </w14:solidFill>
                </w14:textFill>
              </w:rPr>
            </w:pPr>
            <w:r>
              <w:rPr>
                <w:rFonts w:hint="eastAsia" w:ascii="宋体" w:hAnsi="宋体" w:cs="宋体"/>
                <w:b w:val="0"/>
                <w:bCs/>
                <w:color w:val="000000" w:themeColor="text1"/>
                <w14:textFill>
                  <w14:solidFill>
                    <w14:schemeClr w14:val="tx1"/>
                  </w14:solidFill>
                </w14:textFill>
              </w:rPr>
              <w:t>④</w:t>
            </w:r>
            <w:r>
              <w:rPr>
                <w:b w:val="0"/>
                <w:bCs/>
                <w:color w:val="000000" w:themeColor="text1"/>
                <w14:textFill>
                  <w14:solidFill>
                    <w14:schemeClr w14:val="tx1"/>
                  </w14:solidFill>
                </w14:textFill>
              </w:rPr>
              <w:t>盛装在容器内的同类危险废物可以堆叠存放。</w:t>
            </w:r>
          </w:p>
          <w:p>
            <w:pPr>
              <w:pStyle w:val="6"/>
              <w:numPr>
                <w:ilvl w:val="0"/>
                <w:numId w:val="0"/>
              </w:numPr>
              <w:snapToGrid w:val="0"/>
              <w:ind w:left="420" w:leftChars="200"/>
              <w:rPr>
                <w:b w:val="0"/>
                <w:bCs/>
                <w:color w:val="000000" w:themeColor="text1"/>
                <w14:textFill>
                  <w14:solidFill>
                    <w14:schemeClr w14:val="tx1"/>
                  </w14:solidFill>
                </w14:textFill>
              </w:rPr>
            </w:pPr>
            <w:r>
              <w:rPr>
                <w:b w:val="0"/>
                <w:bCs/>
                <w:color w:val="000000" w:themeColor="text1"/>
                <w14:textFill>
                  <w14:solidFill>
                    <w14:schemeClr w14:val="tx1"/>
                  </w14:solidFill>
                </w14:textFill>
              </w:rPr>
              <w:t>废物类别及废物代码如下表所示。</w:t>
            </w:r>
          </w:p>
          <w:p>
            <w:pPr>
              <w:widowControl/>
              <w:snapToGrid w:val="0"/>
              <w:spacing w:line="40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lang w:val="en-US" w:eastAsia="zh-CN"/>
                <w14:textFill>
                  <w14:solidFill>
                    <w14:schemeClr w14:val="tx1"/>
                  </w14:solidFill>
                </w14:textFill>
              </w:rPr>
              <w:t>27</w:t>
            </w:r>
            <w:r>
              <w:rPr>
                <w:b/>
                <w:bCs/>
                <w:color w:val="000000" w:themeColor="text1"/>
                <w:sz w:val="24"/>
                <w14:textFill>
                  <w14:solidFill>
                    <w14:schemeClr w14:val="tx1"/>
                  </w14:solidFill>
                </w14:textFill>
              </w:rPr>
              <w:t xml:space="preserve">                  本项目危险废物汇总表</w:t>
            </w:r>
          </w:p>
          <w:tbl>
            <w:tblPr>
              <w:tblStyle w:val="19"/>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7"/>
              <w:gridCol w:w="672"/>
              <w:gridCol w:w="793"/>
              <w:gridCol w:w="917"/>
              <w:gridCol w:w="897"/>
              <w:gridCol w:w="700"/>
              <w:gridCol w:w="641"/>
              <w:gridCol w:w="654"/>
              <w:gridCol w:w="479"/>
              <w:gridCol w:w="711"/>
              <w:gridCol w:w="592"/>
              <w:gridCol w:w="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4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01"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危险废物名称</w:t>
                  </w:r>
                </w:p>
              </w:tc>
              <w:tc>
                <w:tcPr>
                  <w:tcW w:w="473"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547"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危险废物代码</w:t>
                  </w:r>
                </w:p>
              </w:tc>
              <w:tc>
                <w:tcPr>
                  <w:tcW w:w="535"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w:t>
                  </w:r>
                </w:p>
              </w:tc>
              <w:tc>
                <w:tcPr>
                  <w:tcW w:w="417"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产生工序及装置</w:t>
                  </w:r>
                </w:p>
              </w:tc>
              <w:tc>
                <w:tcPr>
                  <w:tcW w:w="382"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形态</w:t>
                  </w:r>
                </w:p>
              </w:tc>
              <w:tc>
                <w:tcPr>
                  <w:tcW w:w="390"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主要成分</w:t>
                  </w:r>
                </w:p>
              </w:tc>
              <w:tc>
                <w:tcPr>
                  <w:tcW w:w="286"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有害成分</w:t>
                  </w:r>
                </w:p>
              </w:tc>
              <w:tc>
                <w:tcPr>
                  <w:tcW w:w="42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产废周期</w:t>
                  </w:r>
                </w:p>
              </w:tc>
              <w:tc>
                <w:tcPr>
                  <w:tcW w:w="35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w:t>
                  </w:r>
                </w:p>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特性</w:t>
                  </w:r>
                </w:p>
              </w:tc>
              <w:tc>
                <w:tcPr>
                  <w:tcW w:w="540"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01"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废液压油</w:t>
                  </w:r>
                </w:p>
              </w:tc>
              <w:tc>
                <w:tcPr>
                  <w:tcW w:w="473"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HW</w:t>
                  </w:r>
                  <w:r>
                    <w:rPr>
                      <w:rFonts w:hint="eastAsia"/>
                      <w:bCs/>
                      <w:color w:val="000000" w:themeColor="text1"/>
                      <w:szCs w:val="21"/>
                      <w14:textFill>
                        <w14:solidFill>
                          <w14:schemeClr w14:val="tx1"/>
                        </w14:solidFill>
                      </w14:textFill>
                    </w:rPr>
                    <w:t>08</w:t>
                  </w:r>
                </w:p>
              </w:tc>
              <w:tc>
                <w:tcPr>
                  <w:tcW w:w="54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900-218-08</w:t>
                  </w:r>
                </w:p>
              </w:tc>
              <w:tc>
                <w:tcPr>
                  <w:tcW w:w="535"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w:t>
                  </w: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t/a</w:t>
                  </w:r>
                </w:p>
              </w:tc>
              <w:tc>
                <w:tcPr>
                  <w:tcW w:w="417"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设备防护</w:t>
                  </w:r>
                </w:p>
              </w:tc>
              <w:tc>
                <w:tcPr>
                  <w:tcW w:w="382"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液</w:t>
                  </w:r>
                  <w:r>
                    <w:rPr>
                      <w:color w:val="000000" w:themeColor="text1"/>
                      <w:szCs w:val="21"/>
                      <w14:textFill>
                        <w14:solidFill>
                          <w14:schemeClr w14:val="tx1"/>
                        </w14:solidFill>
                      </w14:textFill>
                    </w:rPr>
                    <w:t>态</w:t>
                  </w:r>
                </w:p>
              </w:tc>
              <w:tc>
                <w:tcPr>
                  <w:tcW w:w="390"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废矿物油</w:t>
                  </w:r>
                </w:p>
              </w:tc>
              <w:tc>
                <w:tcPr>
                  <w:tcW w:w="286"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烃</w:t>
                  </w:r>
                </w:p>
              </w:tc>
              <w:tc>
                <w:tcPr>
                  <w:tcW w:w="42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1年</w:t>
                  </w:r>
                </w:p>
              </w:tc>
              <w:tc>
                <w:tcPr>
                  <w:tcW w:w="354" w:type="pct"/>
                  <w:tcBorders>
                    <w:tl2br w:val="nil"/>
                    <w:tr2bl w:val="nil"/>
                  </w:tcBorders>
                  <w:vAlign w:val="center"/>
                </w:tcPr>
                <w:p>
                  <w:pPr>
                    <w:shd w:val="clear" w:color="auto" w:fill="F2F6FC"/>
                    <w:spacing w:line="32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T</w:t>
                  </w:r>
                </w:p>
              </w:tc>
              <w:tc>
                <w:tcPr>
                  <w:tcW w:w="540" w:type="pct"/>
                  <w:vMerge w:val="restar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收集于</w:t>
                  </w:r>
                  <w:r>
                    <w:rPr>
                      <w:bCs/>
                      <w:color w:val="000000" w:themeColor="text1"/>
                      <w:szCs w:val="21"/>
                      <w14:textFill>
                        <w14:solidFill>
                          <w14:schemeClr w14:val="tx1"/>
                        </w14:solidFill>
                      </w14:textFill>
                    </w:rPr>
                    <w:t>危废暂存</w:t>
                  </w:r>
                  <w:r>
                    <w:rPr>
                      <w:rFonts w:hint="eastAsia"/>
                      <w:bCs/>
                      <w:color w:val="000000" w:themeColor="text1"/>
                      <w:szCs w:val="21"/>
                      <w14:textFill>
                        <w14:solidFill>
                          <w14:schemeClr w14:val="tx1"/>
                        </w14:solidFill>
                      </w14:textFill>
                    </w:rPr>
                    <w:t>区</w:t>
                  </w:r>
                  <w:r>
                    <w:rPr>
                      <w:bCs/>
                      <w:color w:val="000000" w:themeColor="text1"/>
                      <w:szCs w:val="21"/>
                      <w14:textFill>
                        <w14:solidFill>
                          <w14:schemeClr w14:val="tx1"/>
                        </w14:solidFill>
                      </w14:textFill>
                    </w:rPr>
                    <w:t>临时存储，定期委托有资质公司安全处置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01"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废磷化液桶</w:t>
                  </w:r>
                </w:p>
              </w:tc>
              <w:tc>
                <w:tcPr>
                  <w:tcW w:w="47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54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535"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4个/a</w:t>
                  </w:r>
                </w:p>
              </w:tc>
              <w:tc>
                <w:tcPr>
                  <w:tcW w:w="417"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人工磷化除锈</w:t>
                  </w:r>
                </w:p>
              </w:tc>
              <w:tc>
                <w:tcPr>
                  <w:tcW w:w="382"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390" w:type="pct"/>
                  <w:tcBorders>
                    <w:tl2br w:val="nil"/>
                    <w:tr2bl w:val="nil"/>
                  </w:tcBorders>
                  <w:vAlign w:val="center"/>
                </w:tcPr>
                <w:p>
                  <w:pPr>
                    <w:widowControl/>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含磷化液废物</w:t>
                  </w:r>
                </w:p>
              </w:tc>
              <w:tc>
                <w:tcPr>
                  <w:tcW w:w="28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磷化液</w:t>
                  </w:r>
                </w:p>
              </w:tc>
              <w:tc>
                <w:tcPr>
                  <w:tcW w:w="42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1年</w:t>
                  </w:r>
                </w:p>
              </w:tc>
              <w:tc>
                <w:tcPr>
                  <w:tcW w:w="354" w:type="pct"/>
                  <w:tcBorders>
                    <w:tl2br w:val="nil"/>
                    <w:tr2bl w:val="nil"/>
                  </w:tcBorders>
                  <w:vAlign w:val="center"/>
                </w:tcPr>
                <w:p>
                  <w:pPr>
                    <w:shd w:val="clear" w:color="auto" w:fill="F2F6FC"/>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T/In</w:t>
                  </w:r>
                </w:p>
              </w:tc>
              <w:tc>
                <w:tcPr>
                  <w:tcW w:w="540"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01"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废磷化抹布及手套</w:t>
                  </w:r>
                </w:p>
              </w:tc>
              <w:tc>
                <w:tcPr>
                  <w:tcW w:w="47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54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535"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0.05t/a</w:t>
                  </w:r>
                </w:p>
              </w:tc>
              <w:tc>
                <w:tcPr>
                  <w:tcW w:w="417"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人工磷化除锈</w:t>
                  </w:r>
                </w:p>
              </w:tc>
              <w:tc>
                <w:tcPr>
                  <w:tcW w:w="382"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390" w:type="pct"/>
                  <w:tcBorders>
                    <w:tl2br w:val="nil"/>
                    <w:tr2bl w:val="nil"/>
                  </w:tcBorders>
                  <w:vAlign w:val="center"/>
                </w:tcPr>
                <w:p>
                  <w:pPr>
                    <w:widowControl/>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含磷化液废物</w:t>
                  </w:r>
                </w:p>
              </w:tc>
              <w:tc>
                <w:tcPr>
                  <w:tcW w:w="286" w:type="pct"/>
                  <w:tcBorders>
                    <w:tl2br w:val="nil"/>
                    <w:tr2bl w:val="nil"/>
                  </w:tcBorders>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磷化液</w:t>
                  </w:r>
                </w:p>
              </w:tc>
              <w:tc>
                <w:tcPr>
                  <w:tcW w:w="42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1年</w:t>
                  </w:r>
                </w:p>
              </w:tc>
              <w:tc>
                <w:tcPr>
                  <w:tcW w:w="354" w:type="pct"/>
                  <w:tcBorders>
                    <w:tl2br w:val="nil"/>
                    <w:tr2bl w:val="nil"/>
                  </w:tcBorders>
                  <w:vAlign w:val="center"/>
                </w:tcPr>
                <w:p>
                  <w:pPr>
                    <w:shd w:val="clear" w:color="auto" w:fill="F2F6FC"/>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 xml:space="preserve">T/In </w:t>
                  </w:r>
                </w:p>
              </w:tc>
              <w:tc>
                <w:tcPr>
                  <w:tcW w:w="540"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401"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废UV灯管</w:t>
                  </w:r>
                </w:p>
              </w:tc>
              <w:tc>
                <w:tcPr>
                  <w:tcW w:w="47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HW29</w:t>
                  </w:r>
                </w:p>
              </w:tc>
              <w:tc>
                <w:tcPr>
                  <w:tcW w:w="54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900-023-29</w:t>
                  </w:r>
                </w:p>
              </w:tc>
              <w:tc>
                <w:tcPr>
                  <w:tcW w:w="535"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0.01t/a</w:t>
                  </w:r>
                </w:p>
              </w:tc>
              <w:tc>
                <w:tcPr>
                  <w:tcW w:w="417" w:type="pct"/>
                  <w:vMerge w:val="restar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有机废气处理装置</w:t>
                  </w:r>
                </w:p>
              </w:tc>
              <w:tc>
                <w:tcPr>
                  <w:tcW w:w="382"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390" w:type="pct"/>
                  <w:vMerge w:val="restart"/>
                  <w:tcBorders>
                    <w:tl2br w:val="nil"/>
                    <w:tr2bl w:val="nil"/>
                  </w:tcBorders>
                  <w:vAlign w:val="center"/>
                </w:tcPr>
                <w:p>
                  <w:pPr>
                    <w:topLinePunct/>
                    <w:adjustRightInd w:val="0"/>
                    <w:snapToGrid w:val="0"/>
                    <w:spacing w:line="320" w:lineRule="exact"/>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废活性炭及有机物</w:t>
                  </w:r>
                </w:p>
                <w:p>
                  <w:pPr>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含汞废物</w:t>
                  </w:r>
                </w:p>
              </w:tc>
              <w:tc>
                <w:tcPr>
                  <w:tcW w:w="286"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汞</w:t>
                  </w:r>
                </w:p>
              </w:tc>
              <w:tc>
                <w:tcPr>
                  <w:tcW w:w="42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1年</w:t>
                  </w:r>
                </w:p>
              </w:tc>
              <w:tc>
                <w:tcPr>
                  <w:tcW w:w="354" w:type="pct"/>
                  <w:tcBorders>
                    <w:tl2br w:val="nil"/>
                    <w:tr2bl w:val="nil"/>
                  </w:tcBorders>
                  <w:vAlign w:val="center"/>
                </w:tcPr>
                <w:p>
                  <w:pPr>
                    <w:shd w:val="clear" w:color="auto" w:fill="F2F6FC"/>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w:t>
                  </w:r>
                </w:p>
              </w:tc>
              <w:tc>
                <w:tcPr>
                  <w:tcW w:w="540"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401"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废活性炭</w:t>
                  </w:r>
                </w:p>
              </w:tc>
              <w:tc>
                <w:tcPr>
                  <w:tcW w:w="47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54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bCs/>
                      <w:color w:val="000000" w:themeColor="text1"/>
                      <w14:textFill>
                        <w14:solidFill>
                          <w14:schemeClr w14:val="tx1"/>
                        </w14:solidFill>
                      </w14:textFill>
                    </w:rPr>
                    <w:t>900-039-49</w:t>
                  </w:r>
                </w:p>
              </w:tc>
              <w:tc>
                <w:tcPr>
                  <w:tcW w:w="535" w:type="pct"/>
                  <w:tcBorders>
                    <w:tl2br w:val="nil"/>
                    <w:tr2bl w:val="nil"/>
                  </w:tcBorders>
                  <w:vAlign w:val="center"/>
                </w:tcPr>
                <w:p>
                  <w:pPr>
                    <w:widowControl/>
                    <w:topLinePunct/>
                    <w:adjustRightInd w:val="0"/>
                    <w:snapToGrid w:val="0"/>
                    <w:spacing w:line="320" w:lineRule="exact"/>
                    <w:jc w:val="center"/>
                    <w:rPr>
                      <w:b/>
                      <w:bCs/>
                      <w:color w:val="000000" w:themeColor="text1"/>
                      <w:szCs w:val="21"/>
                      <w:u w:val="single"/>
                      <w14:textFill>
                        <w14:solidFill>
                          <w14:schemeClr w14:val="tx1"/>
                        </w14:solidFill>
                      </w14:textFill>
                    </w:rPr>
                  </w:pPr>
                  <w:r>
                    <w:rPr>
                      <w:rFonts w:hint="eastAsia"/>
                      <w:b/>
                      <w:bCs/>
                      <w:color w:val="000000" w:themeColor="text1"/>
                      <w:u w:val="single"/>
                      <w14:textFill>
                        <w14:solidFill>
                          <w14:schemeClr w14:val="tx1"/>
                        </w14:solidFill>
                      </w14:textFill>
                    </w:rPr>
                    <w:t>0.</w:t>
                  </w:r>
                  <w:r>
                    <w:rPr>
                      <w:rFonts w:hint="eastAsia"/>
                      <w:b/>
                      <w:bCs/>
                      <w:color w:val="000000" w:themeColor="text1"/>
                      <w:u w:val="single"/>
                      <w:lang w:val="en-US" w:eastAsia="zh-CN"/>
                      <w14:textFill>
                        <w14:solidFill>
                          <w14:schemeClr w14:val="tx1"/>
                        </w14:solidFill>
                      </w14:textFill>
                    </w:rPr>
                    <w:t>136</w:t>
                  </w:r>
                  <w:r>
                    <w:rPr>
                      <w:b/>
                      <w:bCs/>
                      <w:color w:val="000000" w:themeColor="text1"/>
                      <w:u w:val="single"/>
                      <w14:textFill>
                        <w14:solidFill>
                          <w14:schemeClr w14:val="tx1"/>
                        </w14:solidFill>
                      </w14:textFill>
                    </w:rPr>
                    <w:t>t/a</w:t>
                  </w:r>
                </w:p>
              </w:tc>
              <w:tc>
                <w:tcPr>
                  <w:tcW w:w="417" w:type="pct"/>
                  <w:vMerge w:val="continue"/>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p>
              </w:tc>
              <w:tc>
                <w:tcPr>
                  <w:tcW w:w="382"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390" w:type="pct"/>
                  <w:vMerge w:val="continue"/>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p>
              </w:tc>
              <w:tc>
                <w:tcPr>
                  <w:tcW w:w="286"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挥发性有机物</w:t>
                  </w:r>
                </w:p>
              </w:tc>
              <w:tc>
                <w:tcPr>
                  <w:tcW w:w="424"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3个月</w:t>
                  </w:r>
                </w:p>
              </w:tc>
              <w:tc>
                <w:tcPr>
                  <w:tcW w:w="354" w:type="pct"/>
                  <w:tcBorders>
                    <w:tl2br w:val="nil"/>
                    <w:tr2bl w:val="nil"/>
                  </w:tcBorders>
                  <w:vAlign w:val="center"/>
                </w:tcPr>
                <w:p>
                  <w:pPr>
                    <w:shd w:val="clear" w:color="auto" w:fill="F2F6FC"/>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T</w:t>
                  </w:r>
                </w:p>
              </w:tc>
              <w:tc>
                <w:tcPr>
                  <w:tcW w:w="540"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r>
          </w:tbl>
          <w:p>
            <w:pPr>
              <w:topLinePunct/>
              <w:spacing w:line="400" w:lineRule="exact"/>
              <w:ind w:firstLine="482" w:firstLineChars="200"/>
              <w:rPr>
                <w:rFonts w:cs="Calibri"/>
                <w:b/>
                <w:bCs/>
                <w:color w:val="000000" w:themeColor="text1"/>
                <w:sz w:val="24"/>
                <w14:textFill>
                  <w14:solidFill>
                    <w14:schemeClr w14:val="tx1"/>
                  </w14:solidFill>
                </w14:textFill>
              </w:rPr>
            </w:pPr>
            <w:r>
              <w:rPr>
                <w:rFonts w:hint="eastAsia" w:cs="Calibri"/>
                <w:b/>
                <w:bCs/>
                <w:color w:val="000000" w:themeColor="text1"/>
                <w:sz w:val="24"/>
                <w14:textFill>
                  <w14:solidFill>
                    <w14:schemeClr w14:val="tx1"/>
                  </w14:solidFill>
                </w14:textFill>
              </w:rPr>
              <w:t>表</w:t>
            </w:r>
            <w:r>
              <w:rPr>
                <w:rFonts w:hint="eastAsia"/>
                <w:b/>
                <w:bCs/>
                <w:color w:val="000000" w:themeColor="text1"/>
                <w:sz w:val="24"/>
                <w:lang w:val="en-US" w:eastAsia="zh-CN"/>
                <w14:textFill>
                  <w14:solidFill>
                    <w14:schemeClr w14:val="tx1"/>
                  </w14:solidFill>
                </w14:textFill>
              </w:rPr>
              <w:t>28</w:t>
            </w:r>
            <w:r>
              <w:rPr>
                <w:b/>
                <w:bCs/>
                <w:color w:val="000000" w:themeColor="text1"/>
                <w:sz w:val="24"/>
                <w14:textFill>
                  <w14:solidFill>
                    <w14:schemeClr w14:val="tx1"/>
                  </w14:solidFill>
                </w14:textFill>
              </w:rPr>
              <w:t xml:space="preserve"> </w:t>
            </w:r>
            <w:r>
              <w:rPr>
                <w:rFonts w:hint="eastAsia" w:cs="Calibri"/>
                <w:b/>
                <w:bCs/>
                <w:color w:val="000000" w:themeColor="text1"/>
                <w:sz w:val="24"/>
                <w14:textFill>
                  <w14:solidFill>
                    <w14:schemeClr w14:val="tx1"/>
                  </w14:solidFill>
                </w14:textFill>
              </w:rPr>
              <w:t xml:space="preserve">     建设项目危险废物贮存场所（设施）基本情况一览表</w:t>
            </w:r>
          </w:p>
          <w:tbl>
            <w:tblPr>
              <w:tblStyle w:val="19"/>
              <w:tblW w:w="499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095"/>
              <w:gridCol w:w="795"/>
              <w:gridCol w:w="1237"/>
              <w:gridCol w:w="830"/>
              <w:gridCol w:w="708"/>
              <w:gridCol w:w="956"/>
              <w:gridCol w:w="785"/>
              <w:gridCol w:w="8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34"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贮存场所（设施）</w:t>
                  </w:r>
                </w:p>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名称</w:t>
                  </w:r>
                </w:p>
              </w:tc>
              <w:tc>
                <w:tcPr>
                  <w:tcW w:w="65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危险废物名称</w:t>
                  </w:r>
                </w:p>
              </w:tc>
              <w:tc>
                <w:tcPr>
                  <w:tcW w:w="475"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危险废物类别</w:t>
                  </w:r>
                </w:p>
              </w:tc>
              <w:tc>
                <w:tcPr>
                  <w:tcW w:w="738"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危险废物代码</w:t>
                  </w:r>
                </w:p>
              </w:tc>
              <w:tc>
                <w:tcPr>
                  <w:tcW w:w="496"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位置</w:t>
                  </w:r>
                </w:p>
              </w:tc>
              <w:tc>
                <w:tcPr>
                  <w:tcW w:w="42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占地</w:t>
                  </w:r>
                </w:p>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面积</w:t>
                  </w:r>
                </w:p>
              </w:tc>
              <w:tc>
                <w:tcPr>
                  <w:tcW w:w="571"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贮存</w:t>
                  </w:r>
                </w:p>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方式</w:t>
                  </w:r>
                </w:p>
              </w:tc>
              <w:tc>
                <w:tcPr>
                  <w:tcW w:w="469"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贮存</w:t>
                  </w:r>
                </w:p>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能力</w:t>
                  </w:r>
                </w:p>
              </w:tc>
              <w:tc>
                <w:tcPr>
                  <w:tcW w:w="537"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贮存</w:t>
                  </w:r>
                </w:p>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34" w:type="pct"/>
                  <w:vMerge w:val="restar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危废</w:t>
                  </w:r>
                </w:p>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暂存</w:t>
                  </w:r>
                  <w:r>
                    <w:rPr>
                      <w:rFonts w:hint="eastAsia"/>
                      <w:bCs/>
                      <w:color w:val="000000" w:themeColor="text1"/>
                      <w:szCs w:val="21"/>
                      <w14:textFill>
                        <w14:solidFill>
                          <w14:schemeClr w14:val="tx1"/>
                        </w14:solidFill>
                      </w14:textFill>
                    </w:rPr>
                    <w:t>间</w:t>
                  </w:r>
                </w:p>
              </w:tc>
              <w:tc>
                <w:tcPr>
                  <w:tcW w:w="653"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废液压油</w:t>
                  </w:r>
                </w:p>
              </w:tc>
              <w:tc>
                <w:tcPr>
                  <w:tcW w:w="475"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HW</w:t>
                  </w:r>
                  <w:r>
                    <w:rPr>
                      <w:rFonts w:hint="eastAsia"/>
                      <w:bCs/>
                      <w:color w:val="000000" w:themeColor="text1"/>
                      <w:szCs w:val="21"/>
                      <w14:textFill>
                        <w14:solidFill>
                          <w14:schemeClr w14:val="tx1"/>
                        </w14:solidFill>
                      </w14:textFill>
                    </w:rPr>
                    <w:t>08</w:t>
                  </w:r>
                </w:p>
              </w:tc>
              <w:tc>
                <w:tcPr>
                  <w:tcW w:w="73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900-218-08</w:t>
                  </w:r>
                </w:p>
              </w:tc>
              <w:tc>
                <w:tcPr>
                  <w:tcW w:w="496" w:type="pct"/>
                  <w:vMerge w:val="restar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生产</w:t>
                  </w:r>
                </w:p>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车间</w:t>
                  </w:r>
                </w:p>
              </w:tc>
              <w:tc>
                <w:tcPr>
                  <w:tcW w:w="423" w:type="pct"/>
                  <w:vMerge w:val="restar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w:t>
                  </w:r>
                  <w:r>
                    <w:rPr>
                      <w:bCs/>
                      <w:color w:val="000000" w:themeColor="text1"/>
                      <w:szCs w:val="21"/>
                      <w14:textFill>
                        <w14:solidFill>
                          <w14:schemeClr w14:val="tx1"/>
                        </w14:solidFill>
                      </w14:textFill>
                    </w:rPr>
                    <w:t>m</w:t>
                  </w:r>
                  <w:r>
                    <w:rPr>
                      <w:bCs/>
                      <w:color w:val="000000" w:themeColor="text1"/>
                      <w:szCs w:val="21"/>
                      <w:vertAlign w:val="superscript"/>
                      <w14:textFill>
                        <w14:solidFill>
                          <w14:schemeClr w14:val="tx1"/>
                        </w14:solidFill>
                      </w14:textFill>
                    </w:rPr>
                    <w:t>2</w:t>
                  </w:r>
                </w:p>
              </w:tc>
              <w:tc>
                <w:tcPr>
                  <w:tcW w:w="571" w:type="pct"/>
                  <w:vMerge w:val="restar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专用储存容器</w:t>
                  </w:r>
                  <w:r>
                    <w:rPr>
                      <w:rFonts w:hint="eastAsia"/>
                      <w:bCs/>
                      <w:color w:val="000000" w:themeColor="text1"/>
                      <w:szCs w:val="21"/>
                      <w14:textFill>
                        <w14:solidFill>
                          <w14:schemeClr w14:val="tx1"/>
                        </w14:solidFill>
                      </w14:textFill>
                    </w:rPr>
                    <w:t>，分类放置</w:t>
                  </w:r>
                </w:p>
              </w:tc>
              <w:tc>
                <w:tcPr>
                  <w:tcW w:w="785" w:type="dxa"/>
                  <w:tcBorders>
                    <w:tl2br w:val="nil"/>
                    <w:tr2bl w:val="nil"/>
                  </w:tcBorders>
                  <w:vAlign w:val="center"/>
                </w:tcPr>
                <w:p>
                  <w:pPr>
                    <w:widowControl/>
                    <w:topLinePunct/>
                    <w:adjustRightInd w:val="0"/>
                    <w:snapToGrid w:val="0"/>
                    <w:spacing w:line="32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w:t>
                  </w: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t/a</w:t>
                  </w:r>
                </w:p>
              </w:tc>
              <w:tc>
                <w:tcPr>
                  <w:tcW w:w="537"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34"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65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废磷化液桶</w:t>
                  </w:r>
                </w:p>
              </w:tc>
              <w:tc>
                <w:tcPr>
                  <w:tcW w:w="475"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73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496"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423"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571"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785" w:type="dxa"/>
                  <w:tcBorders>
                    <w:tl2br w:val="nil"/>
                    <w:tr2bl w:val="nil"/>
                  </w:tcBorders>
                  <w:vAlign w:val="center"/>
                </w:tcPr>
                <w:p>
                  <w:pPr>
                    <w:widowControl/>
                    <w:topLinePunct/>
                    <w:adjustRightInd w:val="0"/>
                    <w:snapToGrid w:val="0"/>
                    <w:spacing w:line="32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4个/a</w:t>
                  </w:r>
                </w:p>
              </w:tc>
              <w:tc>
                <w:tcPr>
                  <w:tcW w:w="537"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34"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65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废磷化抹布及手套</w:t>
                  </w:r>
                </w:p>
              </w:tc>
              <w:tc>
                <w:tcPr>
                  <w:tcW w:w="475"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73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496"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423"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571"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785" w:type="dxa"/>
                  <w:tcBorders>
                    <w:tl2br w:val="nil"/>
                    <w:tr2bl w:val="nil"/>
                  </w:tcBorders>
                  <w:vAlign w:val="center"/>
                </w:tcPr>
                <w:p>
                  <w:pPr>
                    <w:widowControl/>
                    <w:topLinePunct/>
                    <w:adjustRightInd w:val="0"/>
                    <w:snapToGrid w:val="0"/>
                    <w:spacing w:line="32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0.05t/a</w:t>
                  </w:r>
                </w:p>
              </w:tc>
              <w:tc>
                <w:tcPr>
                  <w:tcW w:w="537"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34"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65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废UV灯管</w:t>
                  </w:r>
                </w:p>
              </w:tc>
              <w:tc>
                <w:tcPr>
                  <w:tcW w:w="475"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HW29</w:t>
                  </w:r>
                </w:p>
              </w:tc>
              <w:tc>
                <w:tcPr>
                  <w:tcW w:w="73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900-023-29</w:t>
                  </w:r>
                </w:p>
              </w:tc>
              <w:tc>
                <w:tcPr>
                  <w:tcW w:w="496"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423"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571"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785" w:type="dxa"/>
                  <w:tcBorders>
                    <w:tl2br w:val="nil"/>
                    <w:tr2bl w:val="nil"/>
                  </w:tcBorders>
                  <w:vAlign w:val="center"/>
                </w:tcPr>
                <w:p>
                  <w:pPr>
                    <w:widowControl/>
                    <w:topLinePunct/>
                    <w:adjustRightInd w:val="0"/>
                    <w:snapToGrid w:val="0"/>
                    <w:spacing w:line="32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0.01t/a</w:t>
                  </w:r>
                </w:p>
              </w:tc>
              <w:tc>
                <w:tcPr>
                  <w:tcW w:w="537"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34"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653"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废活性炭</w:t>
                  </w:r>
                </w:p>
              </w:tc>
              <w:tc>
                <w:tcPr>
                  <w:tcW w:w="475"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73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bCs/>
                      <w:color w:val="000000" w:themeColor="text1"/>
                      <w14:textFill>
                        <w14:solidFill>
                          <w14:schemeClr w14:val="tx1"/>
                        </w14:solidFill>
                      </w14:textFill>
                    </w:rPr>
                    <w:t>900-039-49</w:t>
                  </w:r>
                </w:p>
              </w:tc>
              <w:tc>
                <w:tcPr>
                  <w:tcW w:w="496"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423"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571" w:type="pct"/>
                  <w:vMerge w:val="continue"/>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p>
              </w:tc>
              <w:tc>
                <w:tcPr>
                  <w:tcW w:w="785" w:type="dxa"/>
                  <w:tcBorders>
                    <w:tl2br w:val="nil"/>
                    <w:tr2bl w:val="nil"/>
                  </w:tcBorders>
                  <w:vAlign w:val="center"/>
                </w:tcPr>
                <w:p>
                  <w:pPr>
                    <w:widowControl/>
                    <w:topLinePunct/>
                    <w:adjustRightInd w:val="0"/>
                    <w:snapToGrid w:val="0"/>
                    <w:spacing w:line="320" w:lineRule="exact"/>
                    <w:jc w:val="center"/>
                    <w:rPr>
                      <w:b/>
                      <w:bCs/>
                      <w:color w:val="000000" w:themeColor="text1"/>
                      <w:szCs w:val="21"/>
                      <w:u w:val="single"/>
                      <w14:textFill>
                        <w14:solidFill>
                          <w14:schemeClr w14:val="tx1"/>
                        </w14:solidFill>
                      </w14:textFill>
                    </w:rPr>
                  </w:pPr>
                  <w:r>
                    <w:rPr>
                      <w:rFonts w:hint="eastAsia"/>
                      <w:b/>
                      <w:bCs/>
                      <w:color w:val="000000" w:themeColor="text1"/>
                      <w:u w:val="single"/>
                      <w14:textFill>
                        <w14:solidFill>
                          <w14:schemeClr w14:val="tx1"/>
                        </w14:solidFill>
                      </w14:textFill>
                    </w:rPr>
                    <w:t>0.</w:t>
                  </w:r>
                  <w:r>
                    <w:rPr>
                      <w:rFonts w:hint="eastAsia"/>
                      <w:b/>
                      <w:bCs/>
                      <w:color w:val="000000" w:themeColor="text1"/>
                      <w:u w:val="single"/>
                      <w:lang w:val="en-US" w:eastAsia="zh-CN"/>
                      <w14:textFill>
                        <w14:solidFill>
                          <w14:schemeClr w14:val="tx1"/>
                        </w14:solidFill>
                      </w14:textFill>
                    </w:rPr>
                    <w:t>136</w:t>
                  </w:r>
                  <w:r>
                    <w:rPr>
                      <w:b/>
                      <w:bCs/>
                      <w:color w:val="000000" w:themeColor="text1"/>
                      <w:u w:val="single"/>
                      <w14:textFill>
                        <w14:solidFill>
                          <w14:schemeClr w14:val="tx1"/>
                        </w14:solidFill>
                      </w14:textFill>
                    </w:rPr>
                    <w:t>t/a</w:t>
                  </w:r>
                </w:p>
              </w:tc>
              <w:tc>
                <w:tcPr>
                  <w:tcW w:w="537" w:type="pct"/>
                  <w:tcBorders>
                    <w:tl2br w:val="nil"/>
                    <w:tr2bl w:val="nil"/>
                  </w:tcBorders>
                  <w:vAlign w:val="center"/>
                </w:tcPr>
                <w:p>
                  <w:pPr>
                    <w:topLinePunct/>
                    <w:adjustRightInd w:val="0"/>
                    <w:snapToGrid w:val="0"/>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1年</w:t>
                  </w:r>
                </w:p>
              </w:tc>
            </w:tr>
          </w:tbl>
          <w:p>
            <w:pPr>
              <w:widowControl/>
              <w:snapToGrid w:val="0"/>
              <w:spacing w:line="400" w:lineRule="exact"/>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lang w:val="en-US" w:eastAsia="zh-CN"/>
                <w14:textFill>
                  <w14:solidFill>
                    <w14:schemeClr w14:val="tx1"/>
                  </w14:solidFill>
                </w14:textFill>
              </w:rPr>
              <w:t>29</w:t>
            </w:r>
            <w:r>
              <w:rPr>
                <w:b/>
                <w:bCs/>
                <w:color w:val="000000" w:themeColor="text1"/>
                <w:sz w:val="24"/>
                <w14:textFill>
                  <w14:solidFill>
                    <w14:schemeClr w14:val="tx1"/>
                  </w14:solidFill>
                </w14:textFill>
              </w:rPr>
              <w:t xml:space="preserve">            本项目固体废物鉴别及处置一览表</w:t>
            </w:r>
          </w:p>
          <w:tbl>
            <w:tblPr>
              <w:tblStyle w:val="1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04"/>
              <w:gridCol w:w="1024"/>
              <w:gridCol w:w="1524"/>
              <w:gridCol w:w="1113"/>
              <w:gridCol w:w="1264"/>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777"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主要成分</w:t>
                  </w:r>
                </w:p>
              </w:tc>
              <w:tc>
                <w:tcPr>
                  <w:tcW w:w="61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908"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固体</w:t>
                  </w:r>
                  <w:r>
                    <w:rPr>
                      <w:color w:val="000000" w:themeColor="text1"/>
                      <w:szCs w:val="21"/>
                      <w14:textFill>
                        <w14:solidFill>
                          <w14:schemeClr w14:val="tx1"/>
                        </w14:solidFill>
                      </w14:textFill>
                    </w:rPr>
                    <w:t>废物编号</w:t>
                  </w:r>
                </w:p>
              </w:tc>
              <w:tc>
                <w:tcPr>
                  <w:tcW w:w="66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9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77"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61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2.25</w:t>
                  </w:r>
                  <w:r>
                    <w:rPr>
                      <w:color w:val="000000" w:themeColor="text1"/>
                      <w:szCs w:val="21"/>
                      <w14:textFill>
                        <w14:solidFill>
                          <w14:schemeClr w14:val="tx1"/>
                        </w14:solidFill>
                      </w14:textFill>
                    </w:rPr>
                    <w:t>t/a</w:t>
                  </w:r>
                </w:p>
              </w:tc>
              <w:tc>
                <w:tcPr>
                  <w:tcW w:w="908"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6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一般固废</w:t>
                  </w:r>
                </w:p>
              </w:tc>
              <w:tc>
                <w:tcPr>
                  <w:tcW w:w="9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77"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废金属边角料</w:t>
                  </w:r>
                </w:p>
              </w:tc>
              <w:tc>
                <w:tcPr>
                  <w:tcW w:w="61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t/a</w:t>
                  </w:r>
                </w:p>
              </w:tc>
              <w:tc>
                <w:tcPr>
                  <w:tcW w:w="908" w:type="pct"/>
                  <w:tcBorders>
                    <w:tl2br w:val="nil"/>
                    <w:tr2bl w:val="nil"/>
                  </w:tcBorders>
                  <w:vAlign w:val="center"/>
                </w:tcPr>
                <w:p>
                  <w:pPr>
                    <w:widowControl/>
                    <w:spacing w:line="320" w:lineRule="exact"/>
                    <w:contextualSpacing/>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213-001-09</w:t>
                  </w:r>
                </w:p>
              </w:tc>
              <w:tc>
                <w:tcPr>
                  <w:tcW w:w="66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一般固废</w:t>
                  </w:r>
                </w:p>
              </w:tc>
              <w:tc>
                <w:tcPr>
                  <w:tcW w:w="953" w:type="pct"/>
                  <w:vMerge w:val="restar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777"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废纸箱</w:t>
                  </w:r>
                </w:p>
              </w:tc>
              <w:tc>
                <w:tcPr>
                  <w:tcW w:w="61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0.1t/a</w:t>
                  </w:r>
                </w:p>
              </w:tc>
              <w:tc>
                <w:tcPr>
                  <w:tcW w:w="908" w:type="pct"/>
                  <w:tcBorders>
                    <w:tl2br w:val="nil"/>
                    <w:tr2bl w:val="nil"/>
                  </w:tcBorders>
                  <w:vAlign w:val="center"/>
                </w:tcPr>
                <w:p>
                  <w:pPr>
                    <w:widowControl/>
                    <w:spacing w:line="320" w:lineRule="exact"/>
                    <w:contextualSpacing/>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213-001-07</w:t>
                  </w:r>
                </w:p>
              </w:tc>
              <w:tc>
                <w:tcPr>
                  <w:tcW w:w="66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一般固废</w:t>
                  </w:r>
                </w:p>
              </w:tc>
              <w:tc>
                <w:tcPr>
                  <w:tcW w:w="953" w:type="pct"/>
                  <w:vMerge w:val="continue"/>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777"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旋风除尘器回收塑粉</w:t>
                  </w:r>
                </w:p>
              </w:tc>
              <w:tc>
                <w:tcPr>
                  <w:tcW w:w="61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8.16t/a</w:t>
                  </w:r>
                </w:p>
              </w:tc>
              <w:tc>
                <w:tcPr>
                  <w:tcW w:w="908"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213-001-99</w:t>
                  </w:r>
                </w:p>
              </w:tc>
              <w:tc>
                <w:tcPr>
                  <w:tcW w:w="66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一般固废</w:t>
                  </w:r>
                </w:p>
              </w:tc>
              <w:tc>
                <w:tcPr>
                  <w:tcW w:w="953" w:type="pct"/>
                  <w:vMerge w:val="continue"/>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777"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废滤筒</w:t>
                  </w:r>
                </w:p>
              </w:tc>
              <w:tc>
                <w:tcPr>
                  <w:tcW w:w="61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15个/a</w:t>
                  </w:r>
                </w:p>
              </w:tc>
              <w:tc>
                <w:tcPr>
                  <w:tcW w:w="908"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213-001-99</w:t>
                  </w:r>
                </w:p>
              </w:tc>
              <w:tc>
                <w:tcPr>
                  <w:tcW w:w="66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一般固废</w:t>
                  </w:r>
                </w:p>
              </w:tc>
              <w:tc>
                <w:tcPr>
                  <w:tcW w:w="9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77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废液压油</w:t>
                  </w:r>
                </w:p>
              </w:tc>
              <w:tc>
                <w:tcPr>
                  <w:tcW w:w="611"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w:t>
                  </w: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t/a</w:t>
                  </w:r>
                </w:p>
              </w:tc>
              <w:tc>
                <w:tcPr>
                  <w:tcW w:w="90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900-218-08</w:t>
                  </w:r>
                </w:p>
              </w:tc>
              <w:tc>
                <w:tcPr>
                  <w:tcW w:w="663"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HW</w:t>
                  </w:r>
                  <w:r>
                    <w:rPr>
                      <w:rFonts w:hint="eastAsia"/>
                      <w:bCs/>
                      <w:color w:val="000000" w:themeColor="text1"/>
                      <w:szCs w:val="21"/>
                      <w14:textFill>
                        <w14:solidFill>
                          <w14:schemeClr w14:val="tx1"/>
                        </w14:solidFill>
                      </w14:textFill>
                    </w:rPr>
                    <w:t>08</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953" w:type="pct"/>
                  <w:vMerge w:val="restar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定期委托具有危废经营资质单位安全处置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77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废磷化液桶</w:t>
                  </w:r>
                </w:p>
              </w:tc>
              <w:tc>
                <w:tcPr>
                  <w:tcW w:w="611"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4个/a</w:t>
                  </w:r>
                </w:p>
              </w:tc>
              <w:tc>
                <w:tcPr>
                  <w:tcW w:w="90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663"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953" w:type="pct"/>
                  <w:vMerge w:val="continue"/>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77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废磷化抹布及手套</w:t>
                  </w:r>
                </w:p>
              </w:tc>
              <w:tc>
                <w:tcPr>
                  <w:tcW w:w="611"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0.05t/a</w:t>
                  </w:r>
                </w:p>
              </w:tc>
              <w:tc>
                <w:tcPr>
                  <w:tcW w:w="90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900-041-49</w:t>
                  </w:r>
                </w:p>
              </w:tc>
              <w:tc>
                <w:tcPr>
                  <w:tcW w:w="663"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953" w:type="pct"/>
                  <w:vMerge w:val="continue"/>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77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废UV灯管</w:t>
                  </w:r>
                </w:p>
              </w:tc>
              <w:tc>
                <w:tcPr>
                  <w:tcW w:w="611" w:type="pct"/>
                  <w:tcBorders>
                    <w:tl2br w:val="nil"/>
                    <w:tr2bl w:val="nil"/>
                  </w:tcBorders>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0.01t/a</w:t>
                  </w:r>
                </w:p>
              </w:tc>
              <w:tc>
                <w:tcPr>
                  <w:tcW w:w="90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900-023-29</w:t>
                  </w:r>
                </w:p>
              </w:tc>
              <w:tc>
                <w:tcPr>
                  <w:tcW w:w="663"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HW29</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953" w:type="pct"/>
                  <w:vMerge w:val="continue"/>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1"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777"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废活性炭</w:t>
                  </w:r>
                </w:p>
              </w:tc>
              <w:tc>
                <w:tcPr>
                  <w:tcW w:w="611" w:type="pct"/>
                  <w:tcBorders>
                    <w:tl2br w:val="nil"/>
                    <w:tr2bl w:val="nil"/>
                  </w:tcBorders>
                  <w:vAlign w:val="center"/>
                </w:tcPr>
                <w:p>
                  <w:pPr>
                    <w:widowControl/>
                    <w:topLinePunct/>
                    <w:adjustRightInd w:val="0"/>
                    <w:snapToGrid w:val="0"/>
                    <w:spacing w:line="320" w:lineRule="exact"/>
                    <w:jc w:val="center"/>
                    <w:rPr>
                      <w:b/>
                      <w:bCs/>
                      <w:color w:val="000000" w:themeColor="text1"/>
                      <w:szCs w:val="21"/>
                      <w:u w:val="single"/>
                      <w14:textFill>
                        <w14:solidFill>
                          <w14:schemeClr w14:val="tx1"/>
                        </w14:solidFill>
                      </w14:textFill>
                    </w:rPr>
                  </w:pPr>
                  <w:r>
                    <w:rPr>
                      <w:rFonts w:hint="eastAsia"/>
                      <w:b/>
                      <w:bCs/>
                      <w:color w:val="000000" w:themeColor="text1"/>
                      <w:u w:val="single"/>
                      <w14:textFill>
                        <w14:solidFill>
                          <w14:schemeClr w14:val="tx1"/>
                        </w14:solidFill>
                      </w14:textFill>
                    </w:rPr>
                    <w:t>0.</w:t>
                  </w:r>
                  <w:r>
                    <w:rPr>
                      <w:rFonts w:hint="eastAsia"/>
                      <w:b/>
                      <w:bCs/>
                      <w:color w:val="000000" w:themeColor="text1"/>
                      <w:u w:val="single"/>
                      <w:lang w:val="en-US" w:eastAsia="zh-CN"/>
                      <w14:textFill>
                        <w14:solidFill>
                          <w14:schemeClr w14:val="tx1"/>
                        </w14:solidFill>
                      </w14:textFill>
                    </w:rPr>
                    <w:t>1</w:t>
                  </w:r>
                  <w:r>
                    <w:rPr>
                      <w:rFonts w:hint="eastAsia"/>
                      <w:b/>
                      <w:bCs/>
                      <w:color w:val="000000" w:themeColor="text1"/>
                      <w:u w:val="single"/>
                      <w14:textFill>
                        <w14:solidFill>
                          <w14:schemeClr w14:val="tx1"/>
                        </w14:solidFill>
                      </w14:textFill>
                    </w:rPr>
                    <w:t>3</w:t>
                  </w:r>
                  <w:r>
                    <w:rPr>
                      <w:rFonts w:hint="eastAsia"/>
                      <w:b/>
                      <w:bCs/>
                      <w:color w:val="000000" w:themeColor="text1"/>
                      <w:u w:val="single"/>
                      <w:lang w:val="en-US" w:eastAsia="zh-CN"/>
                      <w14:textFill>
                        <w14:solidFill>
                          <w14:schemeClr w14:val="tx1"/>
                        </w14:solidFill>
                      </w14:textFill>
                    </w:rPr>
                    <w:t>6</w:t>
                  </w:r>
                  <w:r>
                    <w:rPr>
                      <w:b/>
                      <w:bCs/>
                      <w:color w:val="000000" w:themeColor="text1"/>
                      <w:u w:val="single"/>
                      <w14:textFill>
                        <w14:solidFill>
                          <w14:schemeClr w14:val="tx1"/>
                        </w14:solidFill>
                      </w14:textFill>
                    </w:rPr>
                    <w:t>t/a</w:t>
                  </w:r>
                </w:p>
              </w:tc>
              <w:tc>
                <w:tcPr>
                  <w:tcW w:w="908"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bCs/>
                      <w:color w:val="000000" w:themeColor="text1"/>
                      <w14:textFill>
                        <w14:solidFill>
                          <w14:schemeClr w14:val="tx1"/>
                        </w14:solidFill>
                      </w14:textFill>
                    </w:rPr>
                    <w:t>900-039-49</w:t>
                  </w:r>
                </w:p>
              </w:tc>
              <w:tc>
                <w:tcPr>
                  <w:tcW w:w="663" w:type="pct"/>
                  <w:tcBorders>
                    <w:tl2br w:val="nil"/>
                    <w:tr2bl w:val="nil"/>
                  </w:tcBorders>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HW49</w:t>
                  </w:r>
                </w:p>
              </w:tc>
              <w:tc>
                <w:tcPr>
                  <w:tcW w:w="753" w:type="pct"/>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w:t>
                  </w:r>
                </w:p>
              </w:tc>
              <w:tc>
                <w:tcPr>
                  <w:tcW w:w="953" w:type="pct"/>
                  <w:vMerge w:val="continue"/>
                  <w:tcBorders>
                    <w:tl2br w:val="nil"/>
                    <w:tr2bl w:val="nil"/>
                  </w:tcBorders>
                  <w:vAlign w:val="center"/>
                </w:tcPr>
                <w:p>
                  <w:pPr>
                    <w:widowControl/>
                    <w:spacing w:line="320" w:lineRule="exact"/>
                    <w:contextualSpacing/>
                    <w:jc w:val="center"/>
                    <w:rPr>
                      <w:color w:val="000000" w:themeColor="text1"/>
                      <w:szCs w:val="21"/>
                      <w14:textFill>
                        <w14:solidFill>
                          <w14:schemeClr w14:val="tx1"/>
                        </w14:solidFill>
                      </w14:textFill>
                    </w:rPr>
                  </w:pPr>
                </w:p>
              </w:tc>
            </w:tr>
          </w:tbl>
          <w:p>
            <w:pPr>
              <w:widowControl/>
              <w:snapToGrid w:val="0"/>
              <w:spacing w:line="40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5、地下水及土壤环境</w:t>
            </w:r>
          </w:p>
          <w:p>
            <w:pPr>
              <w:spacing w:line="460" w:lineRule="exact"/>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本项目</w:t>
            </w:r>
            <w:r>
              <w:rPr>
                <w:rFonts w:hint="eastAsia"/>
                <w:bCs/>
                <w:color w:val="000000" w:themeColor="text1"/>
                <w:sz w:val="24"/>
                <w14:textFill>
                  <w14:solidFill>
                    <w14:schemeClr w14:val="tx1"/>
                  </w14:solidFill>
                </w14:textFill>
              </w:rPr>
              <w:t>在现有厂房内进行建设，</w:t>
            </w:r>
            <w:r>
              <w:rPr>
                <w:bCs/>
                <w:color w:val="000000" w:themeColor="text1"/>
                <w:sz w:val="24"/>
                <w14:textFill>
                  <w14:solidFill>
                    <w14:schemeClr w14:val="tx1"/>
                  </w14:solidFill>
                </w14:textFill>
              </w:rPr>
              <w:t>排放的废气污染物主要为</w:t>
            </w:r>
            <w:r>
              <w:rPr>
                <w:rFonts w:hint="eastAsia"/>
                <w:bCs/>
                <w:color w:val="000000" w:themeColor="text1"/>
                <w:sz w:val="24"/>
                <w14:textFill>
                  <w14:solidFill>
                    <w14:schemeClr w14:val="tx1"/>
                  </w14:solidFill>
                </w14:textFill>
              </w:rPr>
              <w:t>颗粒物、非甲烷总烃</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无生产废水排放，</w:t>
            </w:r>
            <w:r>
              <w:rPr>
                <w:color w:val="000000" w:themeColor="text1"/>
                <w:sz w:val="24"/>
                <w14:textFill>
                  <w14:solidFill>
                    <w14:schemeClr w14:val="tx1"/>
                  </w14:solidFill>
                </w14:textFill>
              </w:rPr>
              <w:t>生活污水经化粪池预处理后定期清掏至周围农田施肥</w:t>
            </w:r>
            <w:r>
              <w:rPr>
                <w:rFonts w:hint="eastAsia"/>
                <w:color w:val="000000" w:themeColor="text1"/>
                <w:sz w:val="24"/>
                <w14:textFill>
                  <w14:solidFill>
                    <w14:schemeClr w14:val="tx1"/>
                  </w14:solidFill>
                </w14:textFill>
              </w:rPr>
              <w:t>，不会对地下水及土壤造成影响。对地下水及土壤环境造成影响的途径主要为危废暂存间。</w:t>
            </w:r>
          </w:p>
          <w:p>
            <w:pPr>
              <w:spacing w:line="46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本项目厂区危废暂存间严格按照《危险废物贮存 污染控制标准》（GB18597-2001）及修改单中的“四防”（防风、防雨、防晒、防渗漏）等要求进行建设：基础必须防渗，防渗层为至少1米厚粘土层（渗透系数≤10-7厘米/秒），或2毫米厚高密度聚乙烯，或至少2毫米厚的其它人工材料，渗透系数≤10-10厘米/秒。定期进行检查和维护，定期维护防渗层正常工作，加强员工管理，避免非正常泄露的产生，因此不会对土壤及地下水造成影响。</w:t>
            </w:r>
          </w:p>
          <w:p>
            <w:pPr>
              <w:spacing w:line="460" w:lineRule="exact"/>
              <w:ind w:firstLine="482" w:firstLineChars="200"/>
              <w:textAlignment w:val="baseline"/>
              <w:rPr>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6、环境风险</w:t>
            </w:r>
          </w:p>
          <w:p>
            <w:pPr>
              <w:widowControl/>
              <w:spacing w:line="460" w:lineRule="exact"/>
              <w:ind w:firstLine="482" w:firstLineChars="200"/>
              <w:textAlignment w:val="baseline"/>
              <w:rPr>
                <w:b/>
                <w:bCs/>
                <w:color w:val="000000" w:themeColor="text1"/>
                <w:sz w:val="24"/>
                <w:u w:val="single"/>
                <w14:textFill>
                  <w14:solidFill>
                    <w14:schemeClr w14:val="tx1"/>
                  </w14:solidFill>
                </w14:textFill>
              </w:rPr>
            </w:pPr>
            <w:r>
              <w:rPr>
                <w:b/>
                <w:bCs/>
                <w:color w:val="000000" w:themeColor="text1"/>
                <w:sz w:val="24"/>
                <w:u w:val="single"/>
                <w14:textFill>
                  <w14:solidFill>
                    <w14:schemeClr w14:val="tx1"/>
                  </w14:solidFill>
                </w14:textFill>
              </w:rPr>
              <w:t>6.1主要危险物质及分布</w:t>
            </w:r>
          </w:p>
          <w:p>
            <w:pPr>
              <w:widowControl/>
              <w:spacing w:line="460" w:lineRule="exact"/>
              <w:ind w:firstLine="482" w:firstLineChars="200"/>
              <w:textAlignment w:val="baseline"/>
              <w:rPr>
                <w:rFonts w:hint="default" w:eastAsia="宋体"/>
                <w:b/>
                <w:bCs/>
                <w:color w:val="000000" w:themeColor="text1"/>
                <w:sz w:val="24"/>
                <w:u w:val="single"/>
                <w:lang w:val="en-US" w:eastAsia="zh-CN"/>
                <w14:textFill>
                  <w14:solidFill>
                    <w14:schemeClr w14:val="tx1"/>
                  </w14:solidFill>
                </w14:textFill>
              </w:rPr>
            </w:pPr>
            <w:r>
              <w:rPr>
                <w:b/>
                <w:bCs/>
                <w:color w:val="000000" w:themeColor="text1"/>
                <w:sz w:val="24"/>
                <w:u w:val="single"/>
                <w14:textFill>
                  <w14:solidFill>
                    <w14:schemeClr w14:val="tx1"/>
                  </w14:solidFill>
                </w14:textFill>
              </w:rPr>
              <w:t>根据《建设项目环境风险评价技术导则》（HJ/T169-2018）附录B，本项目</w:t>
            </w:r>
            <w:r>
              <w:rPr>
                <w:rFonts w:hint="eastAsia"/>
                <w:b/>
                <w:bCs/>
                <w:color w:val="000000" w:themeColor="text1"/>
                <w:sz w:val="24"/>
                <w:u w:val="single"/>
                <w14:textFill>
                  <w14:solidFill>
                    <w14:schemeClr w14:val="tx1"/>
                  </w14:solidFill>
                </w14:textFill>
              </w:rPr>
              <w:t>涉及的</w:t>
            </w:r>
            <w:r>
              <w:rPr>
                <w:b/>
                <w:bCs/>
                <w:color w:val="000000" w:themeColor="text1"/>
                <w:sz w:val="24"/>
                <w:u w:val="single"/>
                <w14:textFill>
                  <w14:solidFill>
                    <w14:schemeClr w14:val="tx1"/>
                  </w14:solidFill>
                </w14:textFill>
              </w:rPr>
              <w:t>主要危险物质为</w:t>
            </w:r>
            <w:r>
              <w:rPr>
                <w:rFonts w:hint="eastAsia"/>
                <w:b/>
                <w:bCs/>
                <w:color w:val="000000" w:themeColor="text1"/>
                <w:sz w:val="24"/>
                <w:u w:val="single"/>
                <w:lang w:val="en-US" w:eastAsia="zh-CN"/>
                <w14:textFill>
                  <w14:solidFill>
                    <w14:schemeClr w14:val="tx1"/>
                  </w14:solidFill>
                </w14:textFill>
              </w:rPr>
              <w:t>磷化液中的磷酸</w:t>
            </w:r>
            <w:r>
              <w:rPr>
                <w:rFonts w:hint="eastAsia"/>
                <w:b/>
                <w:bCs/>
                <w:color w:val="000000" w:themeColor="text1"/>
                <w:sz w:val="24"/>
                <w:u w:val="single"/>
                <w14:textFill>
                  <w14:solidFill>
                    <w14:schemeClr w14:val="tx1"/>
                  </w14:solidFill>
                </w14:textFill>
              </w:rPr>
              <w:t>及</w:t>
            </w:r>
            <w:r>
              <w:rPr>
                <w:rFonts w:hint="eastAsia"/>
                <w:b/>
                <w:bCs/>
                <w:color w:val="000000" w:themeColor="text1"/>
                <w:sz w:val="24"/>
                <w:u w:val="single"/>
                <w:lang w:val="en-US" w:eastAsia="zh-CN"/>
                <w14:textFill>
                  <w14:solidFill>
                    <w14:schemeClr w14:val="tx1"/>
                  </w14:solidFill>
                </w14:textFill>
              </w:rPr>
              <w:t>设备更换产生的废</w:t>
            </w:r>
            <w:r>
              <w:rPr>
                <w:rFonts w:hint="eastAsia"/>
                <w:b/>
                <w:bCs/>
                <w:color w:val="000000" w:themeColor="text1"/>
                <w:sz w:val="24"/>
                <w:u w:val="single"/>
                <w14:textFill>
                  <w14:solidFill>
                    <w14:schemeClr w14:val="tx1"/>
                  </w14:solidFill>
                </w14:textFill>
              </w:rPr>
              <w:t>液压油。</w:t>
            </w:r>
            <w:r>
              <w:rPr>
                <w:rFonts w:hint="eastAsia"/>
                <w:b/>
                <w:bCs/>
                <w:color w:val="000000" w:themeColor="text1"/>
                <w:sz w:val="24"/>
                <w:u w:val="single"/>
                <w:lang w:val="en-US" w:eastAsia="zh-CN"/>
                <w14:textFill>
                  <w14:solidFill>
                    <w14:schemeClr w14:val="tx1"/>
                  </w14:solidFill>
                </w14:textFill>
              </w:rPr>
              <w:t>本项目磷化液主要分布于生产车间内，废液压油分布在危废暂存间内。</w:t>
            </w:r>
          </w:p>
          <w:p>
            <w:pPr>
              <w:snapToGrid w:val="0"/>
              <w:spacing w:line="460" w:lineRule="exact"/>
              <w:ind w:firstLine="482" w:firstLineChars="200"/>
              <w:outlineLvl w:val="1"/>
              <w:rPr>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6.</w:t>
            </w:r>
            <w:r>
              <w:rPr>
                <w:rFonts w:hint="eastAsia"/>
                <w:b/>
                <w:bCs/>
                <w:color w:val="000000" w:themeColor="text1"/>
                <w:sz w:val="24"/>
                <w:u w:val="single"/>
                <w:lang w:val="en-US" w:eastAsia="zh-CN"/>
                <w14:textFill>
                  <w14:solidFill>
                    <w14:schemeClr w14:val="tx1"/>
                  </w14:solidFill>
                </w14:textFill>
              </w:rPr>
              <w:t>2</w:t>
            </w:r>
            <w:r>
              <w:rPr>
                <w:rFonts w:hint="eastAsia"/>
                <w:b/>
                <w:bCs/>
                <w:color w:val="000000" w:themeColor="text1"/>
                <w:sz w:val="24"/>
                <w:u w:val="single"/>
                <w14:textFill>
                  <w14:solidFill>
                    <w14:schemeClr w14:val="tx1"/>
                  </w14:solidFill>
                </w14:textFill>
              </w:rPr>
              <w:t>危险物质数量与临界量比值（Q）</w:t>
            </w:r>
          </w:p>
          <w:p>
            <w:pPr>
              <w:pStyle w:val="6"/>
              <w:numPr>
                <w:ilvl w:val="0"/>
                <w:numId w:val="0"/>
              </w:numPr>
              <w:ind w:leftChars="200"/>
              <w:rPr>
                <w:b/>
                <w:bCs/>
                <w:color w:val="000000" w:themeColor="text1"/>
                <w:u w:val="single"/>
                <w14:textFill>
                  <w14:solidFill>
                    <w14:schemeClr w14:val="tx1"/>
                  </w14:solidFill>
                </w14:textFill>
              </w:rPr>
            </w:pPr>
            <w:r>
              <w:rPr>
                <w:b/>
                <w:bCs/>
                <w:color w:val="000000" w:themeColor="text1"/>
                <w:sz w:val="24"/>
                <w:u w:val="single"/>
                <w:lang w:bidi="ar"/>
                <w14:textFill>
                  <w14:solidFill>
                    <w14:schemeClr w14:val="tx1"/>
                  </w14:solidFill>
                </w14:textFill>
              </w:rPr>
              <w:t>本项目涉及危险物质的Q值计算情况见</w:t>
            </w:r>
            <w:r>
              <w:rPr>
                <w:rFonts w:hint="eastAsia"/>
                <w:b/>
                <w:bCs/>
                <w:color w:val="000000" w:themeColor="text1"/>
                <w:sz w:val="24"/>
                <w:u w:val="single"/>
                <w:lang w:val="en-US" w:eastAsia="zh-CN" w:bidi="ar"/>
                <w14:textFill>
                  <w14:solidFill>
                    <w14:schemeClr w14:val="tx1"/>
                  </w14:solidFill>
                </w14:textFill>
              </w:rPr>
              <w:t>下</w:t>
            </w:r>
            <w:r>
              <w:rPr>
                <w:b/>
                <w:bCs/>
                <w:color w:val="000000" w:themeColor="text1"/>
                <w:sz w:val="24"/>
                <w:u w:val="single"/>
                <w:lang w:bidi="ar"/>
                <w14:textFill>
                  <w14:solidFill>
                    <w14:schemeClr w14:val="tx1"/>
                  </w14:solidFill>
                </w14:textFill>
              </w:rPr>
              <w:t>表。</w:t>
            </w:r>
            <w:r>
              <w:rPr>
                <w:b/>
                <w:bCs/>
                <w:color w:val="000000" w:themeColor="text1"/>
                <w:u w:val="single"/>
                <w14:textFill>
                  <w14:solidFill>
                    <w14:schemeClr w14:val="tx1"/>
                  </w14:solidFill>
                </w14:textFill>
              </w:rPr>
              <w:t xml:space="preserve"> </w:t>
            </w:r>
          </w:p>
          <w:p>
            <w:pPr>
              <w:pStyle w:val="6"/>
              <w:numPr>
                <w:ilvl w:val="0"/>
                <w:numId w:val="0"/>
              </w:numPr>
              <w:ind w:leftChars="200"/>
              <w:rPr>
                <w:bCs/>
                <w:color w:val="000000" w:themeColor="text1"/>
                <w:u w:val="single"/>
                <w14:textFill>
                  <w14:solidFill>
                    <w14:schemeClr w14:val="tx1"/>
                  </w14:solidFill>
                </w14:textFill>
              </w:rPr>
            </w:pPr>
            <w:r>
              <w:rPr>
                <w:rFonts w:hint="eastAsia"/>
                <w:bCs/>
                <w:color w:val="000000" w:themeColor="text1"/>
                <w:u w:val="single"/>
                <w:lang w:val="en-US" w:eastAsia="zh-CN"/>
                <w14:textFill>
                  <w14:solidFill>
                    <w14:schemeClr w14:val="tx1"/>
                  </w14:solidFill>
                </w14:textFill>
              </w:rPr>
              <w:t>表30</w:t>
            </w:r>
            <w:r>
              <w:rPr>
                <w:rFonts w:hint="eastAsia"/>
                <w:bCs/>
                <w:color w:val="000000" w:themeColor="text1"/>
                <w:u w:val="single"/>
                <w14:textFill>
                  <w14:solidFill>
                    <w14:schemeClr w14:val="tx1"/>
                  </w14:solidFill>
                </w14:textFill>
              </w:rPr>
              <w:t xml:space="preserve">               </w:t>
            </w:r>
            <w:r>
              <w:rPr>
                <w:bCs/>
                <w:color w:val="000000" w:themeColor="text1"/>
                <w:u w:val="single"/>
                <w14:textFill>
                  <w14:solidFill>
                    <w14:schemeClr w14:val="tx1"/>
                  </w14:solidFill>
                </w14:textFill>
              </w:rPr>
              <w:t>本项目Q值确定表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0"/>
              <w:gridCol w:w="1183"/>
              <w:gridCol w:w="1775"/>
              <w:gridCol w:w="1916"/>
              <w:gridCol w:w="14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1215" w:type="pct"/>
                  <w:noWrap w:val="0"/>
                  <w:tcMar>
                    <w:top w:w="28" w:type="dxa"/>
                    <w:bottom w:w="28" w:type="dxa"/>
                  </w:tcMar>
                  <w:vAlign w:val="center"/>
                </w:tcPr>
                <w:p>
                  <w:pPr>
                    <w:jc w:val="center"/>
                    <w:rPr>
                      <w:b/>
                      <w:bCs/>
                      <w:color w:val="000000" w:themeColor="text1"/>
                      <w:szCs w:val="21"/>
                      <w:u w:val="single"/>
                      <w14:textFill>
                        <w14:solidFill>
                          <w14:schemeClr w14:val="tx1"/>
                        </w14:solidFill>
                      </w14:textFill>
                    </w:rPr>
                  </w:pPr>
                  <w:r>
                    <w:rPr>
                      <w:b/>
                      <w:bCs/>
                      <w:color w:val="000000" w:themeColor="text1"/>
                      <w:szCs w:val="21"/>
                      <w:u w:val="single"/>
                      <w14:textFill>
                        <w14:solidFill>
                          <w14:schemeClr w14:val="tx1"/>
                        </w14:solidFill>
                      </w14:textFill>
                    </w:rPr>
                    <w:t>物质名称</w:t>
                  </w:r>
                </w:p>
              </w:tc>
              <w:tc>
                <w:tcPr>
                  <w:tcW w:w="704" w:type="pct"/>
                  <w:noWrap w:val="0"/>
                  <w:tcMar>
                    <w:top w:w="28" w:type="dxa"/>
                    <w:bottom w:w="28" w:type="dxa"/>
                  </w:tcMar>
                  <w:vAlign w:val="center"/>
                </w:tcPr>
                <w:p>
                  <w:pPr>
                    <w:jc w:val="center"/>
                    <w:rPr>
                      <w:b/>
                      <w:bCs/>
                      <w:color w:val="000000" w:themeColor="text1"/>
                      <w:szCs w:val="21"/>
                      <w:u w:val="single"/>
                      <w14:textFill>
                        <w14:solidFill>
                          <w14:schemeClr w14:val="tx1"/>
                        </w14:solidFill>
                      </w14:textFill>
                    </w:rPr>
                  </w:pPr>
                  <w:r>
                    <w:rPr>
                      <w:b/>
                      <w:bCs/>
                      <w:color w:val="000000" w:themeColor="text1"/>
                      <w:szCs w:val="21"/>
                      <w:u w:val="single"/>
                      <w14:textFill>
                        <w14:solidFill>
                          <w14:schemeClr w14:val="tx1"/>
                        </w14:solidFill>
                      </w14:textFill>
                    </w:rPr>
                    <w:t>CAS号</w:t>
                  </w:r>
                </w:p>
              </w:tc>
              <w:tc>
                <w:tcPr>
                  <w:tcW w:w="1057" w:type="pct"/>
                  <w:noWrap w:val="0"/>
                  <w:tcMar>
                    <w:top w:w="28" w:type="dxa"/>
                    <w:bottom w:w="28" w:type="dxa"/>
                  </w:tcMar>
                  <w:vAlign w:val="center"/>
                </w:tcPr>
                <w:p>
                  <w:pPr>
                    <w:jc w:val="center"/>
                    <w:rPr>
                      <w:b/>
                      <w:bCs/>
                      <w:color w:val="000000" w:themeColor="text1"/>
                      <w:szCs w:val="21"/>
                      <w:u w:val="single"/>
                      <w14:textFill>
                        <w14:solidFill>
                          <w14:schemeClr w14:val="tx1"/>
                        </w14:solidFill>
                      </w14:textFill>
                    </w:rPr>
                  </w:pPr>
                  <w:r>
                    <w:rPr>
                      <w:b/>
                      <w:bCs/>
                      <w:color w:val="000000" w:themeColor="text1"/>
                      <w:szCs w:val="21"/>
                      <w:u w:val="single"/>
                      <w14:textFill>
                        <w14:solidFill>
                          <w14:schemeClr w14:val="tx1"/>
                        </w14:solidFill>
                      </w14:textFill>
                    </w:rPr>
                    <w:t>临界量（Q</w:t>
                  </w:r>
                  <w:r>
                    <w:rPr>
                      <w:b/>
                      <w:bCs/>
                      <w:color w:val="000000" w:themeColor="text1"/>
                      <w:szCs w:val="21"/>
                      <w:u w:val="single"/>
                      <w:vertAlign w:val="subscript"/>
                      <w14:textFill>
                        <w14:solidFill>
                          <w14:schemeClr w14:val="tx1"/>
                        </w14:solidFill>
                      </w14:textFill>
                    </w:rPr>
                    <w:t>n</w:t>
                  </w:r>
                  <w:r>
                    <w:rPr>
                      <w:b/>
                      <w:bCs/>
                      <w:color w:val="000000" w:themeColor="text1"/>
                      <w:szCs w:val="21"/>
                      <w:u w:val="single"/>
                      <w14:textFill>
                        <w14:solidFill>
                          <w14:schemeClr w14:val="tx1"/>
                        </w14:solidFill>
                      </w14:textFill>
                    </w:rPr>
                    <w:t>）t</w:t>
                  </w:r>
                </w:p>
              </w:tc>
              <w:tc>
                <w:tcPr>
                  <w:tcW w:w="1141" w:type="pct"/>
                  <w:noWrap w:val="0"/>
                  <w:tcMar>
                    <w:top w:w="28" w:type="dxa"/>
                    <w:bottom w:w="28" w:type="dxa"/>
                  </w:tcMar>
                  <w:vAlign w:val="center"/>
                </w:tcPr>
                <w:p>
                  <w:pPr>
                    <w:jc w:val="center"/>
                    <w:rPr>
                      <w:b/>
                      <w:bCs/>
                      <w:color w:val="000000" w:themeColor="text1"/>
                      <w:szCs w:val="21"/>
                      <w:u w:val="single"/>
                      <w14:textFill>
                        <w14:solidFill>
                          <w14:schemeClr w14:val="tx1"/>
                        </w14:solidFill>
                      </w14:textFill>
                    </w:rPr>
                  </w:pPr>
                  <w:r>
                    <w:rPr>
                      <w:b/>
                      <w:bCs/>
                      <w:color w:val="000000" w:themeColor="text1"/>
                      <w:szCs w:val="21"/>
                      <w:u w:val="single"/>
                      <w14:textFill>
                        <w14:solidFill>
                          <w14:schemeClr w14:val="tx1"/>
                        </w14:solidFill>
                      </w14:textFill>
                    </w:rPr>
                    <w:t>实际量（q</w:t>
                  </w:r>
                  <w:r>
                    <w:rPr>
                      <w:b/>
                      <w:bCs/>
                      <w:color w:val="000000" w:themeColor="text1"/>
                      <w:szCs w:val="21"/>
                      <w:u w:val="single"/>
                      <w:vertAlign w:val="subscript"/>
                      <w14:textFill>
                        <w14:solidFill>
                          <w14:schemeClr w14:val="tx1"/>
                        </w14:solidFill>
                      </w14:textFill>
                    </w:rPr>
                    <w:t>n</w:t>
                  </w:r>
                  <w:r>
                    <w:rPr>
                      <w:b/>
                      <w:bCs/>
                      <w:color w:val="000000" w:themeColor="text1"/>
                      <w:szCs w:val="21"/>
                      <w:u w:val="single"/>
                      <w14:textFill>
                        <w14:solidFill>
                          <w14:schemeClr w14:val="tx1"/>
                        </w14:solidFill>
                      </w14:textFill>
                    </w:rPr>
                    <w:t>）t</w:t>
                  </w:r>
                </w:p>
              </w:tc>
              <w:tc>
                <w:tcPr>
                  <w:tcW w:w="880" w:type="pct"/>
                  <w:noWrap w:val="0"/>
                  <w:tcMar>
                    <w:top w:w="28" w:type="dxa"/>
                    <w:bottom w:w="28" w:type="dxa"/>
                  </w:tcMar>
                  <w:vAlign w:val="center"/>
                </w:tcPr>
                <w:p>
                  <w:pPr>
                    <w:jc w:val="center"/>
                    <w:rPr>
                      <w:b/>
                      <w:bCs/>
                      <w:color w:val="000000" w:themeColor="text1"/>
                      <w:szCs w:val="21"/>
                      <w:u w:val="single"/>
                      <w14:textFill>
                        <w14:solidFill>
                          <w14:schemeClr w14:val="tx1"/>
                        </w14:solidFill>
                      </w14:textFill>
                    </w:rPr>
                  </w:pPr>
                  <w:r>
                    <w:rPr>
                      <w:b/>
                      <w:bCs/>
                      <w:color w:val="000000" w:themeColor="text1"/>
                      <w:szCs w:val="21"/>
                      <w:u w:val="single"/>
                      <w14:textFill>
                        <w14:solidFill>
                          <w14:schemeClr w14:val="tx1"/>
                        </w14:solidFill>
                      </w14:textFill>
                    </w:rPr>
                    <w:t>∑q</w:t>
                  </w:r>
                  <w:r>
                    <w:rPr>
                      <w:b/>
                      <w:bCs/>
                      <w:color w:val="000000" w:themeColor="text1"/>
                      <w:szCs w:val="21"/>
                      <w:u w:val="single"/>
                      <w:vertAlign w:val="subscript"/>
                      <w14:textFill>
                        <w14:solidFill>
                          <w14:schemeClr w14:val="tx1"/>
                        </w14:solidFill>
                      </w14:textFill>
                    </w:rPr>
                    <w:t>n</w:t>
                  </w:r>
                  <w:r>
                    <w:rPr>
                      <w:b/>
                      <w:bCs/>
                      <w:color w:val="000000" w:themeColor="text1"/>
                      <w:szCs w:val="21"/>
                      <w:u w:val="single"/>
                      <w14:textFill>
                        <w14:solidFill>
                          <w14:schemeClr w14:val="tx1"/>
                        </w14:solidFill>
                      </w14:textFill>
                    </w:rPr>
                    <w:t>/Q</w:t>
                  </w:r>
                  <w:r>
                    <w:rPr>
                      <w:b/>
                      <w:bCs/>
                      <w:color w:val="000000" w:themeColor="text1"/>
                      <w:szCs w:val="21"/>
                      <w:u w:val="single"/>
                      <w:vertAlign w:val="subscript"/>
                      <w14:textFill>
                        <w14:solidFill>
                          <w14:schemeClr w14:val="tx1"/>
                        </w14:solidFill>
                      </w14:textFill>
                    </w:rPr>
                    <w:t>n</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215" w:type="pct"/>
                  <w:noWrap w:val="0"/>
                  <w:tcMar>
                    <w:top w:w="28" w:type="dxa"/>
                    <w:bottom w:w="28" w:type="dxa"/>
                  </w:tcMar>
                  <w:vAlign w:val="center"/>
                </w:tcPr>
                <w:p>
                  <w:pPr>
                    <w:jc w:val="center"/>
                    <w:rPr>
                      <w:rFonts w:hint="default"/>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磷酸</w:t>
                  </w:r>
                </w:p>
              </w:tc>
              <w:tc>
                <w:tcPr>
                  <w:tcW w:w="704" w:type="pct"/>
                  <w:noWrap w:val="0"/>
                  <w:tcMar>
                    <w:top w:w="28" w:type="dxa"/>
                    <w:bottom w:w="28" w:type="dxa"/>
                  </w:tcMar>
                  <w:vAlign w:val="center"/>
                </w:tcPr>
                <w:p>
                  <w:pPr>
                    <w:jc w:val="center"/>
                    <w:rPr>
                      <w:rFonts w:hint="default"/>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7664-38-2</w:t>
                  </w:r>
                </w:p>
              </w:tc>
              <w:tc>
                <w:tcPr>
                  <w:tcW w:w="1057" w:type="pct"/>
                  <w:noWrap w:val="0"/>
                  <w:tcMar>
                    <w:top w:w="28" w:type="dxa"/>
                    <w:bottom w:w="28" w:type="dxa"/>
                  </w:tcMar>
                  <w:vAlign w:val="center"/>
                </w:tcPr>
                <w:p>
                  <w:pPr>
                    <w:jc w:val="center"/>
                    <w:rPr>
                      <w:rFonts w:hint="default"/>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10</w:t>
                  </w:r>
                </w:p>
              </w:tc>
              <w:tc>
                <w:tcPr>
                  <w:tcW w:w="1141" w:type="pct"/>
                  <w:noWrap w:val="0"/>
                  <w:tcMar>
                    <w:top w:w="28" w:type="dxa"/>
                    <w:bottom w:w="28" w:type="dxa"/>
                  </w:tcMar>
                  <w:vAlign w:val="center"/>
                </w:tcPr>
                <w:p>
                  <w:pPr>
                    <w:jc w:val="center"/>
                    <w:rPr>
                      <w:rFonts w:hint="default"/>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0.023</w:t>
                  </w:r>
                </w:p>
              </w:tc>
              <w:tc>
                <w:tcPr>
                  <w:tcW w:w="880" w:type="pct"/>
                  <w:noWrap w:val="0"/>
                  <w:tcMar>
                    <w:top w:w="28" w:type="dxa"/>
                    <w:bottom w:w="28" w:type="dxa"/>
                  </w:tcMar>
                  <w:vAlign w:val="center"/>
                </w:tcPr>
                <w:p>
                  <w:pPr>
                    <w:ind w:firstLine="200" w:firstLineChars="95"/>
                    <w:jc w:val="center"/>
                    <w:rPr>
                      <w:rFonts w:hint="default"/>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0.0023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2040" w:type="dxa"/>
                  <w:noWrap w:val="0"/>
                  <w:tcMar>
                    <w:top w:w="28" w:type="dxa"/>
                    <w:bottom w:w="28" w:type="dxa"/>
                  </w:tcMar>
                  <w:vAlign w:val="center"/>
                </w:tcPr>
                <w:p>
                  <w:pPr>
                    <w:jc w:val="center"/>
                    <w:rPr>
                      <w:b/>
                      <w:bCs/>
                      <w:snapToGrid w:val="0"/>
                      <w:color w:val="000000" w:themeColor="text1"/>
                      <w:szCs w:val="21"/>
                      <w:u w:val="single"/>
                      <w14:textFill>
                        <w14:solidFill>
                          <w14:schemeClr w14:val="tx1"/>
                        </w14:solidFill>
                      </w14:textFill>
                    </w:rPr>
                  </w:pPr>
                  <w:r>
                    <w:rPr>
                      <w:rFonts w:hint="eastAsia"/>
                      <w:b/>
                      <w:color w:val="000000" w:themeColor="text1"/>
                      <w:szCs w:val="21"/>
                      <w:u w:val="single"/>
                      <w:lang w:val="en-US" w:eastAsia="zh-CN"/>
                      <w14:textFill>
                        <w14:solidFill>
                          <w14:schemeClr w14:val="tx1"/>
                        </w14:solidFill>
                      </w14:textFill>
                    </w:rPr>
                    <w:t>液压油</w:t>
                  </w:r>
                </w:p>
              </w:tc>
              <w:tc>
                <w:tcPr>
                  <w:tcW w:w="1183" w:type="dxa"/>
                  <w:noWrap w:val="0"/>
                  <w:tcMar>
                    <w:top w:w="28" w:type="dxa"/>
                    <w:bottom w:w="28" w:type="dxa"/>
                  </w:tcMar>
                  <w:vAlign w:val="center"/>
                </w:tcPr>
                <w:p>
                  <w:pPr>
                    <w:jc w:val="center"/>
                    <w:rPr>
                      <w:rFonts w:hint="default" w:eastAsia="宋体"/>
                      <w:b/>
                      <w:bCs/>
                      <w:color w:val="000000" w:themeColor="text1"/>
                      <w:szCs w:val="21"/>
                      <w:u w:val="single"/>
                      <w:lang w:val="en-US" w:eastAsia="zh-CN"/>
                      <w14:textFill>
                        <w14:solidFill>
                          <w14:schemeClr w14:val="tx1"/>
                        </w14:solidFill>
                      </w14:textFill>
                    </w:rPr>
                  </w:pPr>
                  <w:r>
                    <w:rPr>
                      <w:rFonts w:hint="eastAsia"/>
                      <w:b/>
                      <w:color w:val="000000" w:themeColor="text1"/>
                      <w:szCs w:val="21"/>
                      <w:u w:val="single"/>
                      <w14:textFill>
                        <w14:solidFill>
                          <w14:schemeClr w14:val="tx1"/>
                        </w14:solidFill>
                      </w14:textFill>
                    </w:rPr>
                    <w:t>/</w:t>
                  </w:r>
                </w:p>
              </w:tc>
              <w:tc>
                <w:tcPr>
                  <w:tcW w:w="1775" w:type="dxa"/>
                  <w:noWrap w:val="0"/>
                  <w:tcMar>
                    <w:top w:w="28" w:type="dxa"/>
                    <w:bottom w:w="28" w:type="dxa"/>
                  </w:tcMar>
                  <w:vAlign w:val="center"/>
                </w:tcPr>
                <w:p>
                  <w:pPr>
                    <w:jc w:val="center"/>
                    <w:rPr>
                      <w:rFonts w:hint="default" w:eastAsia="宋体"/>
                      <w:b/>
                      <w:bCs/>
                      <w:color w:val="000000" w:themeColor="text1"/>
                      <w:szCs w:val="21"/>
                      <w:u w:val="single"/>
                      <w:lang w:val="en-US" w:eastAsia="zh-CN"/>
                      <w14:textFill>
                        <w14:solidFill>
                          <w14:schemeClr w14:val="tx1"/>
                        </w14:solidFill>
                      </w14:textFill>
                    </w:rPr>
                  </w:pPr>
                  <w:r>
                    <w:rPr>
                      <w:rFonts w:hint="eastAsia"/>
                      <w:b/>
                      <w:color w:val="000000" w:themeColor="text1"/>
                      <w:szCs w:val="21"/>
                      <w:u w:val="single"/>
                      <w14:textFill>
                        <w14:solidFill>
                          <w14:schemeClr w14:val="tx1"/>
                        </w14:solidFill>
                      </w14:textFill>
                    </w:rPr>
                    <w:t>2500</w:t>
                  </w:r>
                </w:p>
              </w:tc>
              <w:tc>
                <w:tcPr>
                  <w:tcW w:w="1916" w:type="dxa"/>
                  <w:noWrap w:val="0"/>
                  <w:tcMar>
                    <w:top w:w="28" w:type="dxa"/>
                    <w:bottom w:w="28" w:type="dxa"/>
                  </w:tcMar>
                  <w:vAlign w:val="center"/>
                </w:tcPr>
                <w:p>
                  <w:pPr>
                    <w:jc w:val="center"/>
                    <w:rPr>
                      <w:rFonts w:hint="default" w:eastAsia="宋体"/>
                      <w:b/>
                      <w:bCs/>
                      <w:color w:val="000000" w:themeColor="text1"/>
                      <w:szCs w:val="21"/>
                      <w:u w:val="single"/>
                      <w:lang w:val="en-US" w:eastAsia="zh-CN"/>
                      <w14:textFill>
                        <w14:solidFill>
                          <w14:schemeClr w14:val="tx1"/>
                        </w14:solidFill>
                      </w14:textFill>
                    </w:rPr>
                  </w:pPr>
                  <w:r>
                    <w:rPr>
                      <w:rFonts w:hint="eastAsia"/>
                      <w:b/>
                      <w:color w:val="000000" w:themeColor="text1"/>
                      <w:szCs w:val="21"/>
                      <w:u w:val="single"/>
                      <w:lang w:val="en-US" w:eastAsia="zh-CN"/>
                      <w14:textFill>
                        <w14:solidFill>
                          <w14:schemeClr w14:val="tx1"/>
                        </w14:solidFill>
                      </w14:textFill>
                    </w:rPr>
                    <w:t>0.008</w:t>
                  </w:r>
                </w:p>
              </w:tc>
              <w:tc>
                <w:tcPr>
                  <w:tcW w:w="1477" w:type="dxa"/>
                  <w:noWrap w:val="0"/>
                  <w:tcMar>
                    <w:top w:w="28" w:type="dxa"/>
                    <w:bottom w:w="28" w:type="dxa"/>
                  </w:tcMar>
                  <w:vAlign w:val="center"/>
                </w:tcPr>
                <w:p>
                  <w:pPr>
                    <w:ind w:firstLine="200" w:firstLineChars="95"/>
                    <w:jc w:val="center"/>
                    <w:rPr>
                      <w:rFonts w:hint="default" w:eastAsia="宋体"/>
                      <w:b/>
                      <w:bCs/>
                      <w:color w:val="000000" w:themeColor="text1"/>
                      <w:szCs w:val="21"/>
                      <w:u w:val="single"/>
                      <w:lang w:val="en-US" w:eastAsia="zh-CN"/>
                      <w14:textFill>
                        <w14:solidFill>
                          <w14:schemeClr w14:val="tx1"/>
                        </w14:solidFill>
                      </w14:textFill>
                    </w:rPr>
                  </w:pPr>
                  <w:r>
                    <w:rPr>
                      <w:b/>
                      <w:color w:val="000000" w:themeColor="text1"/>
                      <w:szCs w:val="21"/>
                      <w:u w:val="single"/>
                      <w14:textFill>
                        <w14:solidFill>
                          <w14:schemeClr w14:val="tx1"/>
                        </w14:solidFill>
                      </w14:textFill>
                    </w:rPr>
                    <w:t>0.</w:t>
                  </w:r>
                  <w:r>
                    <w:rPr>
                      <w:rFonts w:hint="eastAsia"/>
                      <w:b/>
                      <w:color w:val="000000" w:themeColor="text1"/>
                      <w:szCs w:val="21"/>
                      <w:u w:val="single"/>
                      <w14:textFill>
                        <w14:solidFill>
                          <w14:schemeClr w14:val="tx1"/>
                        </w14:solidFill>
                      </w14:textFill>
                    </w:rPr>
                    <w:t>000</w:t>
                  </w:r>
                  <w:r>
                    <w:rPr>
                      <w:rFonts w:hint="eastAsia"/>
                      <w:b/>
                      <w:color w:val="000000" w:themeColor="text1"/>
                      <w:szCs w:val="21"/>
                      <w:u w:val="single"/>
                      <w:lang w:val="en-US" w:eastAsia="zh-CN"/>
                      <w14:textFill>
                        <w14:solidFill>
                          <w14:schemeClr w14:val="tx1"/>
                        </w14:solidFill>
                      </w14:textFill>
                    </w:rPr>
                    <w:t>0032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4119" w:type="pct"/>
                  <w:gridSpan w:val="4"/>
                  <w:noWrap w:val="0"/>
                  <w:tcMar>
                    <w:top w:w="28" w:type="dxa"/>
                    <w:bottom w:w="28" w:type="dxa"/>
                  </w:tcMar>
                  <w:vAlign w:val="center"/>
                </w:tcPr>
                <w:p>
                  <w:pPr>
                    <w:jc w:val="center"/>
                    <w:rPr>
                      <w:b/>
                      <w:bCs/>
                      <w:snapToGrid w:val="0"/>
                      <w:color w:val="000000" w:themeColor="text1"/>
                      <w:szCs w:val="21"/>
                      <w:u w:val="single"/>
                      <w14:textFill>
                        <w14:solidFill>
                          <w14:schemeClr w14:val="tx1"/>
                        </w14:solidFill>
                      </w14:textFill>
                    </w:rPr>
                  </w:pPr>
                  <w:r>
                    <w:rPr>
                      <w:b/>
                      <w:bCs/>
                      <w:snapToGrid w:val="0"/>
                      <w:color w:val="000000" w:themeColor="text1"/>
                      <w:szCs w:val="21"/>
                      <w:u w:val="single"/>
                      <w14:textFill>
                        <w14:solidFill>
                          <w14:schemeClr w14:val="tx1"/>
                        </w14:solidFill>
                      </w14:textFill>
                    </w:rPr>
                    <w:t>项目Q值</w:t>
                  </w:r>
                  <w:r>
                    <w:rPr>
                      <w:b/>
                      <w:bCs/>
                      <w:color w:val="000000" w:themeColor="text1"/>
                      <w:szCs w:val="21"/>
                      <w:u w:val="single"/>
                      <w14:textFill>
                        <w14:solidFill>
                          <w14:schemeClr w14:val="tx1"/>
                        </w14:solidFill>
                      </w14:textFill>
                    </w:rPr>
                    <w:t>∑</w:t>
                  </w:r>
                </w:p>
              </w:tc>
              <w:tc>
                <w:tcPr>
                  <w:tcW w:w="880" w:type="pct"/>
                  <w:noWrap w:val="0"/>
                  <w:tcMar>
                    <w:top w:w="28" w:type="dxa"/>
                    <w:bottom w:w="28" w:type="dxa"/>
                  </w:tcMar>
                  <w:vAlign w:val="center"/>
                </w:tcPr>
                <w:p>
                  <w:pPr>
                    <w:ind w:firstLine="200" w:firstLineChars="95"/>
                    <w:jc w:val="center"/>
                    <w:rPr>
                      <w:rFonts w:hint="default"/>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0.0023032</w:t>
                  </w:r>
                </w:p>
              </w:tc>
            </w:tr>
          </w:tbl>
          <w:p>
            <w:pPr>
              <w:spacing w:line="460" w:lineRule="exact"/>
              <w:ind w:firstLine="482" w:firstLineChars="200"/>
              <w:textAlignment w:val="baseline"/>
              <w:rPr>
                <w:rFonts w:hint="eastAsia"/>
                <w:b/>
                <w:bCs/>
                <w:color w:val="000000" w:themeColor="text1"/>
                <w:sz w:val="24"/>
                <w:u w:val="single"/>
                <w14:textFill>
                  <w14:solidFill>
                    <w14:schemeClr w14:val="tx1"/>
                  </w14:solidFill>
                </w14:textFill>
              </w:rPr>
            </w:pPr>
            <w:r>
              <w:rPr>
                <w:b/>
                <w:bCs/>
                <w:color w:val="000000" w:themeColor="text1"/>
                <w:sz w:val="24"/>
                <w:u w:val="single"/>
                <w14:textFill>
                  <w14:solidFill>
                    <w14:schemeClr w14:val="tx1"/>
                  </w14:solidFill>
                </w14:textFill>
              </w:rPr>
              <w:t>由上表可知，本项目涉及危险物质的Q值为</w:t>
            </w:r>
            <w:r>
              <w:rPr>
                <w:rFonts w:hint="eastAsia"/>
                <w:b/>
                <w:bCs/>
                <w:color w:val="000000" w:themeColor="text1"/>
                <w:sz w:val="24"/>
                <w:u w:val="single"/>
                <w:lang w:val="en-US" w:eastAsia="zh-CN"/>
                <w14:textFill>
                  <w14:solidFill>
                    <w14:schemeClr w14:val="tx1"/>
                  </w14:solidFill>
                </w14:textFill>
              </w:rPr>
              <w:t>0.0023032</w:t>
            </w:r>
            <w:r>
              <w:rPr>
                <w:b/>
                <w:bCs/>
                <w:color w:val="000000" w:themeColor="text1"/>
                <w:sz w:val="24"/>
                <w:u w:val="single"/>
                <w14:textFill>
                  <w14:solidFill>
                    <w14:schemeClr w14:val="tx1"/>
                  </w14:solidFill>
                </w14:textFill>
              </w:rPr>
              <w:t>＜1</w:t>
            </w:r>
            <w:r>
              <w:rPr>
                <w:rFonts w:hint="eastAsia"/>
                <w:b/>
                <w:bCs/>
                <w:color w:val="000000" w:themeColor="text1"/>
                <w:sz w:val="24"/>
                <w:u w:val="single"/>
                <w14:textFill>
                  <w14:solidFill>
                    <w14:schemeClr w14:val="tx1"/>
                  </w14:solidFill>
                </w14:textFill>
              </w:rPr>
              <w:t>，因此本项目无需开展环境风险专项评价。</w:t>
            </w:r>
          </w:p>
          <w:p>
            <w:pPr>
              <w:spacing w:line="460" w:lineRule="exact"/>
              <w:ind w:firstLine="482" w:firstLineChars="200"/>
              <w:textAlignment w:val="baseline"/>
              <w:rPr>
                <w:b/>
                <w:bCs/>
                <w:color w:val="000000" w:themeColor="text1"/>
                <w:sz w:val="24"/>
                <w:u w:val="single"/>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6.3</w:t>
            </w:r>
            <w:r>
              <w:rPr>
                <w:b/>
                <w:bCs/>
                <w:color w:val="000000" w:themeColor="text1"/>
                <w:sz w:val="24"/>
                <w:u w:val="single"/>
                <w14:textFill>
                  <w14:solidFill>
                    <w14:schemeClr w14:val="tx1"/>
                  </w14:solidFill>
                </w14:textFill>
              </w:rPr>
              <w:t xml:space="preserve">环境风险识别 </w:t>
            </w:r>
          </w:p>
          <w:p>
            <w:pPr>
              <w:widowControl/>
              <w:spacing w:line="460" w:lineRule="exact"/>
              <w:ind w:firstLine="482" w:firstLineChars="200"/>
              <w:textAlignment w:val="baseline"/>
              <w:rPr>
                <w:b/>
                <w:bCs/>
                <w:color w:val="000000" w:themeColor="text1"/>
                <w:sz w:val="24"/>
                <w:u w:val="single"/>
                <w14:textFill>
                  <w14:solidFill>
                    <w14:schemeClr w14:val="tx1"/>
                  </w14:solidFill>
                </w14:textFill>
              </w:rPr>
            </w:pPr>
            <w:r>
              <w:rPr>
                <w:b/>
                <w:bCs/>
                <w:color w:val="000000" w:themeColor="text1"/>
                <w:sz w:val="24"/>
                <w:u w:val="single"/>
                <w14:textFill>
                  <w14:solidFill>
                    <w14:schemeClr w14:val="tx1"/>
                  </w14:solidFill>
                </w14:textFill>
              </w:rPr>
              <w:t>项目涉及的风险物质为</w:t>
            </w:r>
            <w:r>
              <w:rPr>
                <w:rFonts w:hint="eastAsia"/>
                <w:b/>
                <w:bCs/>
                <w:color w:val="000000" w:themeColor="text1"/>
                <w:sz w:val="24"/>
                <w:u w:val="single"/>
                <w:lang w:val="en-US" w:eastAsia="zh-CN"/>
                <w14:textFill>
                  <w14:solidFill>
                    <w14:schemeClr w14:val="tx1"/>
                  </w14:solidFill>
                </w14:textFill>
              </w:rPr>
              <w:t>磷化液中的磷酸、设备更换产生的废</w:t>
            </w:r>
            <w:r>
              <w:rPr>
                <w:rFonts w:hint="eastAsia"/>
                <w:b/>
                <w:bCs/>
                <w:color w:val="000000" w:themeColor="text1"/>
                <w:sz w:val="24"/>
                <w:u w:val="single"/>
                <w14:textFill>
                  <w14:solidFill>
                    <w14:schemeClr w14:val="tx1"/>
                  </w14:solidFill>
                </w14:textFill>
              </w:rPr>
              <w:t>液压油。</w:t>
            </w:r>
            <w:r>
              <w:rPr>
                <w:b/>
                <w:bCs/>
                <w:color w:val="000000" w:themeColor="text1"/>
                <w:sz w:val="24"/>
                <w:u w:val="single"/>
                <w14:textFill>
                  <w14:solidFill>
                    <w14:schemeClr w14:val="tx1"/>
                  </w14:solidFill>
                </w14:textFill>
              </w:rPr>
              <w:t>生产过程中存在的主要风险为在储存和使用过程中</w:t>
            </w:r>
            <w:r>
              <w:rPr>
                <w:rFonts w:hint="eastAsia"/>
                <w:b/>
                <w:bCs/>
                <w:color w:val="000000" w:themeColor="text1"/>
                <w:sz w:val="24"/>
                <w:u w:val="single"/>
                <w14:textFill>
                  <w14:solidFill>
                    <w14:schemeClr w14:val="tx1"/>
                  </w14:solidFill>
                </w14:textFill>
              </w:rPr>
              <w:t>发生</w:t>
            </w:r>
            <w:r>
              <w:rPr>
                <w:b/>
                <w:bCs/>
                <w:color w:val="000000" w:themeColor="text1"/>
                <w:sz w:val="24"/>
                <w:u w:val="single"/>
                <w14:textFill>
                  <w14:solidFill>
                    <w14:schemeClr w14:val="tx1"/>
                  </w14:solidFill>
                </w14:textFill>
              </w:rPr>
              <w:t>泄漏和火灾。</w:t>
            </w:r>
          </w:p>
          <w:p>
            <w:pPr>
              <w:spacing w:line="460" w:lineRule="exact"/>
              <w:ind w:firstLine="482" w:firstLineChars="200"/>
              <w:textAlignment w:val="baseline"/>
              <w:rPr>
                <w:b/>
                <w:bCs/>
                <w:color w:val="000000" w:themeColor="text1"/>
                <w:sz w:val="24"/>
                <w:u w:val="single"/>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6.4</w:t>
            </w:r>
            <w:r>
              <w:rPr>
                <w:b/>
                <w:bCs/>
                <w:color w:val="000000" w:themeColor="text1"/>
                <w:sz w:val="24"/>
                <w:u w:val="single"/>
                <w14:textFill>
                  <w14:solidFill>
                    <w14:schemeClr w14:val="tx1"/>
                  </w14:solidFill>
                </w14:textFill>
              </w:rPr>
              <w:t xml:space="preserve">环境风险防范措施 </w:t>
            </w:r>
          </w:p>
          <w:p>
            <w:pPr>
              <w:spacing w:line="460" w:lineRule="exact"/>
              <w:ind w:firstLine="482" w:firstLineChars="200"/>
              <w:textAlignment w:val="baseline"/>
              <w:rPr>
                <w:rFonts w:hint="eastAsia"/>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①</w:t>
            </w:r>
            <w:r>
              <w:rPr>
                <w:rFonts w:hint="eastAsia"/>
                <w:b/>
                <w:bCs/>
                <w:color w:val="000000" w:themeColor="text1"/>
                <w:sz w:val="24"/>
                <w:u w:val="single"/>
                <w:lang w:val="en-US" w:eastAsia="zh-CN"/>
                <w14:textFill>
                  <w14:solidFill>
                    <w14:schemeClr w14:val="tx1"/>
                  </w14:solidFill>
                </w14:textFill>
              </w:rPr>
              <w:t>磷化液</w:t>
            </w:r>
            <w:r>
              <w:rPr>
                <w:rFonts w:hint="eastAsia"/>
                <w:b/>
                <w:bCs/>
                <w:color w:val="000000" w:themeColor="text1"/>
                <w:sz w:val="24"/>
                <w:u w:val="single"/>
                <w:lang w:eastAsia="zh-CN"/>
                <w14:textFill>
                  <w14:solidFill>
                    <w14:schemeClr w14:val="tx1"/>
                  </w14:solidFill>
                </w14:textFill>
              </w:rPr>
              <w:t>存放区（生产区域、原料区）应做好地面防渗措施，设置围堰或下设托盘，防止物料泄漏时扩延污染范围。并且设专人负责存放区的管理，物料加盖密封存放，定期巡查，发生泄漏时及时发现及时处理；</w:t>
            </w:r>
          </w:p>
          <w:p>
            <w:pPr>
              <w:spacing w:line="460" w:lineRule="exact"/>
              <w:ind w:firstLine="482" w:firstLineChars="200"/>
              <w:textAlignment w:val="baseline"/>
              <w:rPr>
                <w:rFonts w:hint="eastAsia" w:eastAsia="宋体"/>
                <w:b/>
                <w:bCs/>
                <w:color w:val="000000" w:themeColor="text1"/>
                <w:sz w:val="24"/>
                <w:u w:val="single"/>
                <w:lang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②</w:t>
            </w:r>
            <w:r>
              <w:rPr>
                <w:b/>
                <w:bCs/>
                <w:color w:val="000000" w:themeColor="text1"/>
                <w:sz w:val="24"/>
                <w:u w:val="single"/>
                <w14:textFill>
                  <w14:solidFill>
                    <w14:schemeClr w14:val="tx1"/>
                  </w14:solidFill>
                </w14:textFill>
              </w:rPr>
              <w:t>设置规范化的危废暂存间</w:t>
            </w:r>
            <w:r>
              <w:rPr>
                <w:rFonts w:hint="eastAsia"/>
                <w:b/>
                <w:bCs/>
                <w:color w:val="000000" w:themeColor="text1"/>
                <w:sz w:val="24"/>
                <w:u w:val="single"/>
                <w14:textFill>
                  <w14:solidFill>
                    <w14:schemeClr w14:val="tx1"/>
                  </w14:solidFill>
                </w14:textFill>
              </w:rPr>
              <w:t>，储存区设置围堰，配备灭火器等消防物资</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14:textFill>
                  <w14:solidFill>
                    <w14:schemeClr w14:val="tx1"/>
                  </w14:solidFill>
                </w14:textFill>
              </w:rPr>
              <w:t>危废暂存间内、外设置危废标识、禁烟防火标识、危险废物特性等标识牌</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14:textFill>
                  <w14:solidFill>
                    <w14:schemeClr w14:val="tx1"/>
                  </w14:solidFill>
                </w14:textFill>
              </w:rPr>
              <w:t>设置专人负责，定期巡检</w:t>
            </w:r>
            <w:r>
              <w:rPr>
                <w:rFonts w:hint="eastAsia"/>
                <w:b/>
                <w:bCs/>
                <w:color w:val="000000" w:themeColor="text1"/>
                <w:sz w:val="24"/>
                <w:u w:val="single"/>
                <w:lang w:eastAsia="zh-CN"/>
                <w14:textFill>
                  <w14:solidFill>
                    <w14:schemeClr w14:val="tx1"/>
                  </w14:solidFill>
                </w14:textFill>
              </w:rPr>
              <w:t>。</w:t>
            </w:r>
          </w:p>
          <w:p>
            <w:pPr>
              <w:spacing w:line="460" w:lineRule="exact"/>
              <w:ind w:firstLine="482" w:firstLineChars="200"/>
              <w:textAlignment w:val="baseline"/>
              <w:rPr>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②危险化学品贮存场所需保持干燥、阴凉、通风，禁止明火，并设防火禁烟标识牌；加强职工防火安全教育，配备足够的消防设施。</w:t>
            </w:r>
          </w:p>
          <w:p>
            <w:pPr>
              <w:spacing w:line="460" w:lineRule="exact"/>
              <w:ind w:firstLine="482" w:firstLineChars="200"/>
              <w:textAlignment w:val="baseline"/>
              <w:rPr>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③建立安</w:t>
            </w:r>
            <w:r>
              <w:rPr>
                <w:b/>
                <w:bCs/>
                <w:color w:val="000000" w:themeColor="text1"/>
                <w:sz w:val="24"/>
                <w:u w:val="single"/>
                <w14:textFill>
                  <w14:solidFill>
                    <w14:schemeClr w14:val="tx1"/>
                  </w14:solidFill>
                </w14:textFill>
              </w:rPr>
              <w:t xml:space="preserve">全生产岗位责任制，制定安全生产规章制度、安全操作规程，落实安全管理责任。严格岗位操作规程，加强操作人员的岗位培训和职业素质教育。 </w:t>
            </w:r>
          </w:p>
          <w:p>
            <w:pPr>
              <w:spacing w:line="460" w:lineRule="exact"/>
              <w:ind w:firstLine="482" w:firstLineChars="200"/>
              <w:textAlignment w:val="baseline"/>
              <w:rPr>
                <w:color w:val="000000" w:themeColor="text1"/>
                <w:sz w:val="24"/>
                <w14:textFill>
                  <w14:solidFill>
                    <w14:schemeClr w14:val="tx1"/>
                  </w14:solidFill>
                </w14:textFill>
              </w:rPr>
            </w:pPr>
            <w:r>
              <w:rPr>
                <w:b/>
                <w:bCs/>
                <w:color w:val="000000" w:themeColor="text1"/>
                <w:sz w:val="24"/>
                <w:u w:val="single"/>
                <w14:textFill>
                  <w14:solidFill>
                    <w14:schemeClr w14:val="tx1"/>
                  </w14:solidFill>
                </w14:textFill>
              </w:rPr>
              <w:t>本项目设计中采取了相应的风险防范措施，有效地减少了风险事故发生的 概率。通过加强管理、严格执行风险防范措施等，可有效避免事故发生，减轻事故的危害，环境风险可以接受。</w:t>
            </w:r>
          </w:p>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7、污染物产排汇总</w:t>
            </w:r>
          </w:p>
          <w:p>
            <w:pPr>
              <w:spacing w:line="460" w:lineRule="exact"/>
              <w:ind w:firstLine="480" w:firstLineChars="200"/>
              <w:textAlignment w:val="baseline"/>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本项目</w:t>
            </w:r>
            <w:r>
              <w:rPr>
                <w:color w:val="000000" w:themeColor="text1"/>
                <w:sz w:val="24"/>
                <w14:textFill>
                  <w14:solidFill>
                    <w14:schemeClr w14:val="tx1"/>
                  </w14:solidFill>
                </w14:textFill>
              </w:rPr>
              <w:t>污染物产排情况汇总见表</w:t>
            </w:r>
            <w:r>
              <w:rPr>
                <w:rFonts w:hint="eastAsia"/>
                <w:color w:val="000000" w:themeColor="text1"/>
                <w:sz w:val="24"/>
                <w:lang w:val="en-US" w:eastAsia="zh-CN"/>
                <w14:textFill>
                  <w14:solidFill>
                    <w14:schemeClr w14:val="tx1"/>
                  </w14:solidFill>
                </w14:textFill>
              </w:rPr>
              <w:t>31。</w:t>
            </w:r>
          </w:p>
          <w:p>
            <w:pPr>
              <w:pStyle w:val="6"/>
              <w:numPr>
                <w:ilvl w:val="0"/>
                <w:numId w:val="0"/>
              </w:numPr>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31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本项目</w:t>
            </w:r>
            <w:r>
              <w:rPr>
                <w:color w:val="000000" w:themeColor="text1"/>
                <w14:textFill>
                  <w14:solidFill>
                    <w14:schemeClr w14:val="tx1"/>
                  </w14:solidFill>
                </w14:textFill>
              </w:rPr>
              <w:t xml:space="preserve">污染物产排情况汇总一览表      </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77"/>
              <w:gridCol w:w="2865"/>
              <w:gridCol w:w="1288"/>
              <w:gridCol w:w="157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2170" w:type="pct"/>
                  <w:gridSpan w:val="2"/>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污染物名称</w:t>
                  </w:r>
                </w:p>
              </w:tc>
              <w:tc>
                <w:tcPr>
                  <w:tcW w:w="767"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w:t>
                  </w:r>
                </w:p>
              </w:tc>
              <w:tc>
                <w:tcPr>
                  <w:tcW w:w="935"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削减量</w:t>
                  </w:r>
                </w:p>
              </w:tc>
              <w:tc>
                <w:tcPr>
                  <w:tcW w:w="72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2170" w:type="pct"/>
                  <w:gridSpan w:val="2"/>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粉（烟）尘</w:t>
                  </w:r>
                  <w:r>
                    <w:rPr>
                      <w:color w:val="000000" w:themeColor="text1"/>
                      <w:szCs w:val="21"/>
                      <w14:textFill>
                        <w14:solidFill>
                          <w14:schemeClr w14:val="tx1"/>
                        </w14:solidFill>
                      </w14:textFill>
                    </w:rPr>
                    <w:t>（t/a）</w:t>
                  </w:r>
                </w:p>
              </w:tc>
              <w:tc>
                <w:tcPr>
                  <w:tcW w:w="767" w:type="pct"/>
                  <w:vAlign w:val="center"/>
                </w:tcPr>
                <w:p>
                  <w:pPr>
                    <w:widowControl/>
                    <w:spacing w:line="320" w:lineRule="exact"/>
                    <w:contextualSpacing/>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5.0485</w:t>
                  </w:r>
                </w:p>
              </w:tc>
              <w:tc>
                <w:tcPr>
                  <w:tcW w:w="935" w:type="pct"/>
                  <w:vAlign w:val="center"/>
                </w:tcPr>
                <w:p>
                  <w:pPr>
                    <w:spacing w:line="320" w:lineRule="exact"/>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4.8125</w:t>
                  </w:r>
                </w:p>
              </w:tc>
              <w:tc>
                <w:tcPr>
                  <w:tcW w:w="724" w:type="pct"/>
                  <w:vAlign w:val="center"/>
                </w:tcPr>
                <w:p>
                  <w:pPr>
                    <w:spacing w:line="320" w:lineRule="exact"/>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320" w:lineRule="exact"/>
                    <w:jc w:val="center"/>
                    <w:rPr>
                      <w:color w:val="000000" w:themeColor="text1"/>
                      <w:szCs w:val="21"/>
                      <w14:textFill>
                        <w14:solidFill>
                          <w14:schemeClr w14:val="tx1"/>
                        </w14:solidFill>
                      </w14:textFill>
                    </w:rPr>
                  </w:pPr>
                </w:p>
              </w:tc>
              <w:tc>
                <w:tcPr>
                  <w:tcW w:w="2170" w:type="pct"/>
                  <w:gridSpan w:val="2"/>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非甲烷总烃（t/a）</w:t>
                  </w:r>
                </w:p>
              </w:tc>
              <w:tc>
                <w:tcPr>
                  <w:tcW w:w="767" w:type="pct"/>
                  <w:vAlign w:val="center"/>
                </w:tcPr>
                <w:p>
                  <w:pPr>
                    <w:widowControl/>
                    <w:spacing w:line="320" w:lineRule="exact"/>
                    <w:contextualSpacing/>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0.0439</w:t>
                  </w:r>
                </w:p>
              </w:tc>
              <w:tc>
                <w:tcPr>
                  <w:tcW w:w="935" w:type="pct"/>
                  <w:vAlign w:val="center"/>
                </w:tcPr>
                <w:p>
                  <w:pPr>
                    <w:spacing w:line="320" w:lineRule="exact"/>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0.0344</w:t>
                  </w:r>
                </w:p>
              </w:tc>
              <w:tc>
                <w:tcPr>
                  <w:tcW w:w="724" w:type="pct"/>
                  <w:vAlign w:val="center"/>
                </w:tcPr>
                <w:p>
                  <w:pPr>
                    <w:spacing w:line="320" w:lineRule="exact"/>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2170" w:type="pct"/>
                  <w:gridSpan w:val="2"/>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废水量（m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767" w:type="pct"/>
                  <w:vAlign w:val="center"/>
                </w:tcPr>
                <w:p>
                  <w:pPr>
                    <w:widowControl/>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144</w:t>
                  </w:r>
                </w:p>
              </w:tc>
              <w:tc>
                <w:tcPr>
                  <w:tcW w:w="935" w:type="pct"/>
                  <w:vAlign w:val="center"/>
                </w:tcPr>
                <w:p>
                  <w:pPr>
                    <w:widowControl/>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724" w:type="pct"/>
                  <w:vAlign w:val="center"/>
                </w:tcPr>
                <w:p>
                  <w:pPr>
                    <w:widowControl/>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2170" w:type="pct"/>
                  <w:gridSpan w:val="2"/>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COD（t/a）</w:t>
                  </w:r>
                </w:p>
              </w:tc>
              <w:tc>
                <w:tcPr>
                  <w:tcW w:w="767"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0.0504</w:t>
                  </w:r>
                </w:p>
              </w:tc>
              <w:tc>
                <w:tcPr>
                  <w:tcW w:w="935"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0.0101</w:t>
                  </w:r>
                </w:p>
              </w:tc>
              <w:tc>
                <w:tcPr>
                  <w:tcW w:w="724"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2170" w:type="pct"/>
                  <w:gridSpan w:val="2"/>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氨氮（t/a）</w:t>
                  </w:r>
                </w:p>
              </w:tc>
              <w:tc>
                <w:tcPr>
                  <w:tcW w:w="767"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0.0043</w:t>
                  </w:r>
                </w:p>
              </w:tc>
              <w:tc>
                <w:tcPr>
                  <w:tcW w:w="935"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724"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固体废物</w:t>
                  </w:r>
                </w:p>
              </w:tc>
              <w:tc>
                <w:tcPr>
                  <w:tcW w:w="2170" w:type="pct"/>
                  <w:gridSpan w:val="2"/>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生活垃圾（t/a）</w:t>
                  </w:r>
                </w:p>
              </w:tc>
              <w:tc>
                <w:tcPr>
                  <w:tcW w:w="76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2.25</w:t>
                  </w:r>
                </w:p>
              </w:tc>
              <w:tc>
                <w:tcPr>
                  <w:tcW w:w="935"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2.25</w:t>
                  </w:r>
                </w:p>
              </w:tc>
              <w:tc>
                <w:tcPr>
                  <w:tcW w:w="72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320" w:lineRule="exact"/>
                    <w:jc w:val="center"/>
                    <w:rPr>
                      <w:color w:val="000000" w:themeColor="text1"/>
                      <w:szCs w:val="21"/>
                      <w14:textFill>
                        <w14:solidFill>
                          <w14:schemeClr w14:val="tx1"/>
                        </w14:solidFill>
                      </w14:textFill>
                    </w:rPr>
                  </w:pPr>
                </w:p>
              </w:tc>
              <w:tc>
                <w:tcPr>
                  <w:tcW w:w="463" w:type="pct"/>
                  <w:vMerge w:val="restar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一般固废</w:t>
                  </w:r>
                </w:p>
              </w:tc>
              <w:tc>
                <w:tcPr>
                  <w:tcW w:w="170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废金属边角料</w:t>
                  </w:r>
                  <w:r>
                    <w:rPr>
                      <w:color w:val="000000" w:themeColor="text1"/>
                      <w:szCs w:val="21"/>
                      <w14:textFill>
                        <w14:solidFill>
                          <w14:schemeClr w14:val="tx1"/>
                        </w14:solidFill>
                      </w14:textFill>
                    </w:rPr>
                    <w:t>（t/a）</w:t>
                  </w:r>
                </w:p>
              </w:tc>
              <w:tc>
                <w:tcPr>
                  <w:tcW w:w="76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570" w:type="dxa"/>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72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463" w:type="pct"/>
                  <w:vMerge w:val="continue"/>
                  <w:vAlign w:val="center"/>
                </w:tcPr>
                <w:p>
                  <w:pPr>
                    <w:spacing w:line="320" w:lineRule="exact"/>
                    <w:jc w:val="center"/>
                    <w:rPr>
                      <w:color w:val="000000" w:themeColor="text1"/>
                      <w:szCs w:val="21"/>
                      <w14:textFill>
                        <w14:solidFill>
                          <w14:schemeClr w14:val="tx1"/>
                        </w14:solidFill>
                      </w14:textFill>
                    </w:rPr>
                  </w:pPr>
                </w:p>
              </w:tc>
              <w:tc>
                <w:tcPr>
                  <w:tcW w:w="170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废纸箱</w:t>
                  </w:r>
                  <w:r>
                    <w:rPr>
                      <w:color w:val="000000" w:themeColor="text1"/>
                      <w:szCs w:val="21"/>
                      <w14:textFill>
                        <w14:solidFill>
                          <w14:schemeClr w14:val="tx1"/>
                        </w14:solidFill>
                      </w14:textFill>
                    </w:rPr>
                    <w:t>（t/a）</w:t>
                  </w:r>
                </w:p>
              </w:tc>
              <w:tc>
                <w:tcPr>
                  <w:tcW w:w="76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1570" w:type="dxa"/>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72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463" w:type="pct"/>
                  <w:vMerge w:val="continue"/>
                  <w:vAlign w:val="center"/>
                </w:tcPr>
                <w:p>
                  <w:pPr>
                    <w:spacing w:line="320" w:lineRule="exact"/>
                    <w:jc w:val="center"/>
                    <w:rPr>
                      <w:color w:val="000000" w:themeColor="text1"/>
                      <w:szCs w:val="21"/>
                      <w14:textFill>
                        <w14:solidFill>
                          <w14:schemeClr w14:val="tx1"/>
                        </w14:solidFill>
                      </w14:textFill>
                    </w:rPr>
                  </w:pPr>
                </w:p>
              </w:tc>
              <w:tc>
                <w:tcPr>
                  <w:tcW w:w="170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旋风除尘器回收塑粉</w:t>
                  </w:r>
                  <w:r>
                    <w:rPr>
                      <w:color w:val="000000" w:themeColor="text1"/>
                      <w:szCs w:val="21"/>
                      <w14:textFill>
                        <w14:solidFill>
                          <w14:schemeClr w14:val="tx1"/>
                        </w14:solidFill>
                      </w14:textFill>
                    </w:rPr>
                    <w:t>（t/a）</w:t>
                  </w:r>
                </w:p>
              </w:tc>
              <w:tc>
                <w:tcPr>
                  <w:tcW w:w="76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8.16</w:t>
                  </w:r>
                </w:p>
              </w:tc>
              <w:tc>
                <w:tcPr>
                  <w:tcW w:w="1570" w:type="dxa"/>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8.16</w:t>
                  </w:r>
                </w:p>
              </w:tc>
              <w:tc>
                <w:tcPr>
                  <w:tcW w:w="72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vAlign w:val="center"/>
                </w:tcPr>
                <w:p>
                  <w:pPr>
                    <w:spacing w:line="320" w:lineRule="exact"/>
                    <w:jc w:val="center"/>
                    <w:rPr>
                      <w:color w:val="000000" w:themeColor="text1"/>
                      <w:szCs w:val="21"/>
                      <w14:textFill>
                        <w14:solidFill>
                          <w14:schemeClr w14:val="tx1"/>
                        </w14:solidFill>
                      </w14:textFill>
                    </w:rPr>
                  </w:pPr>
                </w:p>
              </w:tc>
              <w:tc>
                <w:tcPr>
                  <w:tcW w:w="463" w:type="pct"/>
                  <w:vMerge w:val="continue"/>
                  <w:vAlign w:val="center"/>
                </w:tcPr>
                <w:p>
                  <w:pPr>
                    <w:spacing w:line="320" w:lineRule="exact"/>
                    <w:jc w:val="center"/>
                    <w:rPr>
                      <w:color w:val="000000" w:themeColor="text1"/>
                      <w:szCs w:val="21"/>
                      <w14:textFill>
                        <w14:solidFill>
                          <w14:schemeClr w14:val="tx1"/>
                        </w14:solidFill>
                      </w14:textFill>
                    </w:rPr>
                  </w:pPr>
                </w:p>
              </w:tc>
              <w:tc>
                <w:tcPr>
                  <w:tcW w:w="170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废滤筒</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个</w:t>
                  </w:r>
                  <w:r>
                    <w:rPr>
                      <w:color w:val="000000" w:themeColor="text1"/>
                      <w:szCs w:val="21"/>
                      <w14:textFill>
                        <w14:solidFill>
                          <w14:schemeClr w14:val="tx1"/>
                        </w14:solidFill>
                      </w14:textFill>
                    </w:rPr>
                    <w:t>/a）</w:t>
                  </w:r>
                </w:p>
              </w:tc>
              <w:tc>
                <w:tcPr>
                  <w:tcW w:w="767" w:type="pct"/>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570" w:type="dxa"/>
                  <w:vAlign w:val="center"/>
                </w:tcPr>
                <w:p>
                  <w:pPr>
                    <w:widowControl/>
                    <w:spacing w:line="320" w:lineRule="exact"/>
                    <w:contextualSpacing/>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72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463" w:type="pct"/>
                  <w:vMerge w:val="restar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w:t>
                  </w:r>
                </w:p>
              </w:tc>
              <w:tc>
                <w:tcPr>
                  <w:tcW w:w="1707" w:type="pct"/>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废液压油</w:t>
                  </w:r>
                  <w:r>
                    <w:rPr>
                      <w:color w:val="000000" w:themeColor="text1"/>
                      <w:szCs w:val="21"/>
                      <w14:textFill>
                        <w14:solidFill>
                          <w14:schemeClr w14:val="tx1"/>
                        </w14:solidFill>
                      </w14:textFill>
                    </w:rPr>
                    <w:t>（t/a）</w:t>
                  </w:r>
                </w:p>
              </w:tc>
              <w:tc>
                <w:tcPr>
                  <w:tcW w:w="767" w:type="pct"/>
                  <w:vAlign w:val="center"/>
                </w:tcPr>
                <w:p>
                  <w:pPr>
                    <w:widowControl/>
                    <w:topLinePunct/>
                    <w:adjustRightInd w:val="0"/>
                    <w:snapToGrid w:val="0"/>
                    <w:spacing w:line="320" w:lineRule="exac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0.00</w:t>
                  </w:r>
                  <w:r>
                    <w:rPr>
                      <w:rFonts w:hint="eastAsia"/>
                      <w:color w:val="000000" w:themeColor="text1"/>
                      <w:szCs w:val="21"/>
                      <w:lang w:val="en-US" w:eastAsia="zh-CN"/>
                      <w14:textFill>
                        <w14:solidFill>
                          <w14:schemeClr w14:val="tx1"/>
                        </w14:solidFill>
                      </w14:textFill>
                    </w:rPr>
                    <w:t>8</w:t>
                  </w:r>
                </w:p>
              </w:tc>
              <w:tc>
                <w:tcPr>
                  <w:tcW w:w="1570" w:type="dxa"/>
                  <w:vAlign w:val="center"/>
                </w:tcPr>
                <w:p>
                  <w:pPr>
                    <w:widowControl/>
                    <w:topLinePunct/>
                    <w:adjustRightInd w:val="0"/>
                    <w:snapToGrid w:val="0"/>
                    <w:spacing w:line="320" w:lineRule="exact"/>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0.00</w:t>
                  </w:r>
                  <w:r>
                    <w:rPr>
                      <w:rFonts w:hint="eastAsia"/>
                      <w:color w:val="000000" w:themeColor="text1"/>
                      <w:szCs w:val="21"/>
                      <w:lang w:val="en-US" w:eastAsia="zh-CN"/>
                      <w14:textFill>
                        <w14:solidFill>
                          <w14:schemeClr w14:val="tx1"/>
                        </w14:solidFill>
                      </w14:textFill>
                    </w:rPr>
                    <w:t>8</w:t>
                  </w:r>
                </w:p>
              </w:tc>
              <w:tc>
                <w:tcPr>
                  <w:tcW w:w="724"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463" w:type="pct"/>
                  <w:vMerge w:val="continue"/>
                  <w:vAlign w:val="center"/>
                </w:tcPr>
                <w:p>
                  <w:pPr>
                    <w:spacing w:line="320" w:lineRule="exact"/>
                    <w:jc w:val="center"/>
                    <w:rPr>
                      <w:color w:val="000000" w:themeColor="text1"/>
                      <w:szCs w:val="21"/>
                      <w14:textFill>
                        <w14:solidFill>
                          <w14:schemeClr w14:val="tx1"/>
                        </w14:solidFill>
                      </w14:textFill>
                    </w:rPr>
                  </w:pPr>
                </w:p>
              </w:tc>
              <w:tc>
                <w:tcPr>
                  <w:tcW w:w="1707" w:type="pct"/>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废磷化液桶</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个</w:t>
                  </w:r>
                  <w:r>
                    <w:rPr>
                      <w:color w:val="000000" w:themeColor="text1"/>
                      <w:szCs w:val="21"/>
                      <w14:textFill>
                        <w14:solidFill>
                          <w14:schemeClr w14:val="tx1"/>
                        </w14:solidFill>
                      </w14:textFill>
                    </w:rPr>
                    <w:t>/a）</w:t>
                  </w:r>
                </w:p>
              </w:tc>
              <w:tc>
                <w:tcPr>
                  <w:tcW w:w="767" w:type="pct"/>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570" w:type="dxa"/>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724"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463" w:type="pct"/>
                  <w:vMerge w:val="continue"/>
                  <w:vAlign w:val="center"/>
                </w:tcPr>
                <w:p>
                  <w:pPr>
                    <w:spacing w:line="320" w:lineRule="exact"/>
                    <w:jc w:val="center"/>
                    <w:rPr>
                      <w:color w:val="000000" w:themeColor="text1"/>
                      <w:szCs w:val="21"/>
                      <w14:textFill>
                        <w14:solidFill>
                          <w14:schemeClr w14:val="tx1"/>
                        </w14:solidFill>
                      </w14:textFill>
                    </w:rPr>
                  </w:pPr>
                </w:p>
              </w:tc>
              <w:tc>
                <w:tcPr>
                  <w:tcW w:w="1707" w:type="pct"/>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废磷化抹布及手套</w:t>
                  </w:r>
                  <w:r>
                    <w:rPr>
                      <w:color w:val="000000" w:themeColor="text1"/>
                      <w:szCs w:val="21"/>
                      <w14:textFill>
                        <w14:solidFill>
                          <w14:schemeClr w14:val="tx1"/>
                        </w14:solidFill>
                      </w14:textFill>
                    </w:rPr>
                    <w:t>（t/a）</w:t>
                  </w:r>
                </w:p>
              </w:tc>
              <w:tc>
                <w:tcPr>
                  <w:tcW w:w="767" w:type="pct"/>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1570" w:type="dxa"/>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724"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463" w:type="pct"/>
                  <w:vMerge w:val="continue"/>
                  <w:vAlign w:val="center"/>
                </w:tcPr>
                <w:p>
                  <w:pPr>
                    <w:spacing w:line="320" w:lineRule="exact"/>
                    <w:jc w:val="center"/>
                    <w:rPr>
                      <w:color w:val="000000" w:themeColor="text1"/>
                      <w:szCs w:val="21"/>
                      <w14:textFill>
                        <w14:solidFill>
                          <w14:schemeClr w14:val="tx1"/>
                        </w14:solidFill>
                      </w14:textFill>
                    </w:rPr>
                  </w:pPr>
                </w:p>
              </w:tc>
              <w:tc>
                <w:tcPr>
                  <w:tcW w:w="1707" w:type="pct"/>
                  <w:vAlign w:val="center"/>
                </w:tcPr>
                <w:p>
                  <w:pPr>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废UV灯管</w:t>
                  </w:r>
                  <w:r>
                    <w:rPr>
                      <w:color w:val="000000" w:themeColor="text1"/>
                      <w:szCs w:val="21"/>
                      <w14:textFill>
                        <w14:solidFill>
                          <w14:schemeClr w14:val="tx1"/>
                        </w14:solidFill>
                      </w14:textFill>
                    </w:rPr>
                    <w:t>（t/a）</w:t>
                  </w:r>
                </w:p>
              </w:tc>
              <w:tc>
                <w:tcPr>
                  <w:tcW w:w="767" w:type="pct"/>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c>
                <w:tcPr>
                  <w:tcW w:w="1570" w:type="dxa"/>
                  <w:vAlign w:val="center"/>
                </w:tcPr>
                <w:p>
                  <w:pPr>
                    <w:widowControl/>
                    <w:topLinePunct/>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c>
                <w:tcPr>
                  <w:tcW w:w="72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vMerge w:val="continue"/>
                </w:tcPr>
                <w:p>
                  <w:pPr>
                    <w:spacing w:line="320" w:lineRule="exact"/>
                    <w:jc w:val="center"/>
                    <w:rPr>
                      <w:color w:val="000000" w:themeColor="text1"/>
                      <w:szCs w:val="21"/>
                      <w14:textFill>
                        <w14:solidFill>
                          <w14:schemeClr w14:val="tx1"/>
                        </w14:solidFill>
                      </w14:textFill>
                    </w:rPr>
                  </w:pPr>
                </w:p>
              </w:tc>
              <w:tc>
                <w:tcPr>
                  <w:tcW w:w="463" w:type="pct"/>
                  <w:vMerge w:val="continue"/>
                  <w:vAlign w:val="center"/>
                </w:tcPr>
                <w:p>
                  <w:pPr>
                    <w:spacing w:line="320" w:lineRule="exact"/>
                    <w:jc w:val="center"/>
                    <w:rPr>
                      <w:color w:val="000000" w:themeColor="text1"/>
                      <w:szCs w:val="21"/>
                      <w14:textFill>
                        <w14:solidFill>
                          <w14:schemeClr w14:val="tx1"/>
                        </w14:solidFill>
                      </w14:textFill>
                    </w:rPr>
                  </w:pPr>
                </w:p>
              </w:tc>
              <w:tc>
                <w:tcPr>
                  <w:tcW w:w="1707" w:type="pct"/>
                  <w:vAlign w:val="center"/>
                </w:tcPr>
                <w:p>
                  <w:pPr>
                    <w:topLinePunct/>
                    <w:adjustRightInd w:val="0"/>
                    <w:snapToGrid w:val="0"/>
                    <w:spacing w:line="320" w:lineRule="exact"/>
                    <w:jc w:val="center"/>
                    <w:rPr>
                      <w:b/>
                      <w:bCs/>
                      <w:color w:val="000000" w:themeColor="text1"/>
                      <w:szCs w:val="21"/>
                      <w:u w:val="single"/>
                      <w14:textFill>
                        <w14:solidFill>
                          <w14:schemeClr w14:val="tx1"/>
                        </w14:solidFill>
                      </w14:textFill>
                    </w:rPr>
                  </w:pPr>
                  <w:r>
                    <w:rPr>
                      <w:rFonts w:hint="eastAsia"/>
                      <w:b/>
                      <w:bCs/>
                      <w:color w:val="000000" w:themeColor="text1"/>
                      <w:szCs w:val="21"/>
                      <w:u w:val="single"/>
                      <w14:textFill>
                        <w14:solidFill>
                          <w14:schemeClr w14:val="tx1"/>
                        </w14:solidFill>
                      </w14:textFill>
                    </w:rPr>
                    <w:t>废活性炭</w:t>
                  </w:r>
                  <w:r>
                    <w:rPr>
                      <w:b/>
                      <w:bCs/>
                      <w:color w:val="000000" w:themeColor="text1"/>
                      <w:szCs w:val="21"/>
                      <w:u w:val="single"/>
                      <w14:textFill>
                        <w14:solidFill>
                          <w14:schemeClr w14:val="tx1"/>
                        </w14:solidFill>
                      </w14:textFill>
                    </w:rPr>
                    <w:t>（t/a）</w:t>
                  </w:r>
                </w:p>
              </w:tc>
              <w:tc>
                <w:tcPr>
                  <w:tcW w:w="767" w:type="pct"/>
                  <w:vAlign w:val="center"/>
                </w:tcPr>
                <w:p>
                  <w:pPr>
                    <w:widowControl/>
                    <w:topLinePunct/>
                    <w:adjustRightInd w:val="0"/>
                    <w:snapToGrid w:val="0"/>
                    <w:spacing w:line="320" w:lineRule="exact"/>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0.136</w:t>
                  </w:r>
                </w:p>
              </w:tc>
              <w:tc>
                <w:tcPr>
                  <w:tcW w:w="1570" w:type="dxa"/>
                  <w:vAlign w:val="center"/>
                </w:tcPr>
                <w:p>
                  <w:pPr>
                    <w:widowControl/>
                    <w:topLinePunct/>
                    <w:adjustRightInd w:val="0"/>
                    <w:snapToGrid w:val="0"/>
                    <w:spacing w:line="320" w:lineRule="exact"/>
                    <w:jc w:val="center"/>
                    <w:rPr>
                      <w:rFonts w:hint="default" w:eastAsia="宋体"/>
                      <w:b/>
                      <w:bCs/>
                      <w:color w:val="000000" w:themeColor="text1"/>
                      <w:szCs w:val="21"/>
                      <w:u w:val="single"/>
                      <w:lang w:val="en-US" w:eastAsia="zh-CN"/>
                      <w14:textFill>
                        <w14:solidFill>
                          <w14:schemeClr w14:val="tx1"/>
                        </w14:solidFill>
                      </w14:textFill>
                    </w:rPr>
                  </w:pPr>
                  <w:r>
                    <w:rPr>
                      <w:rFonts w:hint="eastAsia"/>
                      <w:b/>
                      <w:bCs/>
                      <w:color w:val="000000" w:themeColor="text1"/>
                      <w:szCs w:val="21"/>
                      <w:u w:val="single"/>
                      <w:lang w:val="en-US" w:eastAsia="zh-CN"/>
                      <w14:textFill>
                        <w14:solidFill>
                          <w14:schemeClr w14:val="tx1"/>
                        </w14:solidFill>
                      </w14:textFill>
                    </w:rPr>
                    <w:t>0.136</w:t>
                  </w:r>
                </w:p>
              </w:tc>
              <w:tc>
                <w:tcPr>
                  <w:tcW w:w="72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r>
          </w:tbl>
          <w:p>
            <w:pPr>
              <w:spacing w:line="460" w:lineRule="exact"/>
              <w:ind w:firstLine="480" w:firstLineChars="200"/>
              <w:textAlignment w:val="baseline"/>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、环保投资及环保验收</w:t>
            </w:r>
          </w:p>
          <w:p>
            <w:pPr>
              <w:spacing w:line="460" w:lineRule="exact"/>
              <w:ind w:firstLine="480" w:firstLineChars="200"/>
              <w:textAlignment w:val="baseline"/>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建设</w:t>
            </w:r>
            <w:r>
              <w:rPr>
                <w:color w:val="000000" w:themeColor="text1"/>
                <w:sz w:val="24"/>
                <w14:textFill>
                  <w14:solidFill>
                    <w14:schemeClr w14:val="tx1"/>
                  </w14:solidFill>
                </w14:textFill>
              </w:rPr>
              <w:t>总投资</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万元，其中环保投资为</w:t>
            </w:r>
            <w:r>
              <w:rPr>
                <w:rFonts w:hint="eastAsia"/>
                <w:color w:val="000000" w:themeColor="text1"/>
                <w:sz w:val="24"/>
                <w14:textFill>
                  <w14:solidFill>
                    <w14:schemeClr w14:val="tx1"/>
                  </w14:solidFill>
                </w14:textFill>
              </w:rPr>
              <w:t>6.6</w:t>
            </w:r>
            <w:r>
              <w:rPr>
                <w:color w:val="000000" w:themeColor="text1"/>
                <w:sz w:val="24"/>
                <w14:textFill>
                  <w14:solidFill>
                    <w14:schemeClr w14:val="tx1"/>
                  </w14:solidFill>
                </w14:textFill>
              </w:rPr>
              <w:t>万元，约占总投资的</w:t>
            </w:r>
            <w:r>
              <w:rPr>
                <w:rFonts w:hint="eastAsia"/>
                <w:color w:val="000000" w:themeColor="text1"/>
                <w:sz w:val="24"/>
                <w:lang w:val="en-US" w:eastAsia="zh-CN"/>
                <w14:textFill>
                  <w14:solidFill>
                    <w14:schemeClr w14:val="tx1"/>
                  </w14:solidFill>
                </w14:textFill>
              </w:rPr>
              <w:t>13.2</w:t>
            </w:r>
            <w:r>
              <w:rPr>
                <w:color w:val="000000" w:themeColor="text1"/>
                <w:sz w:val="24"/>
                <w14:textFill>
                  <w14:solidFill>
                    <w14:schemeClr w14:val="tx1"/>
                  </w14:solidFill>
                </w14:textFill>
              </w:rPr>
              <w:t>%，具体内容见下表</w:t>
            </w:r>
            <w:r>
              <w:rPr>
                <w:rFonts w:hint="eastAsia"/>
                <w:color w:val="000000" w:themeColor="text1"/>
                <w:sz w:val="24"/>
                <w:lang w:val="en-US" w:eastAsia="zh-CN"/>
                <w14:textFill>
                  <w14:solidFill>
                    <w14:schemeClr w14:val="tx1"/>
                  </w14:solidFill>
                </w14:textFill>
              </w:rPr>
              <w:t>32</w:t>
            </w:r>
            <w:r>
              <w:rPr>
                <w:rFonts w:hint="eastAsia"/>
                <w:color w:val="000000" w:themeColor="text1"/>
                <w:sz w:val="24"/>
                <w14:textFill>
                  <w14:solidFill>
                    <w14:schemeClr w14:val="tx1"/>
                  </w14:solidFill>
                </w14:textFill>
              </w:rPr>
              <w:t>。</w:t>
            </w:r>
          </w:p>
          <w:p>
            <w:pPr>
              <w:pStyle w:val="6"/>
              <w:numPr>
                <w:ilvl w:val="0"/>
                <w:numId w:val="0"/>
              </w:numPr>
              <w:ind w:firstLine="48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32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工程环保分项投资</w:t>
            </w:r>
            <w:r>
              <w:rPr>
                <w:rFonts w:hint="eastAsia"/>
                <w:color w:val="000000" w:themeColor="text1"/>
                <w14:textFill>
                  <w14:solidFill>
                    <w14:schemeClr w14:val="tx1"/>
                  </w14:solidFill>
                </w14:textFill>
              </w:rPr>
              <w:t>及“三同时”验收</w:t>
            </w:r>
            <w:r>
              <w:rPr>
                <w:color w:val="000000" w:themeColor="text1"/>
                <w14:textFill>
                  <w14:solidFill>
                    <w14:schemeClr w14:val="tx1"/>
                  </w14:solidFill>
                </w14:textFill>
              </w:rPr>
              <w:t>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490"/>
              <w:gridCol w:w="1312"/>
              <w:gridCol w:w="975"/>
              <w:gridCol w:w="1193"/>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10"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w:t>
                  </w:r>
                </w:p>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888"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污染</w:t>
                  </w:r>
                  <w:r>
                    <w:rPr>
                      <w:rFonts w:hint="eastAsia"/>
                      <w:color w:val="000000" w:themeColor="text1"/>
                      <w14:textFill>
                        <w14:solidFill>
                          <w14:schemeClr w14:val="tx1"/>
                        </w14:solidFill>
                      </w14:textFill>
                    </w:rPr>
                    <w:t>物</w:t>
                  </w:r>
                </w:p>
              </w:tc>
              <w:tc>
                <w:tcPr>
                  <w:tcW w:w="1363" w:type="pct"/>
                  <w:gridSpan w:val="2"/>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主要环保措施</w:t>
                  </w:r>
                </w:p>
              </w:tc>
              <w:tc>
                <w:tcPr>
                  <w:tcW w:w="711"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环保投资</w:t>
                  </w:r>
                </w:p>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（万元）</w:t>
                  </w:r>
                </w:p>
              </w:tc>
              <w:tc>
                <w:tcPr>
                  <w:tcW w:w="1626"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环保验收指标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0"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污水</w:t>
                  </w:r>
                </w:p>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处理</w:t>
                  </w:r>
                </w:p>
              </w:tc>
              <w:tc>
                <w:tcPr>
                  <w:tcW w:w="888"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生活污水</w:t>
                  </w:r>
                </w:p>
              </w:tc>
              <w:tc>
                <w:tcPr>
                  <w:tcW w:w="1363" w:type="pct"/>
                  <w:gridSpan w:val="2"/>
                  <w:vAlign w:val="center"/>
                </w:tcPr>
                <w:p>
                  <w:pPr>
                    <w:spacing w:line="320" w:lineRule="exact"/>
                    <w:jc w:val="center"/>
                    <w:rPr>
                      <w:b/>
                      <w:bCs/>
                      <w:color w:val="000000" w:themeColor="text1"/>
                      <w:u w:val="single"/>
                      <w14:textFill>
                        <w14:solidFill>
                          <w14:schemeClr w14:val="tx1"/>
                        </w14:solidFill>
                      </w14:textFill>
                    </w:rPr>
                  </w:pPr>
                  <w:r>
                    <w:rPr>
                      <w:rFonts w:hint="eastAsia"/>
                      <w:b/>
                      <w:bCs/>
                      <w:color w:val="000000" w:themeColor="text1"/>
                      <w:u w:val="single"/>
                      <w:lang w:val="en-US" w:eastAsia="zh-CN"/>
                      <w14:textFill>
                        <w14:solidFill>
                          <w14:schemeClr w14:val="tx1"/>
                        </w14:solidFill>
                      </w14:textFill>
                    </w:rPr>
                    <w:t>9</w:t>
                  </w:r>
                  <w:r>
                    <w:rPr>
                      <w:rFonts w:hint="eastAsia"/>
                      <w:b/>
                      <w:bCs/>
                      <w:color w:val="000000" w:themeColor="text1"/>
                      <w:u w:val="single"/>
                      <w14:textFill>
                        <w14:solidFill>
                          <w14:schemeClr w14:val="tx1"/>
                        </w14:solidFill>
                      </w14:textFill>
                    </w:rPr>
                    <w:t>m</w:t>
                  </w:r>
                  <w:r>
                    <w:rPr>
                      <w:rFonts w:hint="eastAsia"/>
                      <w:b/>
                      <w:bCs/>
                      <w:color w:val="000000" w:themeColor="text1"/>
                      <w:u w:val="single"/>
                      <w:vertAlign w:val="superscript"/>
                      <w14:textFill>
                        <w14:solidFill>
                          <w14:schemeClr w14:val="tx1"/>
                        </w14:solidFill>
                      </w14:textFill>
                    </w:rPr>
                    <w:t>3</w:t>
                  </w:r>
                  <w:r>
                    <w:rPr>
                      <w:rFonts w:hint="eastAsia"/>
                      <w:b/>
                      <w:bCs/>
                      <w:color w:val="000000" w:themeColor="text1"/>
                      <w:u w:val="single"/>
                      <w14:textFill>
                        <w14:solidFill>
                          <w14:schemeClr w14:val="tx1"/>
                        </w14:solidFill>
                      </w14:textFill>
                    </w:rPr>
                    <w:t>化粪池</w:t>
                  </w:r>
                </w:p>
                <w:p>
                  <w:pPr>
                    <w:spacing w:line="320" w:lineRule="exact"/>
                    <w:jc w:val="center"/>
                    <w:rPr>
                      <w:color w:val="000000" w:themeColor="text1"/>
                      <w14:textFill>
                        <w14:solidFill>
                          <w14:schemeClr w14:val="tx1"/>
                        </w14:solidFill>
                      </w14:textFill>
                    </w:rPr>
                  </w:pPr>
                  <w:r>
                    <w:rPr>
                      <w:rFonts w:hint="eastAsia"/>
                      <w:b/>
                      <w:bCs/>
                      <w:color w:val="000000" w:themeColor="text1"/>
                      <w:u w:val="single"/>
                      <w14:textFill>
                        <w14:solidFill>
                          <w14:schemeClr w14:val="tx1"/>
                        </w14:solidFill>
                      </w14:textFill>
                    </w:rPr>
                    <w:t>（依托现有）</w:t>
                  </w:r>
                </w:p>
              </w:tc>
              <w:tc>
                <w:tcPr>
                  <w:tcW w:w="711"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626"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定期清掏至周围农田施肥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10" w:type="pct"/>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废气控制</w:t>
                  </w:r>
                </w:p>
              </w:tc>
              <w:tc>
                <w:tcPr>
                  <w:tcW w:w="1490" w:type="dxa"/>
                  <w:vAlign w:val="center"/>
                </w:tcPr>
                <w:p>
                  <w:pPr>
                    <w:adjustRightInd w:val="0"/>
                    <w:snapToGrid w:val="0"/>
                    <w:spacing w:line="320" w:lineRule="exact"/>
                    <w:jc w:val="center"/>
                    <w:rPr>
                      <w:color w:val="000000" w:themeColor="text1"/>
                      <w:highlight w:val="yellow"/>
                      <w14:textFill>
                        <w14:solidFill>
                          <w14:schemeClr w14:val="tx1"/>
                        </w14:solidFill>
                      </w14:textFill>
                    </w:rPr>
                  </w:pPr>
                  <w:r>
                    <w:rPr>
                      <w:rFonts w:hint="eastAsia"/>
                      <w:b/>
                      <w:bCs w:val="0"/>
                      <w:color w:val="000000" w:themeColor="text1"/>
                      <w:spacing w:val="-3"/>
                      <w:szCs w:val="21"/>
                      <w:u w:val="single"/>
                      <w14:textFill>
                        <w14:solidFill>
                          <w14:schemeClr w14:val="tx1"/>
                        </w14:solidFill>
                      </w14:textFill>
                    </w:rPr>
                    <w:t>焊接</w:t>
                  </w:r>
                  <w:r>
                    <w:rPr>
                      <w:rFonts w:hint="eastAsia"/>
                      <w:b/>
                      <w:bCs w:val="0"/>
                      <w:color w:val="000000" w:themeColor="text1"/>
                      <w:u w:val="single"/>
                      <w:lang w:val="en-US" w:eastAsia="zh-CN"/>
                      <w14:textFill>
                        <w14:solidFill>
                          <w14:schemeClr w14:val="tx1"/>
                        </w14:solidFill>
                      </w14:textFill>
                    </w:rPr>
                    <w:t>粉尘</w:t>
                  </w:r>
                </w:p>
              </w:tc>
              <w:tc>
                <w:tcPr>
                  <w:tcW w:w="1312" w:type="dxa"/>
                  <w:vAlign w:val="center"/>
                </w:tcPr>
                <w:p>
                  <w:pPr>
                    <w:adjustRightInd w:val="0"/>
                    <w:snapToGrid w:val="0"/>
                    <w:spacing w:line="320" w:lineRule="exact"/>
                    <w:jc w:val="center"/>
                    <w:rPr>
                      <w:color w:val="000000" w:themeColor="text1"/>
                      <w14:textFill>
                        <w14:solidFill>
                          <w14:schemeClr w14:val="tx1"/>
                        </w14:solidFill>
                      </w14:textFill>
                    </w:rPr>
                  </w:pPr>
                  <w:r>
                    <w:rPr>
                      <w:rFonts w:hint="eastAsia"/>
                      <w:b/>
                      <w:bCs w:val="0"/>
                      <w:color w:val="000000" w:themeColor="text1"/>
                      <w:u w:val="single"/>
                      <w14:textFill>
                        <w14:solidFill>
                          <w14:schemeClr w14:val="tx1"/>
                        </w14:solidFill>
                      </w14:textFill>
                    </w:rPr>
                    <w:t>焊接</w:t>
                  </w:r>
                  <w:r>
                    <w:rPr>
                      <w:rFonts w:hint="eastAsia"/>
                      <w:b/>
                      <w:bCs w:val="0"/>
                      <w:color w:val="000000" w:themeColor="text1"/>
                      <w:u w:val="single"/>
                      <w:lang w:val="en-US" w:eastAsia="zh-CN"/>
                      <w14:textFill>
                        <w14:solidFill>
                          <w14:schemeClr w14:val="tx1"/>
                        </w14:solidFill>
                      </w14:textFill>
                    </w:rPr>
                    <w:t>区域</w:t>
                  </w:r>
                  <w:r>
                    <w:rPr>
                      <w:rFonts w:hint="eastAsia"/>
                      <w:b/>
                      <w:bCs w:val="0"/>
                      <w:color w:val="000000" w:themeColor="text1"/>
                      <w:u w:val="single"/>
                      <w14:textFill>
                        <w14:solidFill>
                          <w14:schemeClr w14:val="tx1"/>
                        </w14:solidFill>
                      </w14:textFill>
                    </w:rPr>
                    <w:t>二次密闭</w:t>
                  </w:r>
                  <w:r>
                    <w:rPr>
                      <w:rFonts w:hint="eastAsia"/>
                      <w:b/>
                      <w:bCs w:val="0"/>
                      <w:color w:val="000000" w:themeColor="text1"/>
                      <w:u w:val="single"/>
                      <w:lang w:val="en-US" w:eastAsia="zh-CN"/>
                      <w14:textFill>
                        <w14:solidFill>
                          <w14:schemeClr w14:val="tx1"/>
                        </w14:solidFill>
                      </w14:textFill>
                    </w:rPr>
                    <w:t>+工位上方设置</w:t>
                  </w:r>
                  <w:r>
                    <w:rPr>
                      <w:rFonts w:hint="eastAsia"/>
                      <w:b/>
                      <w:bCs w:val="0"/>
                      <w:color w:val="000000" w:themeColor="text1"/>
                      <w:u w:val="single"/>
                      <w14:textFill>
                        <w14:solidFill>
                          <w14:schemeClr w14:val="tx1"/>
                        </w14:solidFill>
                      </w14:textFill>
                    </w:rPr>
                    <w:t>集气罩</w:t>
                  </w:r>
                </w:p>
              </w:tc>
              <w:tc>
                <w:tcPr>
                  <w:tcW w:w="581" w:type="pct"/>
                  <w:vMerge w:val="restart"/>
                  <w:vAlign w:val="center"/>
                </w:tcPr>
                <w:p>
                  <w:pPr>
                    <w:spacing w:line="320" w:lineRule="exact"/>
                    <w:jc w:val="center"/>
                    <w:rPr>
                      <w:rFonts w:hint="eastAsia"/>
                      <w:b/>
                      <w:bCs/>
                      <w:color w:val="000000" w:themeColor="text1"/>
                      <w:u w:val="single"/>
                      <w14:textFill>
                        <w14:solidFill>
                          <w14:schemeClr w14:val="tx1"/>
                        </w14:solidFill>
                      </w14:textFill>
                    </w:rPr>
                  </w:pPr>
                  <w:r>
                    <w:rPr>
                      <w:rFonts w:hint="eastAsia"/>
                      <w:b/>
                      <w:bCs/>
                      <w:color w:val="000000" w:themeColor="text1"/>
                      <w:u w:val="single"/>
                      <w14:textFill>
                        <w14:solidFill>
                          <w14:schemeClr w14:val="tx1"/>
                        </w14:solidFill>
                      </w14:textFill>
                    </w:rPr>
                    <w:t>袋式除尘器+15m高排气筒（1#）</w:t>
                  </w:r>
                </w:p>
              </w:tc>
              <w:tc>
                <w:tcPr>
                  <w:tcW w:w="711" w:type="pct"/>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626" w:type="pct"/>
                  <w:vMerge w:val="restart"/>
                  <w:vAlign w:val="center"/>
                </w:tcPr>
                <w:p>
                  <w:pPr>
                    <w:spacing w:line="320" w:lineRule="exact"/>
                    <w:jc w:val="center"/>
                    <w:rPr>
                      <w:color w:val="000000" w:themeColor="text1"/>
                      <w:highlight w:val="yellow"/>
                      <w14:textFill>
                        <w14:solidFill>
                          <w14:schemeClr w14:val="tx1"/>
                        </w14:solidFill>
                      </w14:textFill>
                    </w:rPr>
                  </w:pPr>
                  <w:r>
                    <w:rPr>
                      <w:rFonts w:hint="eastAsia"/>
                      <w:color w:val="000000" w:themeColor="text1"/>
                      <w:szCs w:val="21"/>
                      <w14:textFill>
                        <w14:solidFill>
                          <w14:schemeClr w14:val="tx1"/>
                        </w14:solidFill>
                      </w14:textFill>
                    </w:rPr>
                    <w:t>《大气污染物综合排放标准》（</w:t>
                  </w:r>
                  <w:r>
                    <w:rPr>
                      <w:color w:val="000000" w:themeColor="text1"/>
                      <w:szCs w:val="21"/>
                      <w14:textFill>
                        <w14:solidFill>
                          <w14:schemeClr w14:val="tx1"/>
                        </w14:solidFill>
                      </w14:textFill>
                    </w:rPr>
                    <w:t>GB16297-1996</w:t>
                  </w:r>
                  <w:r>
                    <w:rPr>
                      <w:rFonts w:hint="eastAsia"/>
                      <w:color w:val="000000" w:themeColor="text1"/>
                      <w:szCs w:val="21"/>
                      <w14:textFill>
                        <w14:solidFill>
                          <w14:schemeClr w14:val="tx1"/>
                        </w14:solidFill>
                      </w14:textFill>
                    </w:rPr>
                    <w:t>）表2排放限值要求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10" w:type="pct"/>
                  <w:vMerge w:val="continue"/>
                  <w:vAlign w:val="center"/>
                </w:tcPr>
                <w:p>
                  <w:pPr>
                    <w:spacing w:line="320" w:lineRule="exact"/>
                    <w:jc w:val="center"/>
                    <w:rPr>
                      <w:color w:val="000000" w:themeColor="text1"/>
                      <w14:textFill>
                        <w14:solidFill>
                          <w14:schemeClr w14:val="tx1"/>
                        </w14:solidFill>
                      </w14:textFill>
                    </w:rPr>
                  </w:pPr>
                </w:p>
              </w:tc>
              <w:tc>
                <w:tcPr>
                  <w:tcW w:w="1490" w:type="dxa"/>
                  <w:vAlign w:val="center"/>
                </w:tcPr>
                <w:p>
                  <w:pPr>
                    <w:adjustRightInd w:val="0"/>
                    <w:snapToGrid w:val="0"/>
                    <w:spacing w:line="320" w:lineRule="exact"/>
                    <w:jc w:val="center"/>
                    <w:rPr>
                      <w:rFonts w:hint="eastAsia"/>
                      <w:color w:val="000000" w:themeColor="text1"/>
                      <w14:textFill>
                        <w14:solidFill>
                          <w14:schemeClr w14:val="tx1"/>
                        </w14:solidFill>
                      </w14:textFill>
                    </w:rPr>
                  </w:pPr>
                  <w:r>
                    <w:rPr>
                      <w:rFonts w:hint="eastAsia"/>
                      <w:b/>
                      <w:bCs w:val="0"/>
                      <w:color w:val="000000" w:themeColor="text1"/>
                      <w:spacing w:val="-3"/>
                      <w:szCs w:val="21"/>
                      <w:u w:val="single"/>
                      <w14:textFill>
                        <w14:solidFill>
                          <w14:schemeClr w14:val="tx1"/>
                        </w14:solidFill>
                      </w14:textFill>
                    </w:rPr>
                    <w:t>切割粉尘</w:t>
                  </w:r>
                </w:p>
              </w:tc>
              <w:tc>
                <w:tcPr>
                  <w:tcW w:w="1312" w:type="dxa"/>
                  <w:vAlign w:val="center"/>
                </w:tcPr>
                <w:p>
                  <w:pPr>
                    <w:adjustRightInd w:val="0"/>
                    <w:snapToGrid w:val="0"/>
                    <w:spacing w:line="320" w:lineRule="exact"/>
                    <w:jc w:val="center"/>
                    <w:rPr>
                      <w:rFonts w:hint="eastAsia"/>
                      <w:color w:val="000000" w:themeColor="text1"/>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工位上方设置集气罩</w:t>
                  </w:r>
                </w:p>
              </w:tc>
              <w:tc>
                <w:tcPr>
                  <w:tcW w:w="581" w:type="pct"/>
                  <w:vMerge w:val="continue"/>
                  <w:vAlign w:val="center"/>
                </w:tcPr>
                <w:p>
                  <w:pPr>
                    <w:spacing w:line="320" w:lineRule="exact"/>
                    <w:jc w:val="center"/>
                    <w:rPr>
                      <w:rFonts w:hint="eastAsia"/>
                      <w:color w:val="000000" w:themeColor="text1"/>
                      <w14:textFill>
                        <w14:solidFill>
                          <w14:schemeClr w14:val="tx1"/>
                        </w14:solidFill>
                      </w14:textFill>
                    </w:rPr>
                  </w:pPr>
                </w:p>
              </w:tc>
              <w:tc>
                <w:tcPr>
                  <w:tcW w:w="711" w:type="pct"/>
                  <w:vMerge w:val="continue"/>
                  <w:vAlign w:val="center"/>
                </w:tcPr>
                <w:p>
                  <w:pPr>
                    <w:spacing w:line="320" w:lineRule="exact"/>
                    <w:jc w:val="center"/>
                    <w:rPr>
                      <w:rFonts w:hint="eastAsia"/>
                      <w:color w:val="000000" w:themeColor="text1"/>
                      <w14:textFill>
                        <w14:solidFill>
                          <w14:schemeClr w14:val="tx1"/>
                        </w14:solidFill>
                      </w14:textFill>
                    </w:rPr>
                  </w:pPr>
                </w:p>
              </w:tc>
              <w:tc>
                <w:tcPr>
                  <w:tcW w:w="1626" w:type="pct"/>
                  <w:vMerge w:val="continue"/>
                  <w:vAlign w:val="center"/>
                </w:tcPr>
                <w:p>
                  <w:pPr>
                    <w:spacing w:line="320" w:lineRule="exact"/>
                    <w:jc w:val="center"/>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0" w:type="pct"/>
                  <w:vMerge w:val="continue"/>
                  <w:vAlign w:val="center"/>
                </w:tcPr>
                <w:p>
                  <w:pPr>
                    <w:spacing w:line="320" w:lineRule="exact"/>
                    <w:jc w:val="center"/>
                    <w:rPr>
                      <w:color w:val="000000" w:themeColor="text1"/>
                      <w14:textFill>
                        <w14:solidFill>
                          <w14:schemeClr w14:val="tx1"/>
                        </w14:solidFill>
                      </w14:textFill>
                    </w:rPr>
                  </w:pPr>
                </w:p>
              </w:tc>
              <w:tc>
                <w:tcPr>
                  <w:tcW w:w="888"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喷塑粉尘</w:t>
                  </w:r>
                </w:p>
              </w:tc>
              <w:tc>
                <w:tcPr>
                  <w:tcW w:w="782"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车间二次密闭+集气罩+旋风除尘+后置滤筒除尘</w:t>
                  </w:r>
                </w:p>
              </w:tc>
              <w:tc>
                <w:tcPr>
                  <w:tcW w:w="581" w:type="pct"/>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15m高排气筒（2#）</w:t>
                  </w:r>
                </w:p>
              </w:tc>
              <w:tc>
                <w:tcPr>
                  <w:tcW w:w="711" w:type="pct"/>
                  <w:vMerge w:val="restar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626" w:type="pct"/>
                  <w:vMerge w:val="restart"/>
                  <w:vAlign w:val="center"/>
                </w:tcPr>
                <w:p>
                  <w:pPr>
                    <w:spacing w:line="32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w:t>
                  </w:r>
                  <w:r>
                    <w:rPr>
                      <w:color w:val="000000" w:themeColor="text1"/>
                      <w:szCs w:val="21"/>
                      <w14:textFill>
                        <w14:solidFill>
                          <w14:schemeClr w14:val="tx1"/>
                        </w14:solidFill>
                      </w14:textFill>
                    </w:rPr>
                    <w:t>GB16297-1996</w:t>
                  </w:r>
                  <w:r>
                    <w:rPr>
                      <w:rFonts w:hint="eastAsia"/>
                      <w:color w:val="000000" w:themeColor="text1"/>
                      <w:szCs w:val="21"/>
                      <w14:textFill>
                        <w14:solidFill>
                          <w14:schemeClr w14:val="tx1"/>
                        </w14:solidFill>
                      </w14:textFill>
                    </w:rPr>
                    <w:t>）表2排放限值要求、《挥发性有机物无组织排放控制标准》（GB37822-2019）表A.1特别排放限值；《工业涂装工序挥发性有机物排放标准》（DB41/1951-2020）、《关于全省开展工业企业挥发性有机物专项治理工作中排放建议值的通知》（豫环攻坚办〔2017〕162 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vAlign w:val="center"/>
                </w:tcPr>
                <w:p>
                  <w:pPr>
                    <w:spacing w:line="320" w:lineRule="exact"/>
                    <w:jc w:val="center"/>
                    <w:rPr>
                      <w:color w:val="000000" w:themeColor="text1"/>
                      <w14:textFill>
                        <w14:solidFill>
                          <w14:schemeClr w14:val="tx1"/>
                        </w14:solidFill>
                      </w14:textFill>
                    </w:rPr>
                  </w:pPr>
                </w:p>
              </w:tc>
              <w:tc>
                <w:tcPr>
                  <w:tcW w:w="888"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固化废气</w:t>
                  </w:r>
                </w:p>
              </w:tc>
              <w:tc>
                <w:tcPr>
                  <w:tcW w:w="782" w:type="pct"/>
                  <w:vAlign w:val="center"/>
                </w:tcPr>
                <w:p>
                  <w:pPr>
                    <w:spacing w:line="320" w:lineRule="exact"/>
                    <w:jc w:val="center"/>
                    <w:rPr>
                      <w:color w:val="000000" w:themeColor="text1"/>
                      <w14:textFill>
                        <w14:solidFill>
                          <w14:schemeClr w14:val="tx1"/>
                        </w14:solidFill>
                      </w14:textFill>
                    </w:rPr>
                  </w:pPr>
                  <w:r>
                    <w:rPr>
                      <w:rFonts w:hint="eastAsia"/>
                      <w:b/>
                      <w:bCs/>
                      <w:color w:val="000000" w:themeColor="text1"/>
                      <w:u w:val="single"/>
                      <w14:textFill>
                        <w14:solidFill>
                          <w14:schemeClr w14:val="tx1"/>
                        </w14:solidFill>
                      </w14:textFill>
                    </w:rPr>
                    <w:t>车间二次密闭</w:t>
                  </w:r>
                  <w:r>
                    <w:rPr>
                      <w:rFonts w:hint="eastAsia"/>
                      <w:b/>
                      <w:bCs/>
                      <w:color w:val="000000" w:themeColor="text1"/>
                      <w:u w:val="single"/>
                      <w:lang w:val="en-US" w:eastAsia="zh-CN"/>
                      <w14:textFill>
                        <w14:solidFill>
                          <w14:schemeClr w14:val="tx1"/>
                        </w14:solidFill>
                      </w14:textFill>
                    </w:rPr>
                    <w:t>+</w:t>
                  </w:r>
                  <w:r>
                    <w:rPr>
                      <w:rFonts w:hint="eastAsia"/>
                      <w:color w:val="000000" w:themeColor="text1"/>
                      <w14:textFill>
                        <w14:solidFill>
                          <w14:schemeClr w14:val="tx1"/>
                        </w14:solidFill>
                      </w14:textFill>
                    </w:rPr>
                    <w:t>集气罩+UV光氧+活性炭吸附</w:t>
                  </w:r>
                </w:p>
              </w:tc>
              <w:tc>
                <w:tcPr>
                  <w:tcW w:w="581" w:type="pct"/>
                  <w:vMerge w:val="continue"/>
                  <w:vAlign w:val="center"/>
                </w:tcPr>
                <w:p>
                  <w:pPr>
                    <w:spacing w:line="320" w:lineRule="exact"/>
                    <w:jc w:val="center"/>
                    <w:rPr>
                      <w:color w:val="000000" w:themeColor="text1"/>
                      <w14:textFill>
                        <w14:solidFill>
                          <w14:schemeClr w14:val="tx1"/>
                        </w14:solidFill>
                      </w14:textFill>
                    </w:rPr>
                  </w:pPr>
                </w:p>
              </w:tc>
              <w:tc>
                <w:tcPr>
                  <w:tcW w:w="711" w:type="pct"/>
                  <w:vMerge w:val="continue"/>
                  <w:vAlign w:val="center"/>
                </w:tcPr>
                <w:p>
                  <w:pPr>
                    <w:spacing w:line="320" w:lineRule="exact"/>
                    <w:jc w:val="center"/>
                    <w:rPr>
                      <w:color w:val="000000" w:themeColor="text1"/>
                      <w14:textFill>
                        <w14:solidFill>
                          <w14:schemeClr w14:val="tx1"/>
                        </w14:solidFill>
                      </w14:textFill>
                    </w:rPr>
                  </w:pPr>
                </w:p>
              </w:tc>
              <w:tc>
                <w:tcPr>
                  <w:tcW w:w="1626" w:type="pct"/>
                  <w:vMerge w:val="continue"/>
                  <w:vAlign w:val="center"/>
                </w:tcPr>
                <w:p>
                  <w:pPr>
                    <w:spacing w:line="320" w:lineRule="exact"/>
                    <w:jc w:val="lef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10"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噪声控制</w:t>
                  </w:r>
                </w:p>
              </w:tc>
              <w:tc>
                <w:tcPr>
                  <w:tcW w:w="888"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设备噪声</w:t>
                  </w:r>
                </w:p>
              </w:tc>
              <w:tc>
                <w:tcPr>
                  <w:tcW w:w="1363" w:type="pct"/>
                  <w:gridSpan w:val="2"/>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距离衰减，厂房隔声</w:t>
                  </w:r>
                </w:p>
              </w:tc>
              <w:tc>
                <w:tcPr>
                  <w:tcW w:w="711"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626"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《工业企业厂界环境</w:t>
                  </w:r>
                  <w:r>
                    <w:rPr>
                      <w:rFonts w:hint="eastAsia"/>
                      <w:color w:val="000000" w:themeColor="text1"/>
                      <w14:textFill>
                        <w14:solidFill>
                          <w14:schemeClr w14:val="tx1"/>
                        </w14:solidFill>
                      </w14:textFill>
                    </w:rPr>
                    <w:t>噪</w:t>
                  </w:r>
                  <w:r>
                    <w:rPr>
                      <w:color w:val="000000" w:themeColor="text1"/>
                      <w14:textFill>
                        <w14:solidFill>
                          <w14:schemeClr w14:val="tx1"/>
                        </w14:solidFill>
                      </w14:textFill>
                    </w:rPr>
                    <w:t>声</w:t>
                  </w:r>
                  <w:r>
                    <w:rPr>
                      <w:rFonts w:hint="eastAsia"/>
                      <w:color w:val="000000" w:themeColor="text1"/>
                      <w14:textFill>
                        <w14:solidFill>
                          <w14:schemeClr w14:val="tx1"/>
                        </w14:solidFill>
                      </w14:textFill>
                    </w:rPr>
                    <w:t>排放</w:t>
                  </w:r>
                  <w:r>
                    <w:rPr>
                      <w:color w:val="000000" w:themeColor="text1"/>
                      <w14:textFill>
                        <w14:solidFill>
                          <w14:schemeClr w14:val="tx1"/>
                        </w14:solidFill>
                      </w14:textFill>
                    </w:rPr>
                    <w:t>标准》（</w:t>
                  </w:r>
                  <w:r>
                    <w:rPr>
                      <w:rFonts w:hint="eastAsia"/>
                      <w:color w:val="000000" w:themeColor="text1"/>
                      <w14:textFill>
                        <w14:solidFill>
                          <w14:schemeClr w14:val="tx1"/>
                        </w14:solidFill>
                      </w14:textFill>
                    </w:rPr>
                    <w:t>GB</w:t>
                  </w:r>
                  <w:r>
                    <w:rPr>
                      <w:color w:val="000000" w:themeColor="text1"/>
                      <w14:textFill>
                        <w14:solidFill>
                          <w14:schemeClr w14:val="tx1"/>
                        </w14:solidFill>
                      </w14:textFill>
                    </w:rPr>
                    <w:t>12348-2008）</w:t>
                  </w:r>
                  <w:r>
                    <w:rPr>
                      <w:rFonts w:hint="eastAsia"/>
                      <w:color w:val="000000" w:themeColor="text1"/>
                      <w14:textFill>
                        <w14:solidFill>
                          <w14:schemeClr w14:val="tx1"/>
                        </w14:solidFill>
                      </w14:textFill>
                    </w:rPr>
                    <w:t>2类</w:t>
                  </w:r>
                  <w:r>
                    <w:rPr>
                      <w:color w:val="000000" w:themeColor="text1"/>
                      <w14:textFill>
                        <w14:solidFill>
                          <w14:schemeClr w14:val="tx1"/>
                        </w14:solidFill>
                      </w14:textFill>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0" w:type="pct"/>
                  <w:vMerge w:val="restar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固废</w:t>
                  </w:r>
                </w:p>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控制</w:t>
                  </w:r>
                </w:p>
              </w:tc>
              <w:tc>
                <w:tcPr>
                  <w:tcW w:w="888" w:type="pct"/>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生活垃圾</w:t>
                  </w:r>
                </w:p>
              </w:tc>
              <w:tc>
                <w:tcPr>
                  <w:tcW w:w="1363" w:type="pct"/>
                  <w:gridSpan w:val="2"/>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垃圾桶若干</w:t>
                  </w:r>
                </w:p>
              </w:tc>
              <w:tc>
                <w:tcPr>
                  <w:tcW w:w="711"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626"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送垃圾中转站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10" w:type="pct"/>
                  <w:vMerge w:val="continue"/>
                  <w:vAlign w:val="center"/>
                </w:tcPr>
                <w:p>
                  <w:pPr>
                    <w:spacing w:line="320" w:lineRule="exact"/>
                    <w:jc w:val="center"/>
                    <w:rPr>
                      <w:color w:val="000000" w:themeColor="text1"/>
                      <w14:textFill>
                        <w14:solidFill>
                          <w14:schemeClr w14:val="tx1"/>
                        </w14:solidFill>
                      </w14:textFill>
                    </w:rPr>
                  </w:pPr>
                </w:p>
              </w:tc>
              <w:tc>
                <w:tcPr>
                  <w:tcW w:w="888"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一般固废</w:t>
                  </w:r>
                </w:p>
              </w:tc>
              <w:tc>
                <w:tcPr>
                  <w:tcW w:w="1363" w:type="pct"/>
                  <w:gridSpan w:val="2"/>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一般固废暂存间</w:t>
                  </w:r>
                  <w:r>
                    <w:rPr>
                      <w:rFonts w:hint="eastAsia"/>
                      <w:color w:val="000000" w:themeColor="text1"/>
                      <w14:textFill>
                        <w14:solidFill>
                          <w14:schemeClr w14:val="tx1"/>
                        </w14:solidFill>
                      </w14:textFill>
                    </w:rPr>
                    <w:t>(10m</w:t>
                  </w:r>
                  <w:r>
                    <w:rPr>
                      <w:rFonts w:hint="eastAsia"/>
                      <w:color w:val="000000" w:themeColor="text1"/>
                      <w:sz w:val="24"/>
                      <w:vertAlign w:val="superscript"/>
                      <w14:textFill>
                        <w14:solidFill>
                          <w14:schemeClr w14:val="tx1"/>
                        </w14:solidFill>
                      </w14:textFill>
                    </w:rPr>
                    <w:t>2</w:t>
                  </w:r>
                  <w:r>
                    <w:rPr>
                      <w:rFonts w:hint="eastAsia"/>
                      <w:color w:val="000000" w:themeColor="text1"/>
                      <w14:textFill>
                        <w14:solidFill>
                          <w14:schemeClr w14:val="tx1"/>
                        </w14:solidFill>
                      </w14:textFill>
                    </w:rPr>
                    <w:t>)</w:t>
                  </w:r>
                </w:p>
              </w:tc>
              <w:tc>
                <w:tcPr>
                  <w:tcW w:w="711"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1626"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由厂家回收、外售综合利用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10" w:type="pct"/>
                  <w:vMerge w:val="continue"/>
                  <w:vAlign w:val="center"/>
                </w:tcPr>
                <w:p>
                  <w:pPr>
                    <w:spacing w:line="320" w:lineRule="exact"/>
                    <w:jc w:val="center"/>
                    <w:rPr>
                      <w:color w:val="000000" w:themeColor="text1"/>
                      <w14:textFill>
                        <w14:solidFill>
                          <w14:schemeClr w14:val="tx1"/>
                        </w14:solidFill>
                      </w14:textFill>
                    </w:rPr>
                  </w:pPr>
                </w:p>
              </w:tc>
              <w:tc>
                <w:tcPr>
                  <w:tcW w:w="888"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危险废物</w:t>
                  </w:r>
                </w:p>
              </w:tc>
              <w:tc>
                <w:tcPr>
                  <w:tcW w:w="1363" w:type="pct"/>
                  <w:gridSpan w:val="2"/>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危废暂存区（6m</w:t>
                  </w:r>
                  <w:r>
                    <w:rPr>
                      <w:rFonts w:hint="eastAsia"/>
                      <w:color w:val="000000" w:themeColor="text1"/>
                      <w:sz w:val="24"/>
                      <w:vertAlign w:val="superscript"/>
                      <w14:textFill>
                        <w14:solidFill>
                          <w14:schemeClr w14:val="tx1"/>
                        </w14:solidFill>
                      </w14:textFill>
                    </w:rPr>
                    <w:t>2</w:t>
                  </w:r>
                  <w:r>
                    <w:rPr>
                      <w:rFonts w:hint="eastAsia"/>
                      <w:color w:val="000000" w:themeColor="text1"/>
                      <w14:textFill>
                        <w14:solidFill>
                          <w14:schemeClr w14:val="tx1"/>
                        </w14:solidFill>
                      </w14:textFill>
                    </w:rPr>
                    <w:t>）</w:t>
                  </w:r>
                </w:p>
              </w:tc>
              <w:tc>
                <w:tcPr>
                  <w:tcW w:w="711"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0.3</w:t>
                  </w:r>
                </w:p>
              </w:tc>
              <w:tc>
                <w:tcPr>
                  <w:tcW w:w="1626"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定期送有资质单位安全处置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62" w:type="pct"/>
                  <w:gridSpan w:val="4"/>
                  <w:vAlign w:val="center"/>
                </w:tcPr>
                <w:p>
                  <w:pPr>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投资估算合计</w:t>
                  </w:r>
                </w:p>
              </w:tc>
              <w:tc>
                <w:tcPr>
                  <w:tcW w:w="711"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6.6</w:t>
                  </w:r>
                </w:p>
              </w:tc>
              <w:tc>
                <w:tcPr>
                  <w:tcW w:w="1626" w:type="pct"/>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r>
          </w:tbl>
          <w:p>
            <w:pPr>
              <w:pStyle w:val="3"/>
              <w:ind w:left="0" w:firstLine="0"/>
              <w:rPr>
                <w:color w:val="000000" w:themeColor="text1"/>
                <w14:textFill>
                  <w14:solidFill>
                    <w14:schemeClr w14:val="tx1"/>
                  </w14:solidFill>
                </w14:textFill>
              </w:rPr>
            </w:pPr>
          </w:p>
        </w:tc>
      </w:tr>
    </w:tbl>
    <w:p>
      <w:pPr>
        <w:adjustRightInd w:val="0"/>
        <w:snapToGrid w:val="0"/>
        <w:spacing w:line="360" w:lineRule="auto"/>
        <w:rPr>
          <w:b/>
          <w:kern w:val="0"/>
          <w:sz w:val="28"/>
          <w:szCs w:val="28"/>
        </w:rPr>
        <w:sectPr>
          <w:pgSz w:w="11907" w:h="16840"/>
          <w:pgMar w:top="1134" w:right="1417" w:bottom="1134" w:left="1417" w:header="851" w:footer="851" w:gutter="0"/>
          <w:pgNumType w:fmt="numberInDash"/>
          <w:cols w:space="720" w:num="1"/>
          <w:docGrid w:linePitch="312" w:charSpace="0"/>
        </w:sectPr>
      </w:pPr>
    </w:p>
    <w:p>
      <w:pPr>
        <w:spacing w:before="120" w:beforeLines="50" w:after="120" w:afterLines="50"/>
        <w:outlineLvl w:val="0"/>
        <w:rPr>
          <w:rFonts w:eastAsia="黑体"/>
          <w:b/>
          <w:bCs/>
          <w:sz w:val="30"/>
          <w:szCs w:val="30"/>
          <w:highlight w:val="yellow"/>
        </w:rPr>
      </w:pPr>
      <w:r>
        <w:rPr>
          <w:rFonts w:eastAsia="黑体"/>
          <w:b/>
          <w:bCs/>
          <w:sz w:val="30"/>
          <w:szCs w:val="30"/>
        </w:rPr>
        <w:t>五、</w:t>
      </w:r>
      <w:bookmarkStart w:id="1" w:name="_Hlk54167917"/>
      <w:r>
        <w:rPr>
          <w:rFonts w:eastAsia="黑体"/>
          <w:b/>
          <w:bCs/>
          <w:sz w:val="30"/>
          <w:szCs w:val="30"/>
        </w:rPr>
        <w:t>环境保护措施监督检查清单</w:t>
      </w:r>
      <w:bookmarkEnd w:id="1"/>
    </w:p>
    <w:tbl>
      <w:tblPr>
        <w:tblStyle w:val="19"/>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661"/>
        <w:gridCol w:w="1411"/>
        <w:gridCol w:w="1411"/>
        <w:gridCol w:w="975"/>
        <w:gridCol w:w="26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tcBorders>
              <w:tl2br w:val="single" w:color="auto" w:sz="4" w:space="0"/>
            </w:tcBorders>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内容</w:t>
            </w:r>
          </w:p>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要素</w:t>
            </w:r>
          </w:p>
        </w:tc>
        <w:tc>
          <w:tcPr>
            <w:tcW w:w="894" w:type="pc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排放口(编号、名称)/污染源</w:t>
            </w:r>
          </w:p>
        </w:tc>
        <w:tc>
          <w:tcPr>
            <w:tcW w:w="760" w:type="pc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污染物</w:t>
            </w:r>
          </w:p>
          <w:p>
            <w:pPr>
              <w:adjustRightInd w:val="0"/>
              <w:snapToGrid w:val="0"/>
              <w:spacing w:line="400" w:lineRule="exact"/>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名称</w:t>
            </w:r>
          </w:p>
        </w:tc>
        <w:tc>
          <w:tcPr>
            <w:tcW w:w="1285" w:type="pct"/>
            <w:gridSpan w:val="2"/>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环境保护措施</w:t>
            </w:r>
          </w:p>
        </w:tc>
        <w:tc>
          <w:tcPr>
            <w:tcW w:w="1437" w:type="pc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1" w:type="pct"/>
            <w:vMerge w:val="restar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大气</w:t>
            </w:r>
          </w:p>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环境</w:t>
            </w:r>
          </w:p>
        </w:tc>
        <w:tc>
          <w:tcPr>
            <w:tcW w:w="894" w:type="pct"/>
            <w:vAlign w:val="center"/>
          </w:tcPr>
          <w:p>
            <w:pPr>
              <w:jc w:val="center"/>
              <w:rPr>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切割</w:t>
            </w:r>
          </w:p>
        </w:tc>
        <w:tc>
          <w:tcPr>
            <w:tcW w:w="760" w:type="pct"/>
            <w:vMerge w:val="restar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颗粒物</w:t>
            </w:r>
          </w:p>
        </w:tc>
        <w:tc>
          <w:tcPr>
            <w:tcW w:w="760" w:type="pct"/>
            <w:vAlign w:val="center"/>
          </w:tcPr>
          <w:p>
            <w:pPr>
              <w:adjustRightInd w:val="0"/>
              <w:snapToGrid w:val="0"/>
              <w:spacing w:line="320" w:lineRule="exact"/>
              <w:jc w:val="center"/>
              <w:rPr>
                <w:color w:val="000000" w:themeColor="text1"/>
                <w:sz w:val="24"/>
                <w14:textFill>
                  <w14:solidFill>
                    <w14:schemeClr w14:val="tx1"/>
                  </w14:solidFill>
                </w14:textFill>
              </w:rPr>
            </w:pPr>
            <w:r>
              <w:rPr>
                <w:rFonts w:hint="eastAsia"/>
                <w:b/>
                <w:bCs w:val="0"/>
                <w:color w:val="000000" w:themeColor="text1"/>
                <w:u w:val="single"/>
                <w14:textFill>
                  <w14:solidFill>
                    <w14:schemeClr w14:val="tx1"/>
                  </w14:solidFill>
                </w14:textFill>
              </w:rPr>
              <w:t>焊接</w:t>
            </w:r>
            <w:r>
              <w:rPr>
                <w:rFonts w:hint="eastAsia"/>
                <w:b/>
                <w:bCs w:val="0"/>
                <w:color w:val="000000" w:themeColor="text1"/>
                <w:u w:val="single"/>
                <w:lang w:val="en-US" w:eastAsia="zh-CN"/>
                <w14:textFill>
                  <w14:solidFill>
                    <w14:schemeClr w14:val="tx1"/>
                  </w14:solidFill>
                </w14:textFill>
              </w:rPr>
              <w:t>区域</w:t>
            </w:r>
            <w:r>
              <w:rPr>
                <w:rFonts w:hint="eastAsia"/>
                <w:b/>
                <w:bCs w:val="0"/>
                <w:color w:val="000000" w:themeColor="text1"/>
                <w:u w:val="single"/>
                <w14:textFill>
                  <w14:solidFill>
                    <w14:schemeClr w14:val="tx1"/>
                  </w14:solidFill>
                </w14:textFill>
              </w:rPr>
              <w:t>二次密闭</w:t>
            </w:r>
            <w:r>
              <w:rPr>
                <w:rFonts w:hint="eastAsia"/>
                <w:b/>
                <w:bCs w:val="0"/>
                <w:color w:val="000000" w:themeColor="text1"/>
                <w:u w:val="single"/>
                <w:lang w:val="en-US" w:eastAsia="zh-CN"/>
                <w14:textFill>
                  <w14:solidFill>
                    <w14:schemeClr w14:val="tx1"/>
                  </w14:solidFill>
                </w14:textFill>
              </w:rPr>
              <w:t>+工位上方设置</w:t>
            </w:r>
            <w:r>
              <w:rPr>
                <w:rFonts w:hint="eastAsia"/>
                <w:b/>
                <w:bCs w:val="0"/>
                <w:color w:val="000000" w:themeColor="text1"/>
                <w:u w:val="single"/>
                <w14:textFill>
                  <w14:solidFill>
                    <w14:schemeClr w14:val="tx1"/>
                  </w14:solidFill>
                </w14:textFill>
              </w:rPr>
              <w:t>集气罩</w:t>
            </w:r>
          </w:p>
        </w:tc>
        <w:tc>
          <w:tcPr>
            <w:tcW w:w="525" w:type="pct"/>
            <w:vMerge w:val="restart"/>
            <w:vAlign w:val="center"/>
          </w:tcPr>
          <w:p>
            <w:pPr>
              <w:jc w:val="center"/>
              <w:rPr>
                <w:rFonts w:hint="eastAsia"/>
                <w:b/>
                <w:bCs/>
                <w:color w:val="000000" w:themeColor="text1"/>
                <w:sz w:val="24"/>
                <w:u w:val="single"/>
                <w14:textFill>
                  <w14:solidFill>
                    <w14:schemeClr w14:val="tx1"/>
                  </w14:solidFill>
                </w14:textFill>
              </w:rPr>
            </w:pPr>
            <w:r>
              <w:rPr>
                <w:rFonts w:hint="eastAsia"/>
                <w:b/>
                <w:bCs/>
                <w:color w:val="000000" w:themeColor="text1"/>
                <w:u w:val="single"/>
                <w14:textFill>
                  <w14:solidFill>
                    <w14:schemeClr w14:val="tx1"/>
                  </w14:solidFill>
                </w14:textFill>
              </w:rPr>
              <w:t>袋式除尘器+15m高排气筒（1#）</w:t>
            </w:r>
          </w:p>
        </w:tc>
        <w:tc>
          <w:tcPr>
            <w:tcW w:w="1437" w:type="pct"/>
            <w:vMerge w:val="restar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《大气污染物综合排放标准》（GB16297-1996）表2排放限值要求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1" w:type="pct"/>
            <w:vMerge w:val="continue"/>
            <w:vAlign w:val="center"/>
          </w:tcPr>
          <w:p>
            <w:pPr>
              <w:jc w:val="center"/>
              <w:rPr>
                <w:color w:val="000000" w:themeColor="text1"/>
                <w14:textFill>
                  <w14:solidFill>
                    <w14:schemeClr w14:val="tx1"/>
                  </w14:solidFill>
                </w14:textFill>
              </w:rPr>
            </w:pPr>
          </w:p>
        </w:tc>
        <w:tc>
          <w:tcPr>
            <w:tcW w:w="894" w:type="pct"/>
            <w:vAlign w:val="center"/>
          </w:tcPr>
          <w:p>
            <w:pPr>
              <w:jc w:val="center"/>
              <w:rPr>
                <w:rFonts w:hint="eastAsia"/>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焊接</w:t>
            </w:r>
          </w:p>
        </w:tc>
        <w:tc>
          <w:tcPr>
            <w:tcW w:w="760" w:type="pct"/>
            <w:vMerge w:val="continue"/>
            <w:vAlign w:val="center"/>
          </w:tcPr>
          <w:p>
            <w:pPr>
              <w:jc w:val="center"/>
              <w:rPr>
                <w:rFonts w:hint="eastAsia"/>
                <w:color w:val="000000" w:themeColor="text1"/>
                <w:sz w:val="24"/>
                <w14:textFill>
                  <w14:solidFill>
                    <w14:schemeClr w14:val="tx1"/>
                  </w14:solidFill>
                </w14:textFill>
              </w:rPr>
            </w:pPr>
          </w:p>
        </w:tc>
        <w:tc>
          <w:tcPr>
            <w:tcW w:w="760" w:type="pct"/>
            <w:vAlign w:val="center"/>
          </w:tcPr>
          <w:p>
            <w:pPr>
              <w:adjustRightInd w:val="0"/>
              <w:snapToGrid w:val="0"/>
              <w:spacing w:line="320" w:lineRule="exact"/>
              <w:jc w:val="center"/>
              <w:rPr>
                <w:rFonts w:hint="eastAsia"/>
                <w:color w:val="000000" w:themeColor="text1"/>
                <w:sz w:val="24"/>
                <w14:textFill>
                  <w14:solidFill>
                    <w14:schemeClr w14:val="tx1"/>
                  </w14:solidFill>
                </w14:textFill>
              </w:rPr>
            </w:pPr>
            <w:r>
              <w:rPr>
                <w:rFonts w:hint="eastAsia"/>
                <w:b/>
                <w:bCs w:val="0"/>
                <w:color w:val="000000" w:themeColor="text1"/>
                <w:spacing w:val="-3"/>
                <w:szCs w:val="21"/>
                <w:u w:val="single"/>
                <w:lang w:val="en-US" w:eastAsia="zh-CN"/>
                <w14:textFill>
                  <w14:solidFill>
                    <w14:schemeClr w14:val="tx1"/>
                  </w14:solidFill>
                </w14:textFill>
              </w:rPr>
              <w:t>工位上方设置集气罩</w:t>
            </w:r>
          </w:p>
        </w:tc>
        <w:tc>
          <w:tcPr>
            <w:tcW w:w="525" w:type="pct"/>
            <w:vMerge w:val="continue"/>
            <w:vAlign w:val="center"/>
          </w:tcPr>
          <w:p>
            <w:pPr>
              <w:jc w:val="center"/>
              <w:rPr>
                <w:rFonts w:hint="eastAsia"/>
                <w:color w:val="000000" w:themeColor="text1"/>
                <w:sz w:val="24"/>
                <w14:textFill>
                  <w14:solidFill>
                    <w14:schemeClr w14:val="tx1"/>
                  </w14:solidFill>
                </w14:textFill>
              </w:rPr>
            </w:pPr>
          </w:p>
        </w:tc>
        <w:tc>
          <w:tcPr>
            <w:tcW w:w="1437" w:type="pct"/>
            <w:vMerge w:val="continue"/>
            <w:vAlign w:val="center"/>
          </w:tcPr>
          <w:p>
            <w:pPr>
              <w:jc w:val="center"/>
              <w:rPr>
                <w:rFonts w:hint="eastAsia"/>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621" w:type="pct"/>
            <w:vMerge w:val="continue"/>
            <w:vAlign w:val="center"/>
          </w:tcPr>
          <w:p>
            <w:pPr>
              <w:adjustRightInd w:val="0"/>
              <w:snapToGrid w:val="0"/>
              <w:spacing w:line="400" w:lineRule="exact"/>
              <w:jc w:val="center"/>
              <w:rPr>
                <w:b/>
                <w:bCs/>
                <w:color w:val="000000" w:themeColor="text1"/>
                <w:sz w:val="24"/>
                <w14:textFill>
                  <w14:solidFill>
                    <w14:schemeClr w14:val="tx1"/>
                  </w14:solidFill>
                </w14:textFill>
              </w:rPr>
            </w:pPr>
          </w:p>
        </w:tc>
        <w:tc>
          <w:tcPr>
            <w:tcW w:w="894"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喷塑</w:t>
            </w:r>
          </w:p>
        </w:tc>
        <w:tc>
          <w:tcPr>
            <w:tcW w:w="760"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颗粒物</w:t>
            </w:r>
          </w:p>
        </w:tc>
        <w:tc>
          <w:tcPr>
            <w:tcW w:w="760"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车间二次密闭+集气罩+旋风除尘+后置滤筒除尘</w:t>
            </w:r>
          </w:p>
        </w:tc>
        <w:tc>
          <w:tcPr>
            <w:tcW w:w="525" w:type="pct"/>
            <w:vMerge w:val="restar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15m高排气筒（2#）</w:t>
            </w:r>
          </w:p>
        </w:tc>
        <w:tc>
          <w:tcPr>
            <w:tcW w:w="1437" w:type="pct"/>
            <w:vMerge w:val="restar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气污染物综合排放标准》（GB16297-1996）表2排放限值要求、《挥发性有机物无组织排放控制标准》（GB37822-2019）表A.1特别排放限值；《工业涂装工序挥发性有机物排放标准》（DB41/1951-2020）、《关于全省开展工业企业挥发性有机物专项治理工作中排放建议值的通知》（豫环攻坚办〔2017〕162 号文）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Merge w:val="continue"/>
            <w:vAlign w:val="center"/>
          </w:tcPr>
          <w:p>
            <w:pPr>
              <w:adjustRightInd w:val="0"/>
              <w:snapToGrid w:val="0"/>
              <w:spacing w:line="400" w:lineRule="exact"/>
              <w:jc w:val="center"/>
              <w:rPr>
                <w:b/>
                <w:bCs/>
                <w:color w:val="000000" w:themeColor="text1"/>
                <w:sz w:val="24"/>
                <w14:textFill>
                  <w14:solidFill>
                    <w14:schemeClr w14:val="tx1"/>
                  </w14:solidFill>
                </w14:textFill>
              </w:rPr>
            </w:pPr>
          </w:p>
        </w:tc>
        <w:tc>
          <w:tcPr>
            <w:tcW w:w="894"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固化</w:t>
            </w:r>
          </w:p>
        </w:tc>
        <w:tc>
          <w:tcPr>
            <w:tcW w:w="760"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非甲烷总烃、颗粒物</w:t>
            </w:r>
          </w:p>
        </w:tc>
        <w:tc>
          <w:tcPr>
            <w:tcW w:w="760"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集气罩+UV光氧+活性炭吸附</w:t>
            </w:r>
          </w:p>
        </w:tc>
        <w:tc>
          <w:tcPr>
            <w:tcW w:w="525" w:type="pct"/>
            <w:vMerge w:val="continue"/>
            <w:vAlign w:val="center"/>
          </w:tcPr>
          <w:p>
            <w:pPr>
              <w:jc w:val="center"/>
              <w:rPr>
                <w:color w:val="000000" w:themeColor="text1"/>
                <w:sz w:val="24"/>
                <w14:textFill>
                  <w14:solidFill>
                    <w14:schemeClr w14:val="tx1"/>
                  </w14:solidFill>
                </w14:textFill>
              </w:rPr>
            </w:pPr>
          </w:p>
        </w:tc>
        <w:tc>
          <w:tcPr>
            <w:tcW w:w="1437" w:type="pct"/>
            <w:vMerge w:val="continue"/>
            <w:vAlign w:val="center"/>
          </w:tcPr>
          <w:p>
            <w:pPr>
              <w:jc w:val="center"/>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21" w:type="pc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地表水环境</w:t>
            </w:r>
          </w:p>
        </w:tc>
        <w:tc>
          <w:tcPr>
            <w:tcW w:w="894" w:type="pct"/>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生活污水</w:t>
            </w:r>
          </w:p>
        </w:tc>
        <w:tc>
          <w:tcPr>
            <w:tcW w:w="760" w:type="pct"/>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COD、NH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-N、SS</w:t>
            </w:r>
          </w:p>
        </w:tc>
        <w:tc>
          <w:tcPr>
            <w:tcW w:w="1285" w:type="pct"/>
            <w:gridSpan w:val="2"/>
            <w:vAlign w:val="center"/>
          </w:tcPr>
          <w:p>
            <w:pPr>
              <w:adjustRightInd w:val="0"/>
              <w:snapToGrid w:val="0"/>
              <w:jc w:val="center"/>
              <w:rPr>
                <w:color w:val="000000" w:themeColor="text1"/>
                <w:sz w:val="24"/>
                <w14:textFill>
                  <w14:solidFill>
                    <w14:schemeClr w14:val="tx1"/>
                  </w14:solidFill>
                </w14:textFill>
              </w:rPr>
            </w:pPr>
            <w:r>
              <w:rPr>
                <w:rFonts w:hint="eastAsia"/>
                <w:b/>
                <w:bCs/>
                <w:color w:val="000000" w:themeColor="text1"/>
                <w:sz w:val="24"/>
                <w:u w:val="single"/>
                <w14:textFill>
                  <w14:solidFill>
                    <w14:schemeClr w14:val="tx1"/>
                  </w14:solidFill>
                </w14:textFill>
              </w:rPr>
              <w:t>依托现有</w:t>
            </w:r>
            <w:r>
              <w:rPr>
                <w:rFonts w:hint="eastAsia"/>
                <w:b/>
                <w:bCs/>
                <w:color w:val="000000" w:themeColor="text1"/>
                <w:sz w:val="24"/>
                <w:u w:val="single"/>
                <w:lang w:val="en-US" w:eastAsia="zh-CN"/>
                <w14:textFill>
                  <w14:solidFill>
                    <w14:schemeClr w14:val="tx1"/>
                  </w14:solidFill>
                </w14:textFill>
              </w:rPr>
              <w:t>7</w:t>
            </w:r>
            <w:r>
              <w:rPr>
                <w:rFonts w:hint="eastAsia"/>
                <w:b/>
                <w:bCs/>
                <w:color w:val="000000" w:themeColor="text1"/>
                <w:sz w:val="24"/>
                <w:u w:val="single"/>
                <w14:textFill>
                  <w14:solidFill>
                    <w14:schemeClr w14:val="tx1"/>
                  </w14:solidFill>
                </w14:textFill>
              </w:rPr>
              <w:t>m</w:t>
            </w:r>
            <w:r>
              <w:rPr>
                <w:rFonts w:hint="eastAsia"/>
                <w:b/>
                <w:bCs/>
                <w:color w:val="000000" w:themeColor="text1"/>
                <w:sz w:val="24"/>
                <w:u w:val="single"/>
                <w:vertAlign w:val="superscript"/>
                <w14:textFill>
                  <w14:solidFill>
                    <w14:schemeClr w14:val="tx1"/>
                  </w14:solidFill>
                </w14:textFill>
              </w:rPr>
              <w:t>3</w:t>
            </w:r>
            <w:r>
              <w:rPr>
                <w:rFonts w:hint="eastAsia"/>
                <w:b/>
                <w:bCs/>
                <w:color w:val="000000" w:themeColor="text1"/>
                <w:sz w:val="24"/>
                <w:u w:val="single"/>
                <w14:textFill>
                  <w14:solidFill>
                    <w14:schemeClr w14:val="tx1"/>
                  </w14:solidFill>
                </w14:textFill>
              </w:rPr>
              <w:t>化粪池</w:t>
            </w:r>
          </w:p>
        </w:tc>
        <w:tc>
          <w:tcPr>
            <w:tcW w:w="1437" w:type="pct"/>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定期清掏至周围农田施肥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声环境</w:t>
            </w:r>
          </w:p>
        </w:tc>
        <w:tc>
          <w:tcPr>
            <w:tcW w:w="1654" w:type="pct"/>
            <w:gridSpan w:val="2"/>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高噪声设备工作时的机械噪声</w:t>
            </w:r>
          </w:p>
        </w:tc>
        <w:tc>
          <w:tcPr>
            <w:tcW w:w="1285" w:type="pct"/>
            <w:gridSpan w:val="2"/>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采用</w:t>
            </w:r>
            <w:r>
              <w:rPr>
                <w:rFonts w:hint="eastAsia"/>
                <w:color w:val="000000" w:themeColor="text1"/>
                <w:sz w:val="24"/>
                <w14:textFill>
                  <w14:solidFill>
                    <w14:schemeClr w14:val="tx1"/>
                  </w14:solidFill>
                </w14:textFill>
              </w:rPr>
              <w:t>距离衰减，厂房隔声</w:t>
            </w:r>
            <w:r>
              <w:rPr>
                <w:color w:val="000000" w:themeColor="text1"/>
                <w:sz w:val="24"/>
                <w14:textFill>
                  <w14:solidFill>
                    <w14:schemeClr w14:val="tx1"/>
                  </w14:solidFill>
                </w14:textFill>
              </w:rPr>
              <w:t>等措施</w:t>
            </w:r>
          </w:p>
        </w:tc>
        <w:tc>
          <w:tcPr>
            <w:tcW w:w="1437" w:type="pct"/>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《工业企业厂界环境噪声排放标准》（GB12348-2008）</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电磁</w:t>
            </w:r>
          </w:p>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辐射</w:t>
            </w:r>
          </w:p>
        </w:tc>
        <w:tc>
          <w:tcPr>
            <w:tcW w:w="894" w:type="pct"/>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760" w:type="pct"/>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285" w:type="pct"/>
            <w:gridSpan w:val="2"/>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437" w:type="pct"/>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21" w:type="pct"/>
            <w:vMerge w:val="restar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固体</w:t>
            </w:r>
          </w:p>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废物</w:t>
            </w:r>
          </w:p>
        </w:tc>
        <w:tc>
          <w:tcPr>
            <w:tcW w:w="894" w:type="pct"/>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员工生活</w:t>
            </w:r>
          </w:p>
        </w:tc>
        <w:tc>
          <w:tcPr>
            <w:tcW w:w="760" w:type="pct"/>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生活垃圾</w:t>
            </w:r>
          </w:p>
        </w:tc>
        <w:tc>
          <w:tcPr>
            <w:tcW w:w="1285" w:type="pct"/>
            <w:gridSpan w:val="2"/>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厂区集中收集后由当地环卫部门统一清理</w:t>
            </w:r>
          </w:p>
        </w:tc>
        <w:tc>
          <w:tcPr>
            <w:tcW w:w="1437" w:type="pct"/>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合理处置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21" w:type="pct"/>
            <w:vMerge w:val="continue"/>
            <w:vAlign w:val="center"/>
          </w:tcPr>
          <w:p>
            <w:pPr>
              <w:adjustRightInd w:val="0"/>
              <w:snapToGrid w:val="0"/>
              <w:spacing w:line="400" w:lineRule="exact"/>
              <w:jc w:val="center"/>
              <w:rPr>
                <w:color w:val="000000" w:themeColor="text1"/>
                <w14:textFill>
                  <w14:solidFill>
                    <w14:schemeClr w14:val="tx1"/>
                  </w14:solidFill>
                </w14:textFill>
              </w:rPr>
            </w:pPr>
          </w:p>
        </w:tc>
        <w:tc>
          <w:tcPr>
            <w:tcW w:w="894" w:type="pct"/>
            <w:vAlign w:val="center"/>
          </w:tcPr>
          <w:p>
            <w:pPr>
              <w:adjustRightInd w:val="0"/>
              <w:snapToGrid w:val="0"/>
              <w:jc w:val="cente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生产过程</w:t>
            </w:r>
          </w:p>
        </w:tc>
        <w:tc>
          <w:tcPr>
            <w:tcW w:w="3483" w:type="pct"/>
            <w:gridSpan w:val="4"/>
            <w:vAlign w:val="center"/>
          </w:tcPr>
          <w:p>
            <w:pPr>
              <w:adjustRightInd w:val="0"/>
              <w:snapToGrid w:val="0"/>
              <w:jc w:val="left"/>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一般固废：废金属边角料、废纸箱、旋风除尘器回收塑粉</w:t>
            </w:r>
            <w:r>
              <w:rPr>
                <w:color w:val="000000" w:themeColor="text1"/>
                <w:sz w:val="24"/>
                <w:szCs w:val="20"/>
                <w14:textFill>
                  <w14:solidFill>
                    <w14:schemeClr w14:val="tx1"/>
                  </w14:solidFill>
                </w14:textFill>
              </w:rPr>
              <w:t>收集</w:t>
            </w:r>
            <w:r>
              <w:rPr>
                <w:rFonts w:hint="eastAsia"/>
                <w:color w:val="000000" w:themeColor="text1"/>
                <w:sz w:val="24"/>
                <w:szCs w:val="20"/>
                <w14:textFill>
                  <w14:solidFill>
                    <w14:schemeClr w14:val="tx1"/>
                  </w14:solidFill>
                </w14:textFill>
              </w:rPr>
              <w:t>于一般固废暂存间定期</w:t>
            </w:r>
            <w:r>
              <w:rPr>
                <w:color w:val="000000" w:themeColor="text1"/>
                <w:sz w:val="24"/>
                <w:szCs w:val="20"/>
                <w14:textFill>
                  <w14:solidFill>
                    <w14:schemeClr w14:val="tx1"/>
                  </w14:solidFill>
                </w14:textFill>
              </w:rPr>
              <w:t>外售</w:t>
            </w:r>
            <w:r>
              <w:rPr>
                <w:rFonts w:hint="eastAsia"/>
                <w:color w:val="000000" w:themeColor="text1"/>
                <w:sz w:val="24"/>
                <w:szCs w:val="20"/>
                <w14:textFill>
                  <w14:solidFill>
                    <w14:schemeClr w14:val="tx1"/>
                  </w14:solidFill>
                </w14:textFill>
              </w:rPr>
              <w:t>；废滤筒</w:t>
            </w:r>
            <w:r>
              <w:rPr>
                <w:color w:val="000000" w:themeColor="text1"/>
                <w:sz w:val="24"/>
                <w:szCs w:val="20"/>
                <w14:textFill>
                  <w14:solidFill>
                    <w14:schemeClr w14:val="tx1"/>
                  </w14:solidFill>
                </w14:textFill>
              </w:rPr>
              <w:t>收集</w:t>
            </w:r>
            <w:r>
              <w:rPr>
                <w:rFonts w:hint="eastAsia"/>
                <w:color w:val="000000" w:themeColor="text1"/>
                <w:sz w:val="24"/>
                <w:szCs w:val="20"/>
                <w14:textFill>
                  <w14:solidFill>
                    <w14:schemeClr w14:val="tx1"/>
                  </w14:solidFill>
                </w14:textFill>
              </w:rPr>
              <w:t>于一般固废暂存间后厂家回收。</w:t>
            </w:r>
          </w:p>
          <w:p>
            <w:pPr>
              <w:adjustRightInd w:val="0"/>
              <w:snapToGrid w:val="0"/>
              <w:jc w:val="left"/>
              <w:rPr>
                <w:color w:val="000000" w:themeColor="text1"/>
                <w:sz w:val="24"/>
                <w14:textFill>
                  <w14:solidFill>
                    <w14:schemeClr w14:val="tx1"/>
                  </w14:solidFill>
                </w14:textFill>
              </w:rPr>
            </w:pPr>
            <w:r>
              <w:rPr>
                <w:rFonts w:hint="eastAsia"/>
                <w:color w:val="000000" w:themeColor="text1"/>
                <w:sz w:val="24"/>
                <w:szCs w:val="20"/>
                <w14:textFill>
                  <w14:solidFill>
                    <w14:schemeClr w14:val="tx1"/>
                  </w14:solidFill>
                </w14:textFill>
              </w:rPr>
              <w:t>危险废物：废液压油、废磷化液桶、废磷化抹布及手套、废活性炭、废UV灯管</w:t>
            </w:r>
            <w:r>
              <w:rPr>
                <w:color w:val="000000" w:themeColor="text1"/>
                <w:sz w:val="24"/>
                <w:szCs w:val="20"/>
                <w14:textFill>
                  <w14:solidFill>
                    <w14:schemeClr w14:val="tx1"/>
                  </w14:solidFill>
                </w14:textFill>
              </w:rPr>
              <w:t>暂存于危废暂存间，定期委托具有危废经营资质单位安全处置。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土壤及地下水污染防治措施</w:t>
            </w:r>
          </w:p>
        </w:tc>
        <w:tc>
          <w:tcPr>
            <w:tcW w:w="4378" w:type="pct"/>
            <w:gridSpan w:val="5"/>
            <w:vAlign w:val="center"/>
          </w:tcPr>
          <w:p>
            <w:pPr>
              <w:adjustRightInd w:val="0"/>
              <w:snapToGrid w:val="0"/>
              <w:spacing w:line="40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厂区危废暂存间严格按照《危险废物贮存污染控制标准》（GB18597-2001）及修改单中的“四防”等要求进行建设。定期进行检查和维护，定期维护防渗层正常工作，加强员工管理</w:t>
            </w:r>
            <w:r>
              <w:rPr>
                <w:rFonts w:hint="eastAsia"/>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生态保护措施</w:t>
            </w:r>
          </w:p>
        </w:tc>
        <w:tc>
          <w:tcPr>
            <w:tcW w:w="4378" w:type="pct"/>
            <w:gridSpan w:val="5"/>
            <w:vAlign w:val="center"/>
          </w:tcPr>
          <w:p>
            <w:pPr>
              <w:adjustRightInd w:val="0"/>
              <w:snapToGrid w:val="0"/>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不涉及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color w:val="000000" w:themeColor="text1"/>
                <w:spacing w:val="-8"/>
                <w:sz w:val="24"/>
                <w14:textFill>
                  <w14:solidFill>
                    <w14:schemeClr w14:val="tx1"/>
                  </w14:solidFill>
                </w14:textFill>
              </w:rPr>
            </w:pPr>
            <w:r>
              <w:rPr>
                <w:b/>
                <w:bCs/>
                <w:color w:val="000000" w:themeColor="text1"/>
                <w:spacing w:val="-8"/>
                <w:sz w:val="24"/>
                <w14:textFill>
                  <w14:solidFill>
                    <w14:schemeClr w14:val="tx1"/>
                  </w14:solidFill>
                </w14:textFill>
              </w:rPr>
              <w:t>环境风险</w:t>
            </w:r>
          </w:p>
          <w:p>
            <w:pPr>
              <w:adjustRightInd w:val="0"/>
              <w:snapToGrid w:val="0"/>
              <w:spacing w:line="400" w:lineRule="exact"/>
              <w:jc w:val="center"/>
              <w:rPr>
                <w:b/>
                <w:bCs/>
                <w:color w:val="000000" w:themeColor="text1"/>
                <w:spacing w:val="-8"/>
                <w:sz w:val="24"/>
                <w14:textFill>
                  <w14:solidFill>
                    <w14:schemeClr w14:val="tx1"/>
                  </w14:solidFill>
                </w14:textFill>
              </w:rPr>
            </w:pPr>
            <w:r>
              <w:rPr>
                <w:b/>
                <w:bCs/>
                <w:color w:val="000000" w:themeColor="text1"/>
                <w:spacing w:val="-8"/>
                <w:sz w:val="24"/>
                <w14:textFill>
                  <w14:solidFill>
                    <w14:schemeClr w14:val="tx1"/>
                  </w14:solidFill>
                </w14:textFill>
              </w:rPr>
              <w:t>防范措施</w:t>
            </w:r>
          </w:p>
        </w:tc>
        <w:tc>
          <w:tcPr>
            <w:tcW w:w="4378" w:type="pct"/>
            <w:gridSpan w:val="5"/>
            <w:vAlign w:val="center"/>
          </w:tcPr>
          <w:p>
            <w:pPr>
              <w:adjustRightInd w:val="0"/>
              <w:snapToGrid w:val="0"/>
              <w:spacing w:line="400" w:lineRule="exact"/>
              <w:jc w:val="left"/>
              <w:rPr>
                <w:rFonts w:hint="eastAsia"/>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①</w:t>
            </w:r>
            <w:r>
              <w:rPr>
                <w:rFonts w:hint="eastAsia"/>
                <w:b/>
                <w:bCs/>
                <w:color w:val="000000" w:themeColor="text1"/>
                <w:sz w:val="24"/>
                <w:u w:val="single"/>
                <w:lang w:val="en-US" w:eastAsia="zh-CN"/>
                <w14:textFill>
                  <w14:solidFill>
                    <w14:schemeClr w14:val="tx1"/>
                  </w14:solidFill>
                </w14:textFill>
              </w:rPr>
              <w:t>磷化液</w:t>
            </w:r>
            <w:r>
              <w:rPr>
                <w:rFonts w:hint="eastAsia"/>
                <w:b/>
                <w:bCs/>
                <w:color w:val="000000" w:themeColor="text1"/>
                <w:sz w:val="24"/>
                <w:u w:val="single"/>
                <w:lang w:eastAsia="zh-CN"/>
                <w14:textFill>
                  <w14:solidFill>
                    <w14:schemeClr w14:val="tx1"/>
                  </w14:solidFill>
                </w14:textFill>
              </w:rPr>
              <w:t>存放区（生产区域、原料区）应做好地面防渗措施，设置围堰或下设托盘，防止物料泄漏时扩延污染范围。并且设专人负责存放区的管理，物料加盖密封存放，定期巡查，发生泄漏时及时发现及时处理；</w:t>
            </w:r>
          </w:p>
          <w:p>
            <w:pPr>
              <w:adjustRightInd w:val="0"/>
              <w:snapToGrid w:val="0"/>
              <w:spacing w:line="400" w:lineRule="exact"/>
              <w:jc w:val="left"/>
              <w:rPr>
                <w:rFonts w:hint="eastAsia"/>
                <w:b/>
                <w:bCs/>
                <w:color w:val="000000" w:themeColor="text1"/>
                <w:sz w:val="24"/>
                <w:u w:val="single"/>
                <w:lang w:eastAsia="zh-CN"/>
                <w14:textFill>
                  <w14:solidFill>
                    <w14:schemeClr w14:val="tx1"/>
                  </w14:solidFill>
                </w14:textFill>
              </w:rPr>
            </w:pPr>
            <w:r>
              <w:rPr>
                <w:rFonts w:hint="eastAsia"/>
                <w:b/>
                <w:bCs/>
                <w:color w:val="000000" w:themeColor="text1"/>
                <w:sz w:val="24"/>
                <w:u w:val="single"/>
                <w:lang w:val="en-US" w:eastAsia="zh-CN"/>
                <w14:textFill>
                  <w14:solidFill>
                    <w14:schemeClr w14:val="tx1"/>
                  </w14:solidFill>
                </w14:textFill>
              </w:rPr>
              <w:t>②</w:t>
            </w:r>
            <w:r>
              <w:rPr>
                <w:b/>
                <w:bCs/>
                <w:color w:val="000000" w:themeColor="text1"/>
                <w:sz w:val="24"/>
                <w:u w:val="single"/>
                <w14:textFill>
                  <w14:solidFill>
                    <w14:schemeClr w14:val="tx1"/>
                  </w14:solidFill>
                </w14:textFill>
              </w:rPr>
              <w:t>设置规范化的危废暂存间</w:t>
            </w:r>
            <w:r>
              <w:rPr>
                <w:rFonts w:hint="eastAsia"/>
                <w:b/>
                <w:bCs/>
                <w:color w:val="000000" w:themeColor="text1"/>
                <w:sz w:val="24"/>
                <w:u w:val="single"/>
                <w14:textFill>
                  <w14:solidFill>
                    <w14:schemeClr w14:val="tx1"/>
                  </w14:solidFill>
                </w14:textFill>
              </w:rPr>
              <w:t>，储存区设置围堰，配备灭火器等消防物资</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14:textFill>
                  <w14:solidFill>
                    <w14:schemeClr w14:val="tx1"/>
                  </w14:solidFill>
                </w14:textFill>
              </w:rPr>
              <w:t>危废暂存间内、外设置危废标识、禁烟防火标识、危险废物特性等标识牌</w:t>
            </w:r>
            <w:r>
              <w:rPr>
                <w:rFonts w:hint="eastAsia"/>
                <w:b/>
                <w:bCs/>
                <w:color w:val="000000" w:themeColor="text1"/>
                <w:sz w:val="24"/>
                <w:u w:val="single"/>
                <w:lang w:eastAsia="zh-CN"/>
                <w14:textFill>
                  <w14:solidFill>
                    <w14:schemeClr w14:val="tx1"/>
                  </w14:solidFill>
                </w14:textFill>
              </w:rPr>
              <w:t>，</w:t>
            </w:r>
            <w:r>
              <w:rPr>
                <w:rFonts w:hint="eastAsia"/>
                <w:b/>
                <w:bCs/>
                <w:color w:val="000000" w:themeColor="text1"/>
                <w:sz w:val="24"/>
                <w:u w:val="single"/>
                <w14:textFill>
                  <w14:solidFill>
                    <w14:schemeClr w14:val="tx1"/>
                  </w14:solidFill>
                </w14:textFill>
              </w:rPr>
              <w:t>设置专人负责，定期巡检</w:t>
            </w:r>
            <w:r>
              <w:rPr>
                <w:rFonts w:hint="eastAsia"/>
                <w:b/>
                <w:bCs/>
                <w:color w:val="000000" w:themeColor="text1"/>
                <w:sz w:val="24"/>
                <w:u w:val="single"/>
                <w:lang w:eastAsia="zh-CN"/>
                <w14:textFill>
                  <w14:solidFill>
                    <w14:schemeClr w14:val="tx1"/>
                  </w14:solidFill>
                </w14:textFill>
              </w:rPr>
              <w:t>。</w:t>
            </w:r>
          </w:p>
          <w:p>
            <w:pPr>
              <w:adjustRightInd w:val="0"/>
              <w:snapToGrid w:val="0"/>
              <w:spacing w:line="400" w:lineRule="exact"/>
              <w:jc w:val="left"/>
              <w:rPr>
                <w:b/>
                <w:bCs/>
                <w:color w:val="000000" w:themeColor="text1"/>
                <w:sz w:val="24"/>
                <w:u w:val="single"/>
                <w14:textFill>
                  <w14:solidFill>
                    <w14:schemeClr w14:val="tx1"/>
                  </w14:solidFill>
                </w14:textFill>
              </w:rPr>
            </w:pPr>
            <w:r>
              <w:rPr>
                <w:rFonts w:hint="eastAsia"/>
                <w:b/>
                <w:bCs/>
                <w:color w:val="000000" w:themeColor="text1"/>
                <w:sz w:val="24"/>
                <w:u w:val="single"/>
                <w14:textFill>
                  <w14:solidFill>
                    <w14:schemeClr w14:val="tx1"/>
                  </w14:solidFill>
                </w14:textFill>
              </w:rPr>
              <w:t>②危险化学品贮存场所需保持干燥、阴凉、通风，禁止明火，并设防火禁烟标识牌；加强职工防火安全教育，配备足够的消防设施。</w:t>
            </w:r>
          </w:p>
          <w:p>
            <w:pPr>
              <w:adjustRightInd w:val="0"/>
              <w:snapToGrid w:val="0"/>
              <w:spacing w:line="400" w:lineRule="exact"/>
              <w:jc w:val="left"/>
              <w:rPr>
                <w:color w:val="000000" w:themeColor="text1"/>
                <w:sz w:val="24"/>
                <w14:textFill>
                  <w14:solidFill>
                    <w14:schemeClr w14:val="tx1"/>
                  </w14:solidFill>
                </w14:textFill>
              </w:rPr>
            </w:pPr>
            <w:r>
              <w:rPr>
                <w:rFonts w:hint="eastAsia"/>
                <w:b/>
                <w:bCs/>
                <w:color w:val="000000" w:themeColor="text1"/>
                <w:sz w:val="24"/>
                <w:u w:val="single"/>
                <w14:textFill>
                  <w14:solidFill>
                    <w14:schemeClr w14:val="tx1"/>
                  </w14:solidFill>
                </w14:textFill>
              </w:rPr>
              <w:t>③建立安</w:t>
            </w:r>
            <w:r>
              <w:rPr>
                <w:b/>
                <w:bCs/>
                <w:color w:val="000000" w:themeColor="text1"/>
                <w:sz w:val="24"/>
                <w:u w:val="single"/>
                <w14:textFill>
                  <w14:solidFill>
                    <w14:schemeClr w14:val="tx1"/>
                  </w14:solidFill>
                </w14:textFill>
              </w:rPr>
              <w:t>全生产岗位责任制，制定安全生产规章制度、安全操作规程，落实安全管理责任。严格岗位操作规程，加强操作人员的岗位培训和职业素质教育。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1" w:type="pct"/>
            <w:vAlign w:val="center"/>
          </w:tcPr>
          <w:p>
            <w:pPr>
              <w:adjustRightInd w:val="0"/>
              <w:snapToGrid w:val="0"/>
              <w:spacing w:line="400" w:lineRule="exact"/>
              <w:jc w:val="center"/>
              <w:rPr>
                <w:b/>
                <w:bCs/>
                <w:color w:val="000000" w:themeColor="text1"/>
                <w:spacing w:val="-8"/>
                <w:sz w:val="24"/>
                <w14:textFill>
                  <w14:solidFill>
                    <w14:schemeClr w14:val="tx1"/>
                  </w14:solidFill>
                </w14:textFill>
              </w:rPr>
            </w:pPr>
            <w:r>
              <w:rPr>
                <w:b/>
                <w:bCs/>
                <w:color w:val="000000" w:themeColor="text1"/>
                <w:spacing w:val="-8"/>
                <w:sz w:val="24"/>
                <w14:textFill>
                  <w14:solidFill>
                    <w14:schemeClr w14:val="tx1"/>
                  </w14:solidFill>
                </w14:textFill>
              </w:rPr>
              <w:t>其他环境</w:t>
            </w:r>
          </w:p>
          <w:p>
            <w:pPr>
              <w:adjustRightInd w:val="0"/>
              <w:snapToGrid w:val="0"/>
              <w:spacing w:line="400" w:lineRule="exact"/>
              <w:jc w:val="center"/>
              <w:rPr>
                <w:color w:val="000000" w:themeColor="text1"/>
                <w:spacing w:val="-8"/>
                <w:sz w:val="24"/>
                <w14:textFill>
                  <w14:solidFill>
                    <w14:schemeClr w14:val="tx1"/>
                  </w14:solidFill>
                </w14:textFill>
              </w:rPr>
            </w:pPr>
            <w:r>
              <w:rPr>
                <w:b/>
                <w:bCs/>
                <w:color w:val="000000" w:themeColor="text1"/>
                <w:spacing w:val="-8"/>
                <w:sz w:val="24"/>
                <w14:textFill>
                  <w14:solidFill>
                    <w14:schemeClr w14:val="tx1"/>
                  </w14:solidFill>
                </w14:textFill>
              </w:rPr>
              <w:t>管理要求</w:t>
            </w:r>
          </w:p>
        </w:tc>
        <w:tc>
          <w:tcPr>
            <w:tcW w:w="4378" w:type="pct"/>
            <w:gridSpan w:val="5"/>
            <w:vAlign w:val="center"/>
          </w:tcPr>
          <w:p>
            <w:pPr>
              <w:adjustRightInd w:val="0"/>
              <w:snapToGrid w:val="0"/>
              <w:spacing w:line="40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（1）项目建设过程中主体工程、环保设施应同时设计、同时施工、同时投产运行；项目建成后按照《建设项目竣工环境保护验收暂行办法》（国环规环评[2017]4号）要求开展项目竣工环境保护验收工作。</w:t>
            </w:r>
          </w:p>
          <w:p>
            <w:pPr>
              <w:adjustRightInd w:val="0"/>
              <w:snapToGrid w:val="0"/>
              <w:spacing w:line="40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（2）按照《排污许可管理条例》（国务院令第 736 号）的相关要求开展固定污染源排污许可登记。 </w:t>
            </w:r>
          </w:p>
          <w:p>
            <w:pPr>
              <w:adjustRightInd w:val="0"/>
              <w:snapToGrid w:val="0"/>
              <w:spacing w:line="400" w:lineRule="exact"/>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项目营运过程中建立环境管理台账制度，落实环境管理台账记录的责任人，明确工作职责，包括台账的记录、整理、维护和管理等。台账记录频次和内容须满足排污许可证环境管理要求，并对台账记录结果的真实性、完整性和规范性负责。台账按照电子化储存和纸质储存两种形式同步管理。 </w:t>
            </w:r>
          </w:p>
        </w:tc>
      </w:tr>
    </w:tbl>
    <w:p>
      <w:pPr>
        <w:pStyle w:val="16"/>
        <w:spacing w:before="120" w:beforeLines="50" w:beforeAutospacing="0" w:after="120" w:afterLines="50" w:afterAutospacing="0"/>
        <w:jc w:val="both"/>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b/>
          <w:bCs/>
          <w:sz w:val="30"/>
          <w:szCs w:val="30"/>
        </w:rPr>
        <w:t>六、结论</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Pr>
          <w:p>
            <w:pPr>
              <w:spacing w:line="460" w:lineRule="exact"/>
              <w:ind w:firstLine="480" w:firstLineChars="200"/>
              <w:rPr>
                <w:sz w:val="24"/>
              </w:rPr>
            </w:pPr>
            <w:r>
              <w:rPr>
                <w:sz w:val="24"/>
              </w:rPr>
              <w:t>综上所述，</w:t>
            </w:r>
            <w:r>
              <w:rPr>
                <w:rFonts w:hint="eastAsia"/>
                <w:sz w:val="24"/>
              </w:rPr>
              <w:t>河南达恒科技有限公司年产1万套办公家具项目</w:t>
            </w:r>
            <w:r>
              <w:rPr>
                <w:sz w:val="24"/>
              </w:rPr>
              <w:t>符合国家产业政策，项目选址合理</w:t>
            </w:r>
            <w:r>
              <w:rPr>
                <w:rFonts w:hint="eastAsia"/>
                <w:sz w:val="24"/>
              </w:rPr>
              <w:t>。项目建成后，产生的污染物经过采取</w:t>
            </w:r>
            <w:r>
              <w:rPr>
                <w:rFonts w:hint="eastAsia"/>
                <w:sz w:val="24"/>
                <w:lang w:val="en-US" w:eastAsia="zh-CN"/>
              </w:rPr>
              <w:t>措施</w:t>
            </w:r>
            <w:r>
              <w:rPr>
                <w:rFonts w:hint="eastAsia"/>
                <w:sz w:val="24"/>
              </w:rPr>
              <w:t>治理后，能够实现达标排放，不会对环境造成较大影响。</w:t>
            </w:r>
            <w:r>
              <w:rPr>
                <w:sz w:val="24"/>
              </w:rPr>
              <w:t>在落实评价提出的各项环境保护及污染防治措施的基础上，所产生的污染物均能达标排放或妥善处置，对周围环境影响较小。因此，从环保角度分析，项目的建设可行。</w:t>
            </w: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ind w:firstLine="480" w:firstLineChars="200"/>
              <w:rPr>
                <w:sz w:val="24"/>
              </w:rPr>
            </w:pPr>
          </w:p>
          <w:p>
            <w:pPr>
              <w:spacing w:line="460" w:lineRule="exact"/>
              <w:rPr>
                <w:sz w:val="24"/>
              </w:rPr>
            </w:pPr>
          </w:p>
          <w:p>
            <w:pPr>
              <w:spacing w:line="460" w:lineRule="exact"/>
              <w:ind w:firstLine="480" w:firstLineChars="200"/>
              <w:rPr>
                <w:sz w:val="24"/>
              </w:rPr>
            </w:pPr>
          </w:p>
        </w:tc>
      </w:tr>
    </w:tbl>
    <w:p>
      <w:pPr>
        <w:sectPr>
          <w:footerReference r:id="rId4" w:type="default"/>
          <w:pgSz w:w="11906" w:h="16838"/>
          <w:pgMar w:top="1134" w:right="1417" w:bottom="1134" w:left="1417" w:header="851" w:footer="851" w:gutter="0"/>
          <w:pgNumType w:fmt="numberInDash"/>
          <w:cols w:space="720" w:num="1"/>
          <w:docGrid w:linePitch="312" w:charSpace="0"/>
        </w:sectPr>
      </w:pPr>
    </w:p>
    <w:p>
      <w:pPr>
        <w:pStyle w:val="16"/>
        <w:adjustRightInd w:val="0"/>
        <w:snapToGrid w:val="0"/>
        <w:spacing w:before="0" w:beforeAutospacing="0" w:after="0" w:afterAutospacing="0"/>
        <w:outlineLvl w:val="0"/>
        <w:rPr>
          <w:rFonts w:ascii="Times New Roman" w:hAnsi="Times New Roman"/>
          <w:snapToGrid w:val="0"/>
          <w:sz w:val="32"/>
          <w:szCs w:val="32"/>
        </w:rPr>
      </w:pPr>
      <w:r>
        <w:rPr>
          <w:rFonts w:ascii="Times New Roman" w:hAnsi="Times New Roman"/>
          <w:snapToGrid w:val="0"/>
          <w:sz w:val="32"/>
          <w:szCs w:val="32"/>
        </w:rPr>
        <w:t>附表</w:t>
      </w:r>
    </w:p>
    <w:p>
      <w:pPr>
        <w:pStyle w:val="16"/>
        <w:adjustRightInd w:val="0"/>
        <w:snapToGrid w:val="0"/>
        <w:spacing w:before="0" w:beforeAutospacing="0" w:after="0" w:afterAutospacing="0"/>
        <w:jc w:val="center"/>
        <w:outlineLvl w:val="0"/>
        <w:rPr>
          <w:rFonts w:ascii="Times New Roman" w:hAnsi="Times New Roman"/>
          <w:snapToGrid w:val="0"/>
          <w:sz w:val="38"/>
          <w:szCs w:val="38"/>
        </w:rPr>
      </w:pPr>
      <w:r>
        <w:rPr>
          <w:rFonts w:ascii="Times New Roman" w:hAnsi="Times New Roman"/>
          <w:snapToGrid w:val="0"/>
          <w:sz w:val="38"/>
          <w:szCs w:val="38"/>
        </w:rPr>
        <w:t>建设项目污染物排放量汇总表</w:t>
      </w:r>
    </w:p>
    <w:tbl>
      <w:tblPr>
        <w:tblStyle w:val="19"/>
        <w:tblW w:w="499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500"/>
        <w:gridCol w:w="1801"/>
        <w:gridCol w:w="1351"/>
        <w:gridCol w:w="1801"/>
        <w:gridCol w:w="1652"/>
        <w:gridCol w:w="1866"/>
        <w:gridCol w:w="2079"/>
        <w:gridCol w:w="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5" w:type="pct"/>
            <w:tcBorders>
              <w:tl2br w:val="single" w:color="auto" w:sz="4" w:space="0"/>
            </w:tcBorders>
            <w:tcMar>
              <w:left w:w="28" w:type="dxa"/>
              <w:right w:w="28" w:type="dxa"/>
            </w:tcMar>
            <w:vAlign w:val="center"/>
          </w:tcPr>
          <w:p>
            <w:pPr>
              <w:pStyle w:val="35"/>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pPr>
              <w:pStyle w:val="35"/>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513" w:type="pct"/>
            <w:tcMar>
              <w:left w:w="28" w:type="dxa"/>
              <w:right w:w="28" w:type="dxa"/>
            </w:tcMar>
            <w:vAlign w:val="center"/>
          </w:tcPr>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616" w:type="pct"/>
            <w:tcMar>
              <w:left w:w="28" w:type="dxa"/>
              <w:right w:w="28" w:type="dxa"/>
            </w:tcMar>
            <w:vAlign w:val="center"/>
          </w:tcPr>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kern w:val="2"/>
                <w:szCs w:val="21"/>
              </w:rPr>
              <w:t>①</w:t>
            </w:r>
            <w:r>
              <w:rPr>
                <w:rFonts w:ascii="Times New Roman"/>
                <w:snapToGrid w:val="0"/>
                <w:color w:val="000000"/>
                <w:spacing w:val="-6"/>
                <w:kern w:val="21"/>
                <w:szCs w:val="21"/>
              </w:rPr>
              <w:fldChar w:fldCharType="end"/>
            </w:r>
          </w:p>
        </w:tc>
        <w:tc>
          <w:tcPr>
            <w:tcW w:w="462" w:type="pct"/>
            <w:tcMar>
              <w:left w:w="28" w:type="dxa"/>
              <w:right w:w="28" w:type="dxa"/>
            </w:tcMar>
            <w:vAlign w:val="center"/>
          </w:tcPr>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pPr>
              <w:pStyle w:val="35"/>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ascii="Times New Roman"/>
                <w:snapToGrid w:val="0"/>
                <w:color w:val="000000"/>
                <w:spacing w:val="-6"/>
                <w:kern w:val="21"/>
                <w:szCs w:val="21"/>
              </w:rPr>
              <w:t>②</w:t>
            </w:r>
            <w:r>
              <w:rPr>
                <w:rFonts w:ascii="Times New Roman"/>
                <w:snapToGrid w:val="0"/>
                <w:color w:val="000000"/>
                <w:spacing w:val="-6"/>
                <w:kern w:val="21"/>
                <w:szCs w:val="21"/>
              </w:rPr>
              <w:fldChar w:fldCharType="end"/>
            </w:r>
          </w:p>
        </w:tc>
        <w:tc>
          <w:tcPr>
            <w:tcW w:w="616" w:type="pct"/>
            <w:tcMar>
              <w:left w:w="28" w:type="dxa"/>
              <w:right w:w="28" w:type="dxa"/>
            </w:tcMar>
            <w:vAlign w:val="center"/>
          </w:tcPr>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kern w:val="2"/>
                <w:szCs w:val="21"/>
              </w:rPr>
              <w:t>③</w:t>
            </w:r>
            <w:r>
              <w:rPr>
                <w:rFonts w:ascii="Times New Roman"/>
                <w:snapToGrid w:val="0"/>
                <w:color w:val="000000"/>
                <w:spacing w:val="-6"/>
                <w:kern w:val="21"/>
                <w:szCs w:val="21"/>
              </w:rPr>
              <w:fldChar w:fldCharType="end"/>
            </w:r>
          </w:p>
        </w:tc>
        <w:tc>
          <w:tcPr>
            <w:tcW w:w="565" w:type="pct"/>
            <w:tcMar>
              <w:left w:w="28" w:type="dxa"/>
              <w:right w:w="28" w:type="dxa"/>
            </w:tcMar>
            <w:vAlign w:val="center"/>
          </w:tcPr>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kern w:val="2"/>
                <w:szCs w:val="21"/>
              </w:rPr>
              <w:t>④</w:t>
            </w:r>
            <w:r>
              <w:rPr>
                <w:rFonts w:ascii="Times New Roman"/>
                <w:snapToGrid w:val="0"/>
                <w:color w:val="000000"/>
                <w:spacing w:val="-6"/>
                <w:kern w:val="21"/>
                <w:szCs w:val="21"/>
              </w:rPr>
              <w:fldChar w:fldCharType="end"/>
            </w:r>
          </w:p>
        </w:tc>
        <w:tc>
          <w:tcPr>
            <w:tcW w:w="638" w:type="pct"/>
            <w:tcMar>
              <w:left w:w="28" w:type="dxa"/>
              <w:right w:w="28" w:type="dxa"/>
            </w:tcMar>
            <w:vAlign w:val="center"/>
          </w:tcPr>
          <w:p>
            <w:pPr>
              <w:pStyle w:val="35"/>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pPr>
              <w:pStyle w:val="35"/>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kern w:val="2"/>
                <w:szCs w:val="21"/>
              </w:rPr>
              <w:t>⑤</w:t>
            </w:r>
            <w:r>
              <w:rPr>
                <w:rFonts w:ascii="Times New Roman"/>
                <w:snapToGrid w:val="0"/>
                <w:color w:val="000000"/>
                <w:spacing w:val="-16"/>
                <w:kern w:val="21"/>
                <w:szCs w:val="21"/>
              </w:rPr>
              <w:fldChar w:fldCharType="end"/>
            </w:r>
          </w:p>
        </w:tc>
        <w:tc>
          <w:tcPr>
            <w:tcW w:w="711" w:type="pct"/>
            <w:tcMar>
              <w:left w:w="28" w:type="dxa"/>
              <w:right w:w="28" w:type="dxa"/>
            </w:tcMar>
            <w:vAlign w:val="center"/>
          </w:tcPr>
          <w:p>
            <w:pPr>
              <w:pStyle w:val="35"/>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pPr>
              <w:pStyle w:val="35"/>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kern w:val="2"/>
                <w:szCs w:val="21"/>
              </w:rPr>
              <w:t>⑥</w:t>
            </w:r>
            <w:r>
              <w:rPr>
                <w:rFonts w:ascii="Times New Roman"/>
                <w:snapToGrid w:val="0"/>
                <w:color w:val="000000"/>
                <w:spacing w:val="-16"/>
                <w:kern w:val="21"/>
                <w:szCs w:val="21"/>
              </w:rPr>
              <w:fldChar w:fldCharType="end"/>
            </w:r>
          </w:p>
        </w:tc>
        <w:tc>
          <w:tcPr>
            <w:tcW w:w="299" w:type="pct"/>
            <w:tcMar>
              <w:left w:w="28" w:type="dxa"/>
              <w:right w:w="28" w:type="dxa"/>
            </w:tcMar>
            <w:vAlign w:val="center"/>
          </w:tcPr>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pPr>
              <w:pStyle w:val="35"/>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kern w:val="2"/>
                <w:szCs w:val="21"/>
              </w:rPr>
              <w:t>⑦</w:t>
            </w:r>
            <w:r>
              <w:rPr>
                <w:rFonts w:ascii="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restart"/>
            <w:vAlign w:val="center"/>
          </w:tcPr>
          <w:p>
            <w:pPr>
              <w:pStyle w:val="35"/>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颗粒物</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b/>
                <w:bCs/>
                <w:snapToGrid w:val="0"/>
                <w:color w:val="000000"/>
                <w:kern w:val="21"/>
                <w:szCs w:val="21"/>
                <w:u w:val="single"/>
              </w:rPr>
            </w:pPr>
            <w:r>
              <w:rPr>
                <w:rFonts w:hint="eastAsia" w:ascii="Times New Roman"/>
                <w:b/>
                <w:bCs/>
                <w:snapToGrid w:val="0"/>
                <w:color w:val="000000"/>
                <w:kern w:val="21"/>
                <w:szCs w:val="21"/>
                <w:u w:val="single"/>
                <w:lang w:val="en-US" w:eastAsia="zh-CN"/>
              </w:rPr>
              <w:t>0.236</w:t>
            </w:r>
            <w:r>
              <w:rPr>
                <w:rFonts w:ascii="Times New Roman"/>
                <w:b/>
                <w:bCs/>
                <w:snapToGrid w:val="0"/>
                <w:color w:val="000000"/>
                <w:kern w:val="21"/>
                <w:szCs w:val="21"/>
                <w:u w:val="single"/>
              </w:rPr>
              <w:t>t/a</w:t>
            </w:r>
          </w:p>
        </w:tc>
        <w:tc>
          <w:tcPr>
            <w:tcW w:w="638" w:type="pct"/>
            <w:vAlign w:val="center"/>
          </w:tcPr>
          <w:p>
            <w:pPr>
              <w:pStyle w:val="35"/>
              <w:spacing w:beforeLines="0" w:afterLines="0" w:line="240" w:lineRule="auto"/>
              <w:rPr>
                <w:rFonts w:ascii="Times New Roman"/>
                <w:b/>
                <w:bCs/>
                <w:snapToGrid w:val="0"/>
                <w:color w:val="000000"/>
                <w:kern w:val="21"/>
                <w:szCs w:val="21"/>
                <w:u w:val="single"/>
              </w:rPr>
            </w:pPr>
          </w:p>
        </w:tc>
        <w:tc>
          <w:tcPr>
            <w:tcW w:w="2079" w:type="dxa"/>
            <w:vAlign w:val="center"/>
          </w:tcPr>
          <w:p>
            <w:pPr>
              <w:pStyle w:val="35"/>
              <w:spacing w:beforeLines="0" w:afterLines="0" w:line="240" w:lineRule="auto"/>
              <w:rPr>
                <w:rFonts w:ascii="Times New Roman"/>
                <w:b/>
                <w:bCs/>
                <w:snapToGrid w:val="0"/>
                <w:color w:val="000000"/>
                <w:kern w:val="21"/>
                <w:szCs w:val="21"/>
                <w:u w:val="single"/>
              </w:rPr>
            </w:pPr>
            <w:r>
              <w:rPr>
                <w:rFonts w:hint="eastAsia" w:ascii="Times New Roman"/>
                <w:b/>
                <w:bCs/>
                <w:snapToGrid w:val="0"/>
                <w:color w:val="000000"/>
                <w:kern w:val="21"/>
                <w:szCs w:val="21"/>
                <w:u w:val="single"/>
                <w:lang w:val="en-US" w:eastAsia="zh-CN"/>
              </w:rPr>
              <w:t>0.236</w:t>
            </w:r>
            <w:r>
              <w:rPr>
                <w:rFonts w:ascii="Times New Roman"/>
                <w:b/>
                <w:bCs/>
                <w:snapToGrid w:val="0"/>
                <w:color w:val="000000"/>
                <w:kern w:val="21"/>
                <w:szCs w:val="21"/>
                <w:u w:val="single"/>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rPr>
                <w:rFonts w:ascii="Times New Roman"/>
                <w:snapToGrid w:val="0"/>
                <w:color w:val="000000"/>
                <w:kern w:val="21"/>
                <w:szCs w:val="21"/>
              </w:rPr>
            </w:pP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非甲烷总烃</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b/>
                <w:bCs/>
                <w:snapToGrid w:val="0"/>
                <w:color w:val="000000"/>
                <w:kern w:val="21"/>
                <w:szCs w:val="21"/>
                <w:u w:val="single"/>
              </w:rPr>
            </w:pPr>
            <w:r>
              <w:rPr>
                <w:rFonts w:hint="eastAsia" w:ascii="Times New Roman"/>
                <w:b/>
                <w:bCs/>
                <w:snapToGrid w:val="0"/>
                <w:color w:val="000000"/>
                <w:kern w:val="21"/>
                <w:szCs w:val="21"/>
                <w:u w:val="single"/>
              </w:rPr>
              <w:t>0.00</w:t>
            </w:r>
            <w:r>
              <w:rPr>
                <w:rFonts w:hint="eastAsia" w:ascii="Times New Roman"/>
                <w:b/>
                <w:bCs/>
                <w:snapToGrid w:val="0"/>
                <w:color w:val="000000"/>
                <w:kern w:val="21"/>
                <w:szCs w:val="21"/>
                <w:u w:val="single"/>
                <w:lang w:val="en-US" w:eastAsia="zh-CN"/>
              </w:rPr>
              <w:t>95</w:t>
            </w:r>
            <w:r>
              <w:rPr>
                <w:rFonts w:ascii="Times New Roman"/>
                <w:b/>
                <w:bCs/>
                <w:snapToGrid w:val="0"/>
                <w:color w:val="000000"/>
                <w:kern w:val="21"/>
                <w:szCs w:val="21"/>
                <w:u w:val="single"/>
              </w:rPr>
              <w:t>t/a</w:t>
            </w:r>
          </w:p>
        </w:tc>
        <w:tc>
          <w:tcPr>
            <w:tcW w:w="638" w:type="pct"/>
            <w:vAlign w:val="center"/>
          </w:tcPr>
          <w:p>
            <w:pPr>
              <w:pStyle w:val="35"/>
              <w:spacing w:beforeLines="0" w:afterLines="0" w:line="240" w:lineRule="auto"/>
              <w:rPr>
                <w:rFonts w:ascii="Times New Roman"/>
                <w:b/>
                <w:bCs/>
                <w:snapToGrid w:val="0"/>
                <w:color w:val="000000"/>
                <w:kern w:val="21"/>
                <w:szCs w:val="21"/>
                <w:u w:val="single"/>
              </w:rPr>
            </w:pPr>
          </w:p>
        </w:tc>
        <w:tc>
          <w:tcPr>
            <w:tcW w:w="2079" w:type="dxa"/>
            <w:vAlign w:val="center"/>
          </w:tcPr>
          <w:p>
            <w:pPr>
              <w:pStyle w:val="35"/>
              <w:spacing w:beforeLines="0" w:afterLines="0" w:line="240" w:lineRule="auto"/>
              <w:rPr>
                <w:rFonts w:ascii="Times New Roman"/>
                <w:b/>
                <w:bCs/>
                <w:snapToGrid w:val="0"/>
                <w:color w:val="000000"/>
                <w:kern w:val="21"/>
                <w:szCs w:val="21"/>
                <w:u w:val="single"/>
              </w:rPr>
            </w:pPr>
            <w:r>
              <w:rPr>
                <w:rFonts w:hint="eastAsia" w:ascii="Times New Roman"/>
                <w:b/>
                <w:bCs/>
                <w:snapToGrid w:val="0"/>
                <w:color w:val="000000"/>
                <w:kern w:val="21"/>
                <w:szCs w:val="21"/>
                <w:u w:val="single"/>
              </w:rPr>
              <w:t>0.00</w:t>
            </w:r>
            <w:r>
              <w:rPr>
                <w:rFonts w:hint="eastAsia" w:ascii="Times New Roman"/>
                <w:b/>
                <w:bCs/>
                <w:snapToGrid w:val="0"/>
                <w:color w:val="000000"/>
                <w:kern w:val="21"/>
                <w:szCs w:val="21"/>
                <w:u w:val="single"/>
                <w:lang w:val="en-US" w:eastAsia="zh-CN"/>
              </w:rPr>
              <w:t>95</w:t>
            </w:r>
            <w:r>
              <w:rPr>
                <w:rFonts w:ascii="Times New Roman"/>
                <w:b/>
                <w:bCs/>
                <w:snapToGrid w:val="0"/>
                <w:color w:val="000000"/>
                <w:kern w:val="21"/>
                <w:szCs w:val="21"/>
                <w:u w:val="single"/>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restart"/>
            <w:vAlign w:val="center"/>
          </w:tcPr>
          <w:p>
            <w:pPr>
              <w:pStyle w:val="35"/>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513" w:type="pct"/>
            <w:vAlign w:val="center"/>
          </w:tcPr>
          <w:p>
            <w:pPr>
              <w:pStyle w:val="35"/>
              <w:spacing w:beforeLines="0" w:afterLines="0" w:line="240" w:lineRule="auto"/>
              <w:rPr>
                <w:rFonts w:ascii="Times New Roman"/>
                <w:snapToGrid w:val="0"/>
                <w:color w:val="000000"/>
                <w:kern w:val="21"/>
                <w:szCs w:val="21"/>
              </w:rPr>
            </w:pPr>
            <w:r>
              <w:rPr>
                <w:rFonts w:ascii="Times New Roman"/>
                <w:snapToGrid w:val="0"/>
                <w:color w:val="000000"/>
                <w:kern w:val="21"/>
                <w:szCs w:val="21"/>
              </w:rPr>
              <w:t>COD</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0.0403</w:t>
            </w:r>
            <w:r>
              <w:rPr>
                <w:rFonts w:ascii="Times New Roman"/>
                <w:snapToGrid w:val="0"/>
                <w:color w:val="000000"/>
                <w:kern w:val="21"/>
                <w:szCs w:val="21"/>
              </w:rPr>
              <w:t>t/a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0.0403</w:t>
            </w:r>
            <w:r>
              <w:rPr>
                <w:rFonts w:ascii="Times New Roman"/>
                <w:snapToGrid w:val="0"/>
                <w:color w:val="000000"/>
                <w:kern w:val="21"/>
                <w:szCs w:val="21"/>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rPr>
                <w:rFonts w:ascii="Times New Roman"/>
                <w:snapToGrid w:val="0"/>
                <w:color w:val="000000"/>
                <w:kern w:val="21"/>
                <w:szCs w:val="21"/>
              </w:rPr>
            </w:pPr>
          </w:p>
        </w:tc>
        <w:tc>
          <w:tcPr>
            <w:tcW w:w="513" w:type="pct"/>
            <w:vAlign w:val="center"/>
          </w:tcPr>
          <w:p>
            <w:pPr>
              <w:pStyle w:val="35"/>
              <w:spacing w:beforeLines="0" w:afterLines="0" w:line="240" w:lineRule="auto"/>
              <w:rPr>
                <w:rFonts w:ascii="Times New Roman"/>
                <w:snapToGrid w:val="0"/>
                <w:color w:val="000000"/>
                <w:kern w:val="21"/>
                <w:szCs w:val="21"/>
              </w:rPr>
            </w:pPr>
            <w:r>
              <w:rPr>
                <w:rFonts w:ascii="Times New Roman"/>
                <w:snapToGrid w:val="0"/>
                <w:color w:val="000000"/>
                <w:kern w:val="21"/>
                <w:szCs w:val="21"/>
              </w:rPr>
              <w:t>氨氮</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0.0042</w:t>
            </w:r>
            <w:r>
              <w:rPr>
                <w:rFonts w:ascii="Times New Roman"/>
                <w:snapToGrid w:val="0"/>
                <w:color w:val="000000"/>
                <w:kern w:val="21"/>
                <w:szCs w:val="21"/>
              </w:rPr>
              <w:t>t/a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0.0042</w:t>
            </w:r>
            <w:r>
              <w:rPr>
                <w:rFonts w:ascii="Times New Roman"/>
                <w:snapToGrid w:val="0"/>
                <w:color w:val="000000"/>
                <w:kern w:val="21"/>
                <w:szCs w:val="21"/>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restart"/>
            <w:vAlign w:val="center"/>
          </w:tcPr>
          <w:p>
            <w:pPr>
              <w:pStyle w:val="35"/>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pPr>
              <w:pStyle w:val="35"/>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废金属边角料</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5</w:t>
            </w:r>
            <w:r>
              <w:rPr>
                <w:rFonts w:ascii="Times New Roman"/>
                <w:snapToGrid w:val="0"/>
                <w:color w:val="000000"/>
                <w:kern w:val="21"/>
                <w:szCs w:val="21"/>
              </w:rPr>
              <w:t>t/a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5</w:t>
            </w:r>
            <w:r>
              <w:rPr>
                <w:rFonts w:ascii="Times New Roman"/>
                <w:snapToGrid w:val="0"/>
                <w:color w:val="000000"/>
                <w:kern w:val="21"/>
                <w:szCs w:val="21"/>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rPr>
                <w:rFonts w:ascii="Times New Roman"/>
                <w:snapToGrid w:val="0"/>
                <w:color w:val="000000"/>
                <w:kern w:val="21"/>
                <w:szCs w:val="21"/>
              </w:rPr>
            </w:pP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废纸箱</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0.1t/a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0.1t/a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rPr>
                <w:rFonts w:ascii="Times New Roman"/>
                <w:snapToGrid w:val="0"/>
                <w:color w:val="000000"/>
                <w:kern w:val="21"/>
                <w:szCs w:val="21"/>
              </w:rPr>
            </w:pP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旋风除尘器回收塑粉</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8.16</w:t>
            </w:r>
            <w:r>
              <w:rPr>
                <w:rFonts w:ascii="Times New Roman"/>
                <w:snapToGrid w:val="0"/>
                <w:color w:val="000000"/>
                <w:kern w:val="21"/>
                <w:szCs w:val="21"/>
              </w:rPr>
              <w:t>t/a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8.16</w:t>
            </w:r>
            <w:r>
              <w:rPr>
                <w:rFonts w:ascii="Times New Roman"/>
                <w:snapToGrid w:val="0"/>
                <w:color w:val="000000"/>
                <w:kern w:val="21"/>
                <w:szCs w:val="21"/>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rPr>
                <w:rFonts w:ascii="Times New Roman"/>
                <w:snapToGrid w:val="0"/>
                <w:color w:val="000000"/>
                <w:kern w:val="21"/>
                <w:szCs w:val="21"/>
              </w:rPr>
            </w:pP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废滤筒</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15个/a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15个/a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restart"/>
            <w:vAlign w:val="center"/>
          </w:tcPr>
          <w:p>
            <w:pPr>
              <w:pStyle w:val="35"/>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废液压油</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0.00</w:t>
            </w:r>
            <w:r>
              <w:rPr>
                <w:rFonts w:hint="eastAsia" w:ascii="Times New Roman"/>
                <w:snapToGrid w:val="0"/>
                <w:color w:val="000000"/>
                <w:kern w:val="21"/>
                <w:szCs w:val="21"/>
                <w:lang w:val="en-US" w:eastAsia="zh-CN"/>
              </w:rPr>
              <w:t>8</w:t>
            </w:r>
            <w:r>
              <w:rPr>
                <w:rFonts w:ascii="Times New Roman"/>
                <w:snapToGrid w:val="0"/>
                <w:color w:val="000000"/>
                <w:kern w:val="21"/>
                <w:szCs w:val="21"/>
              </w:rPr>
              <w:t>t/a</w:t>
            </w:r>
          </w:p>
        </w:tc>
        <w:tc>
          <w:tcPr>
            <w:tcW w:w="638" w:type="pct"/>
            <w:vAlign w:val="center"/>
          </w:tcPr>
          <w:p>
            <w:pPr>
              <w:pStyle w:val="35"/>
              <w:spacing w:beforeLines="0" w:afterLines="0" w:line="240" w:lineRule="auto"/>
              <w:rPr>
                <w:rFonts w:ascii="Times New Roman"/>
                <w:b/>
                <w:bCs/>
                <w:snapToGrid w:val="0"/>
                <w:color w:val="000000"/>
                <w:kern w:val="21"/>
                <w:szCs w:val="21"/>
                <w:u w:val="single"/>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0.00</w:t>
            </w:r>
            <w:r>
              <w:rPr>
                <w:rFonts w:hint="eastAsia" w:ascii="Times New Roman"/>
                <w:snapToGrid w:val="0"/>
                <w:color w:val="000000"/>
                <w:kern w:val="21"/>
                <w:szCs w:val="21"/>
                <w:lang w:val="en-US" w:eastAsia="zh-CN"/>
              </w:rPr>
              <w:t>8</w:t>
            </w:r>
            <w:r>
              <w:rPr>
                <w:rFonts w:ascii="Times New Roman"/>
                <w:snapToGrid w:val="0"/>
                <w:color w:val="000000"/>
                <w:kern w:val="21"/>
                <w:szCs w:val="21"/>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rPr>
                <w:rFonts w:ascii="Times New Roman"/>
                <w:snapToGrid w:val="0"/>
                <w:color w:val="000000"/>
                <w:kern w:val="21"/>
                <w:szCs w:val="21"/>
              </w:rPr>
            </w:pP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废磷化液桶</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4个/a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4个/a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rPr>
                <w:rFonts w:ascii="Times New Roman"/>
                <w:snapToGrid w:val="0"/>
                <w:color w:val="000000"/>
                <w:kern w:val="21"/>
                <w:szCs w:val="21"/>
              </w:rPr>
            </w:pP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废磷化抹布及手套</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0.05</w:t>
            </w:r>
            <w:r>
              <w:rPr>
                <w:rFonts w:ascii="Times New Roman"/>
                <w:snapToGrid w:val="0"/>
                <w:color w:val="000000"/>
                <w:kern w:val="21"/>
                <w:szCs w:val="21"/>
              </w:rPr>
              <w:t>t/a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0.05</w:t>
            </w:r>
            <w:r>
              <w:rPr>
                <w:rFonts w:ascii="Times New Roman"/>
                <w:snapToGrid w:val="0"/>
                <w:color w:val="000000"/>
                <w:kern w:val="21"/>
                <w:szCs w:val="21"/>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pP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废UV灯管</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0.01</w:t>
            </w:r>
            <w:r>
              <w:rPr>
                <w:rFonts w:ascii="Times New Roman"/>
                <w:snapToGrid w:val="0"/>
                <w:color w:val="000000"/>
                <w:kern w:val="21"/>
                <w:szCs w:val="21"/>
              </w:rPr>
              <w:t>t/a</w:t>
            </w:r>
          </w:p>
        </w:tc>
        <w:tc>
          <w:tcPr>
            <w:tcW w:w="638" w:type="pct"/>
            <w:vAlign w:val="center"/>
          </w:tcPr>
          <w:p>
            <w:pPr>
              <w:pStyle w:val="35"/>
              <w:spacing w:beforeLines="0" w:afterLines="0" w:line="240" w:lineRule="auto"/>
              <w:rPr>
                <w:rFonts w:ascii="Times New Roman"/>
                <w:snapToGrid w:val="0"/>
                <w:color w:val="000000"/>
                <w:kern w:val="21"/>
                <w:szCs w:val="21"/>
              </w:rPr>
            </w:pPr>
          </w:p>
        </w:tc>
        <w:tc>
          <w:tcPr>
            <w:tcW w:w="2079" w:type="dxa"/>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0.01</w:t>
            </w:r>
            <w:r>
              <w:rPr>
                <w:rFonts w:ascii="Times New Roman"/>
                <w:snapToGrid w:val="0"/>
                <w:color w:val="000000"/>
                <w:kern w:val="21"/>
                <w:szCs w:val="21"/>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75" w:type="pct"/>
            <w:vMerge w:val="continue"/>
            <w:vAlign w:val="center"/>
          </w:tcPr>
          <w:p>
            <w:pPr>
              <w:pStyle w:val="35"/>
              <w:spacing w:beforeLines="0" w:afterLines="0" w:line="240" w:lineRule="auto"/>
              <w:rPr>
                <w:rFonts w:ascii="Times New Roman"/>
                <w:snapToGrid w:val="0"/>
                <w:color w:val="000000"/>
                <w:kern w:val="21"/>
                <w:szCs w:val="21"/>
              </w:rPr>
            </w:pPr>
          </w:p>
        </w:tc>
        <w:tc>
          <w:tcPr>
            <w:tcW w:w="513" w:type="pct"/>
            <w:vAlign w:val="center"/>
          </w:tcPr>
          <w:p>
            <w:pPr>
              <w:pStyle w:val="35"/>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废活性炭</w:t>
            </w:r>
          </w:p>
        </w:tc>
        <w:tc>
          <w:tcPr>
            <w:tcW w:w="616" w:type="pct"/>
            <w:vAlign w:val="center"/>
          </w:tcPr>
          <w:p>
            <w:pPr>
              <w:pStyle w:val="35"/>
              <w:spacing w:beforeLines="0" w:afterLines="0" w:line="240" w:lineRule="auto"/>
              <w:rPr>
                <w:rFonts w:ascii="Times New Roman"/>
                <w:snapToGrid w:val="0"/>
                <w:color w:val="000000"/>
                <w:kern w:val="21"/>
                <w:szCs w:val="21"/>
              </w:rPr>
            </w:pPr>
          </w:p>
        </w:tc>
        <w:tc>
          <w:tcPr>
            <w:tcW w:w="462" w:type="pct"/>
            <w:vAlign w:val="center"/>
          </w:tcPr>
          <w:p>
            <w:pPr>
              <w:pStyle w:val="35"/>
              <w:spacing w:beforeLines="0" w:afterLines="0" w:line="240" w:lineRule="auto"/>
              <w:rPr>
                <w:rFonts w:ascii="Times New Roman"/>
                <w:snapToGrid w:val="0"/>
                <w:color w:val="000000"/>
                <w:kern w:val="21"/>
                <w:szCs w:val="21"/>
              </w:rPr>
            </w:pPr>
          </w:p>
        </w:tc>
        <w:tc>
          <w:tcPr>
            <w:tcW w:w="616" w:type="pct"/>
            <w:vAlign w:val="center"/>
          </w:tcPr>
          <w:p>
            <w:pPr>
              <w:pStyle w:val="35"/>
              <w:spacing w:beforeLines="0" w:afterLines="0" w:line="240" w:lineRule="auto"/>
              <w:rPr>
                <w:rFonts w:ascii="Times New Roman"/>
                <w:snapToGrid w:val="0"/>
                <w:color w:val="000000"/>
                <w:kern w:val="21"/>
                <w:szCs w:val="21"/>
              </w:rPr>
            </w:pPr>
          </w:p>
        </w:tc>
        <w:tc>
          <w:tcPr>
            <w:tcW w:w="565" w:type="pct"/>
            <w:vAlign w:val="center"/>
          </w:tcPr>
          <w:p>
            <w:pPr>
              <w:pStyle w:val="35"/>
              <w:spacing w:beforeLines="0" w:afterLines="0" w:line="240" w:lineRule="auto"/>
              <w:rPr>
                <w:rFonts w:ascii="Times New Roman"/>
                <w:b/>
                <w:bCs/>
                <w:snapToGrid w:val="0"/>
                <w:color w:val="000000"/>
                <w:kern w:val="21"/>
                <w:szCs w:val="21"/>
                <w:u w:val="single"/>
              </w:rPr>
            </w:pPr>
            <w:r>
              <w:rPr>
                <w:rFonts w:hint="eastAsia" w:ascii="Times New Roman"/>
                <w:b/>
                <w:bCs/>
                <w:snapToGrid w:val="0"/>
                <w:color w:val="000000"/>
                <w:kern w:val="21"/>
                <w:szCs w:val="21"/>
                <w:u w:val="single"/>
                <w:lang w:val="en-US" w:eastAsia="zh-CN"/>
              </w:rPr>
              <w:t>0.136</w:t>
            </w:r>
            <w:r>
              <w:rPr>
                <w:rFonts w:ascii="Times New Roman"/>
                <w:b/>
                <w:bCs/>
                <w:snapToGrid w:val="0"/>
                <w:color w:val="000000"/>
                <w:kern w:val="21"/>
                <w:szCs w:val="21"/>
                <w:u w:val="single"/>
              </w:rPr>
              <w:t>t/a</w:t>
            </w:r>
          </w:p>
        </w:tc>
        <w:tc>
          <w:tcPr>
            <w:tcW w:w="638" w:type="pct"/>
            <w:vAlign w:val="center"/>
          </w:tcPr>
          <w:p>
            <w:pPr>
              <w:pStyle w:val="35"/>
              <w:spacing w:beforeLines="0" w:afterLines="0" w:line="240" w:lineRule="auto"/>
              <w:rPr>
                <w:rFonts w:ascii="Times New Roman"/>
                <w:b/>
                <w:bCs/>
                <w:snapToGrid w:val="0"/>
                <w:color w:val="000000"/>
                <w:kern w:val="21"/>
                <w:szCs w:val="21"/>
                <w:u w:val="single"/>
              </w:rPr>
            </w:pPr>
          </w:p>
        </w:tc>
        <w:tc>
          <w:tcPr>
            <w:tcW w:w="2079" w:type="dxa"/>
            <w:vAlign w:val="center"/>
          </w:tcPr>
          <w:p>
            <w:pPr>
              <w:pStyle w:val="35"/>
              <w:spacing w:beforeLines="0" w:afterLines="0" w:line="240" w:lineRule="auto"/>
              <w:rPr>
                <w:rFonts w:ascii="Times New Roman"/>
                <w:b/>
                <w:bCs/>
                <w:snapToGrid w:val="0"/>
                <w:color w:val="000000"/>
                <w:kern w:val="21"/>
                <w:szCs w:val="21"/>
                <w:u w:val="single"/>
              </w:rPr>
            </w:pPr>
            <w:r>
              <w:rPr>
                <w:rFonts w:hint="eastAsia" w:ascii="Times New Roman"/>
                <w:b/>
                <w:bCs/>
                <w:snapToGrid w:val="0"/>
                <w:color w:val="000000"/>
                <w:kern w:val="21"/>
                <w:szCs w:val="21"/>
                <w:u w:val="single"/>
                <w:lang w:val="en-US" w:eastAsia="zh-CN"/>
              </w:rPr>
              <w:t>0.136</w:t>
            </w:r>
            <w:r>
              <w:rPr>
                <w:rFonts w:ascii="Times New Roman"/>
                <w:b/>
                <w:bCs/>
                <w:snapToGrid w:val="0"/>
                <w:color w:val="000000"/>
                <w:kern w:val="21"/>
                <w:szCs w:val="21"/>
                <w:u w:val="single"/>
              </w:rPr>
              <w:t>t/a</w:t>
            </w:r>
          </w:p>
        </w:tc>
        <w:tc>
          <w:tcPr>
            <w:tcW w:w="299" w:type="pct"/>
            <w:vAlign w:val="center"/>
          </w:tcPr>
          <w:p>
            <w:pPr>
              <w:pStyle w:val="35"/>
              <w:spacing w:beforeLines="0" w:afterLines="0" w:line="240" w:lineRule="auto"/>
              <w:rPr>
                <w:rFonts w:ascii="Times New Roman"/>
                <w:snapToGrid w:val="0"/>
                <w:color w:val="000000"/>
                <w:kern w:val="21"/>
                <w:szCs w:val="21"/>
              </w:rPr>
            </w:pPr>
          </w:p>
        </w:tc>
      </w:tr>
    </w:tbl>
    <w:p>
      <w:pPr>
        <w:pStyle w:val="35"/>
        <w:spacing w:before="192" w:beforeLines="80" w:after="24"/>
        <w:jc w:val="left"/>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sectPr>
      <w:pgSz w:w="16838" w:h="11906" w:orient="landscape"/>
      <w:pgMar w:top="1417" w:right="1134" w:bottom="1417" w:left="1134"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- 38 -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p5VZqwBAABNAwAA&#10;DgAAAAAAAAABACAAAAAeAQAAZHJzL2Uyb0RvYy54bWxQSwUGAAAAAAYABgBZAQAAPA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- 41 -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ETfHZ6tAQAATwMA&#10;AA4AAAAAAAAAAQAgAAAAHgEAAGRycy9lMm9Eb2MueG1sUEsFBgAAAAAGAAYAWQEAAD0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- 41 -</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Il2pyGtAQAATwMA&#10;AA4AAAAAAAAAAQAgAAAAHgEAAGRycy9lMm9Eb2MueG1sUEsFBgAAAAAGAAYAWQEAAD0FAAAAAA==&#10;">
              <v:fill on="f" focussize="0,0"/>
              <v:stroke on="f"/>
              <v:imagedata o:title=""/>
              <o:lock v:ext="edit" aspectratio="f"/>
              <v:textbox inset="0mm,0mm,0mm,0mm" style="mso-fit-shape-to-text:t;">
                <w:txbxContent>
                  <w:p>
                    <w:pPr>
                      <w:pStyle w:val="13"/>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000"/>
    <w:multiLevelType w:val="singleLevel"/>
    <w:tmpl w:val="0F2F3000"/>
    <w:lvl w:ilvl="0" w:tentative="0">
      <w:start w:val="1"/>
      <w:numFmt w:val="decimal"/>
      <w:suff w:val="nothing"/>
      <w:lvlText w:val="%1、"/>
      <w:lvlJc w:val="left"/>
    </w:lvl>
  </w:abstractNum>
  <w:abstractNum w:abstractNumId="1">
    <w:nsid w:val="486F0CFE"/>
    <w:multiLevelType w:val="singleLevel"/>
    <w:tmpl w:val="486F0CFE"/>
    <w:lvl w:ilvl="0" w:tentative="0">
      <w:start w:val="1"/>
      <w:numFmt w:val="decimal"/>
      <w:suff w:val="nothing"/>
      <w:lvlText w:val="%1、"/>
      <w:lvlJc w:val="left"/>
    </w:lvl>
  </w:abstractNum>
  <w:abstractNum w:abstractNumId="2">
    <w:nsid w:val="5F328F61"/>
    <w:multiLevelType w:val="singleLevel"/>
    <w:tmpl w:val="5F328F61"/>
    <w:lvl w:ilvl="0" w:tentative="0">
      <w:start w:val="1"/>
      <w:numFmt w:val="decimal"/>
      <w:pStyle w:val="6"/>
      <w:lvlText w:val="表%1"/>
      <w:lvlJc w:val="left"/>
      <w:pPr>
        <w:tabs>
          <w:tab w:val="left" w:pos="420"/>
        </w:tabs>
        <w:ind w:left="1141" w:hanging="425"/>
      </w:pPr>
      <w:rPr>
        <w:rFonts w:hint="default"/>
        <w:b/>
        <w:bCs/>
        <w:sz w:val="24"/>
        <w:szCs w:val="24"/>
      </w:rPr>
    </w:lvl>
  </w:abstractNum>
  <w:abstractNum w:abstractNumId="3">
    <w:nsid w:val="61694E05"/>
    <w:multiLevelType w:val="multilevel"/>
    <w:tmpl w:val="61694E05"/>
    <w:lvl w:ilvl="0" w:tentative="0">
      <w:start w:val="1"/>
      <w:numFmt w:val="decimal"/>
      <w:pStyle w:val="30"/>
      <w:suff w:val="space"/>
      <w:lvlText w:val="表%1"/>
      <w:lvlJc w:val="center"/>
      <w:pPr>
        <w:tabs>
          <w:tab w:val="left" w:pos="0"/>
        </w:tabs>
        <w:ind w:left="567" w:hanging="565"/>
      </w:pPr>
      <w:rPr>
        <w:rFonts w:hint="default" w:ascii="宋体" w:hAnsi="宋体" w:eastAsia="宋体" w:cs="宋体"/>
        <w:b/>
        <w:bCs/>
        <w:i w:val="0"/>
        <w:iCs w:val="0"/>
        <w:caps w:val="0"/>
        <w:smallCaps w:val="0"/>
        <w:strike w:val="0"/>
        <w:dstrike w:val="0"/>
        <w:vanish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vanish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77A01"/>
    <w:rsid w:val="00082F87"/>
    <w:rsid w:val="000B3646"/>
    <w:rsid w:val="000C79CB"/>
    <w:rsid w:val="0024751F"/>
    <w:rsid w:val="00276A13"/>
    <w:rsid w:val="00337470"/>
    <w:rsid w:val="004E166C"/>
    <w:rsid w:val="00676D82"/>
    <w:rsid w:val="00781101"/>
    <w:rsid w:val="007F51CF"/>
    <w:rsid w:val="00A80E7C"/>
    <w:rsid w:val="00AA72D2"/>
    <w:rsid w:val="00CB7D63"/>
    <w:rsid w:val="00DF5334"/>
    <w:rsid w:val="00E42C0E"/>
    <w:rsid w:val="00F23D33"/>
    <w:rsid w:val="00FA0E01"/>
    <w:rsid w:val="0159046E"/>
    <w:rsid w:val="0159301C"/>
    <w:rsid w:val="01D070F0"/>
    <w:rsid w:val="022F1561"/>
    <w:rsid w:val="02B92927"/>
    <w:rsid w:val="02D74813"/>
    <w:rsid w:val="02DA3611"/>
    <w:rsid w:val="04861533"/>
    <w:rsid w:val="04C904B8"/>
    <w:rsid w:val="062B5AFB"/>
    <w:rsid w:val="0635383E"/>
    <w:rsid w:val="06A91A40"/>
    <w:rsid w:val="06C42EC9"/>
    <w:rsid w:val="06D22F39"/>
    <w:rsid w:val="06D67088"/>
    <w:rsid w:val="07DC206D"/>
    <w:rsid w:val="09683615"/>
    <w:rsid w:val="0A805FA1"/>
    <w:rsid w:val="0A8A7670"/>
    <w:rsid w:val="0B502E8B"/>
    <w:rsid w:val="0C0D2CD3"/>
    <w:rsid w:val="0C46058F"/>
    <w:rsid w:val="0C5878D1"/>
    <w:rsid w:val="0C8E5F24"/>
    <w:rsid w:val="0DA21337"/>
    <w:rsid w:val="0DAA49B0"/>
    <w:rsid w:val="0E05124E"/>
    <w:rsid w:val="0EEC3721"/>
    <w:rsid w:val="0FD07C9D"/>
    <w:rsid w:val="11277035"/>
    <w:rsid w:val="11387376"/>
    <w:rsid w:val="115A0738"/>
    <w:rsid w:val="115D05DC"/>
    <w:rsid w:val="135C3DB2"/>
    <w:rsid w:val="136B321C"/>
    <w:rsid w:val="13716EDF"/>
    <w:rsid w:val="137777E8"/>
    <w:rsid w:val="13E15A57"/>
    <w:rsid w:val="14A94B0C"/>
    <w:rsid w:val="14B51446"/>
    <w:rsid w:val="159148CD"/>
    <w:rsid w:val="15B46216"/>
    <w:rsid w:val="166A54F7"/>
    <w:rsid w:val="16866763"/>
    <w:rsid w:val="17963D0E"/>
    <w:rsid w:val="17AB0FCE"/>
    <w:rsid w:val="17C41E07"/>
    <w:rsid w:val="184713D4"/>
    <w:rsid w:val="19027D44"/>
    <w:rsid w:val="1921311A"/>
    <w:rsid w:val="19D31706"/>
    <w:rsid w:val="1A5605E9"/>
    <w:rsid w:val="1A6502BF"/>
    <w:rsid w:val="1B0B36C4"/>
    <w:rsid w:val="1B923110"/>
    <w:rsid w:val="1C2D769F"/>
    <w:rsid w:val="1CDE7F90"/>
    <w:rsid w:val="1E3E6578"/>
    <w:rsid w:val="1E6752F5"/>
    <w:rsid w:val="1E770B93"/>
    <w:rsid w:val="1EAF5989"/>
    <w:rsid w:val="1EEB1655"/>
    <w:rsid w:val="1F0F4767"/>
    <w:rsid w:val="1F542870"/>
    <w:rsid w:val="20AC6AB5"/>
    <w:rsid w:val="21306615"/>
    <w:rsid w:val="22D9389B"/>
    <w:rsid w:val="22EB34F3"/>
    <w:rsid w:val="234F23CB"/>
    <w:rsid w:val="2377031B"/>
    <w:rsid w:val="248355C3"/>
    <w:rsid w:val="25DC2A9C"/>
    <w:rsid w:val="26AD6CF2"/>
    <w:rsid w:val="26B94A8D"/>
    <w:rsid w:val="27220408"/>
    <w:rsid w:val="27F00AAA"/>
    <w:rsid w:val="27FE097D"/>
    <w:rsid w:val="2B227A16"/>
    <w:rsid w:val="2B6F443C"/>
    <w:rsid w:val="2C877501"/>
    <w:rsid w:val="2CBB2DA4"/>
    <w:rsid w:val="2CC0317E"/>
    <w:rsid w:val="2D5A7F6A"/>
    <w:rsid w:val="2D5B6486"/>
    <w:rsid w:val="2DFD5CC9"/>
    <w:rsid w:val="2EA90878"/>
    <w:rsid w:val="2EAB2859"/>
    <w:rsid w:val="2EDE3BED"/>
    <w:rsid w:val="2F3C0E2D"/>
    <w:rsid w:val="2F5A6D38"/>
    <w:rsid w:val="2F8B1752"/>
    <w:rsid w:val="3009169C"/>
    <w:rsid w:val="31CA6E0A"/>
    <w:rsid w:val="3417738B"/>
    <w:rsid w:val="36687C92"/>
    <w:rsid w:val="366A338D"/>
    <w:rsid w:val="372633C5"/>
    <w:rsid w:val="37436F5B"/>
    <w:rsid w:val="381212E3"/>
    <w:rsid w:val="384870C2"/>
    <w:rsid w:val="38DB2C42"/>
    <w:rsid w:val="3AA448F6"/>
    <w:rsid w:val="3B4A6727"/>
    <w:rsid w:val="3BA17D3A"/>
    <w:rsid w:val="3BB34D7A"/>
    <w:rsid w:val="3BDE35D1"/>
    <w:rsid w:val="3F29483C"/>
    <w:rsid w:val="3F397C33"/>
    <w:rsid w:val="3F9D7F9C"/>
    <w:rsid w:val="40330901"/>
    <w:rsid w:val="40610579"/>
    <w:rsid w:val="40713788"/>
    <w:rsid w:val="43567F46"/>
    <w:rsid w:val="438E5275"/>
    <w:rsid w:val="43D656EC"/>
    <w:rsid w:val="44795E5C"/>
    <w:rsid w:val="44E618C4"/>
    <w:rsid w:val="45352535"/>
    <w:rsid w:val="45587387"/>
    <w:rsid w:val="45AB0F97"/>
    <w:rsid w:val="46670B8F"/>
    <w:rsid w:val="47376CDF"/>
    <w:rsid w:val="474C0FE3"/>
    <w:rsid w:val="47507480"/>
    <w:rsid w:val="47F15C9F"/>
    <w:rsid w:val="4815292D"/>
    <w:rsid w:val="48165259"/>
    <w:rsid w:val="48C37A03"/>
    <w:rsid w:val="49DB4B03"/>
    <w:rsid w:val="4A6F7231"/>
    <w:rsid w:val="4B387377"/>
    <w:rsid w:val="4BA54259"/>
    <w:rsid w:val="4BC05088"/>
    <w:rsid w:val="4C443C6F"/>
    <w:rsid w:val="4C8712AB"/>
    <w:rsid w:val="4DD40A54"/>
    <w:rsid w:val="4E6177B1"/>
    <w:rsid w:val="4E9C59DC"/>
    <w:rsid w:val="4E9D24E2"/>
    <w:rsid w:val="4EE33A89"/>
    <w:rsid w:val="4F0E1B75"/>
    <w:rsid w:val="4FF944BA"/>
    <w:rsid w:val="51622D67"/>
    <w:rsid w:val="528F0E06"/>
    <w:rsid w:val="538327E9"/>
    <w:rsid w:val="55EC7B4B"/>
    <w:rsid w:val="55FD6472"/>
    <w:rsid w:val="56EB5639"/>
    <w:rsid w:val="57BE2C9B"/>
    <w:rsid w:val="58F06D7B"/>
    <w:rsid w:val="59622CD9"/>
    <w:rsid w:val="598F38E5"/>
    <w:rsid w:val="59B2719F"/>
    <w:rsid w:val="5AAB3EA9"/>
    <w:rsid w:val="5B81031A"/>
    <w:rsid w:val="5B812222"/>
    <w:rsid w:val="5B917FB6"/>
    <w:rsid w:val="5BE247AE"/>
    <w:rsid w:val="5C5C6178"/>
    <w:rsid w:val="5D003F9A"/>
    <w:rsid w:val="5D504448"/>
    <w:rsid w:val="5DB1303F"/>
    <w:rsid w:val="5DF36014"/>
    <w:rsid w:val="5E1926BF"/>
    <w:rsid w:val="603E0B61"/>
    <w:rsid w:val="608633CC"/>
    <w:rsid w:val="611F3989"/>
    <w:rsid w:val="612B100D"/>
    <w:rsid w:val="62EC43ED"/>
    <w:rsid w:val="636E35A1"/>
    <w:rsid w:val="650D158F"/>
    <w:rsid w:val="651D7922"/>
    <w:rsid w:val="652A0A9C"/>
    <w:rsid w:val="65FE5DD1"/>
    <w:rsid w:val="664F1911"/>
    <w:rsid w:val="66FB5EF9"/>
    <w:rsid w:val="688D6418"/>
    <w:rsid w:val="69045FA6"/>
    <w:rsid w:val="69072434"/>
    <w:rsid w:val="69905870"/>
    <w:rsid w:val="6A146146"/>
    <w:rsid w:val="6A454068"/>
    <w:rsid w:val="6BEC63ED"/>
    <w:rsid w:val="6C5E6323"/>
    <w:rsid w:val="6C8B27BD"/>
    <w:rsid w:val="6CDA60C5"/>
    <w:rsid w:val="6CF55D3D"/>
    <w:rsid w:val="6D0D04E7"/>
    <w:rsid w:val="6D257FA0"/>
    <w:rsid w:val="6EA81E52"/>
    <w:rsid w:val="704476C6"/>
    <w:rsid w:val="705F0F87"/>
    <w:rsid w:val="706D4C15"/>
    <w:rsid w:val="7082644B"/>
    <w:rsid w:val="716A41AC"/>
    <w:rsid w:val="71B77A01"/>
    <w:rsid w:val="720E5FED"/>
    <w:rsid w:val="732750EC"/>
    <w:rsid w:val="73B350F1"/>
    <w:rsid w:val="74936918"/>
    <w:rsid w:val="755D622F"/>
    <w:rsid w:val="757908EE"/>
    <w:rsid w:val="76C925DB"/>
    <w:rsid w:val="77586140"/>
    <w:rsid w:val="77D75CB2"/>
    <w:rsid w:val="78010B38"/>
    <w:rsid w:val="78026291"/>
    <w:rsid w:val="78277C4D"/>
    <w:rsid w:val="78700CFE"/>
    <w:rsid w:val="79B503F7"/>
    <w:rsid w:val="79F40BA7"/>
    <w:rsid w:val="7A8C5BF0"/>
    <w:rsid w:val="7AD239F7"/>
    <w:rsid w:val="7AEF144A"/>
    <w:rsid w:val="7B5D3CED"/>
    <w:rsid w:val="7BB50EDA"/>
    <w:rsid w:val="7BD25785"/>
    <w:rsid w:val="7C2C4D7D"/>
    <w:rsid w:val="7D3924FB"/>
    <w:rsid w:val="7D5C50D3"/>
    <w:rsid w:val="7D67622C"/>
    <w:rsid w:val="7DC31948"/>
    <w:rsid w:val="7DD66E7F"/>
    <w:rsid w:val="7EF77D52"/>
    <w:rsid w:val="7FAB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6"/>
    <w:unhideWhenUsed/>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rPr>
      <w:szCs w:val="20"/>
    </w:rPr>
  </w:style>
  <w:style w:type="paragraph" w:styleId="6">
    <w:name w:val="Normal Indent"/>
    <w:basedOn w:val="1"/>
    <w:next w:val="1"/>
    <w:qFormat/>
    <w:uiPriority w:val="0"/>
    <w:pPr>
      <w:numPr>
        <w:ilvl w:val="0"/>
        <w:numId w:val="1"/>
      </w:numPr>
      <w:adjustRightInd w:val="0"/>
      <w:spacing w:line="460" w:lineRule="exact"/>
      <w:ind w:left="0" w:firstLine="200" w:firstLineChars="200"/>
    </w:pPr>
    <w:rPr>
      <w:b/>
      <w:kern w:val="0"/>
      <w:sz w:val="24"/>
    </w:rPr>
  </w:style>
  <w:style w:type="paragraph" w:styleId="7">
    <w:name w:val="Note Heading"/>
    <w:basedOn w:val="1"/>
    <w:next w:val="1"/>
    <w:qFormat/>
    <w:uiPriority w:val="0"/>
    <w:pPr>
      <w:jc w:val="center"/>
    </w:pPr>
    <w:rPr>
      <w:szCs w:val="20"/>
    </w:rPr>
  </w:style>
  <w:style w:type="paragraph" w:styleId="8">
    <w:name w:val="annotation text"/>
    <w:basedOn w:val="1"/>
    <w:link w:val="52"/>
    <w:semiHidden/>
    <w:qFormat/>
    <w:uiPriority w:val="0"/>
    <w:pPr>
      <w:jc w:val="left"/>
    </w:pPr>
    <w:rPr>
      <w:kern w:val="0"/>
      <w:sz w:val="24"/>
      <w:szCs w:val="20"/>
    </w:rPr>
  </w:style>
  <w:style w:type="paragraph" w:styleId="9">
    <w:name w:val="Body Text"/>
    <w:basedOn w:val="1"/>
    <w:next w:val="1"/>
    <w:qFormat/>
    <w:uiPriority w:val="0"/>
    <w:pPr>
      <w:widowControl/>
      <w:snapToGrid w:val="0"/>
      <w:spacing w:before="60" w:after="160" w:line="259" w:lineRule="auto"/>
      <w:ind w:right="113"/>
    </w:pPr>
    <w:rPr>
      <w:kern w:val="0"/>
      <w:sz w:val="18"/>
      <w:szCs w:val="20"/>
    </w:rPr>
  </w:style>
  <w:style w:type="paragraph" w:styleId="10">
    <w:name w:val="Body Text Indent"/>
    <w:basedOn w:val="1"/>
    <w:next w:val="9"/>
    <w:qFormat/>
    <w:uiPriority w:val="0"/>
    <w:pPr>
      <w:spacing w:after="120"/>
      <w:ind w:left="420" w:leftChars="200"/>
    </w:pPr>
    <w:rPr>
      <w:kern w:val="0"/>
      <w:sz w:val="24"/>
      <w:szCs w:val="20"/>
    </w:rPr>
  </w:style>
  <w:style w:type="paragraph" w:styleId="11">
    <w:name w:val="Block Text"/>
    <w:basedOn w:val="1"/>
    <w:next w:val="1"/>
    <w:unhideWhenUsed/>
    <w:qFormat/>
    <w:uiPriority w:val="99"/>
    <w:pPr>
      <w:ind w:left="1440" w:leftChars="700" w:right="1440" w:rightChars="700"/>
    </w:pPr>
  </w:style>
  <w:style w:type="paragraph" w:styleId="12">
    <w:name w:val="Balloon Text"/>
    <w:basedOn w:val="1"/>
    <w:link w:val="54"/>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footnote text"/>
    <w:basedOn w:val="1"/>
    <w:next w:val="9"/>
    <w:qFormat/>
    <w:uiPriority w:val="0"/>
    <w:pPr>
      <w:snapToGrid w:val="0"/>
      <w:jc w:val="left"/>
    </w:pPr>
    <w:rPr>
      <w:rFonts w:eastAsia="等线"/>
      <w:sz w:val="32"/>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8"/>
    <w:next w:val="8"/>
    <w:link w:val="53"/>
    <w:qFormat/>
    <w:uiPriority w:val="0"/>
    <w:rPr>
      <w:b/>
      <w:bCs/>
      <w:kern w:val="2"/>
      <w:sz w:val="21"/>
      <w:szCs w:val="24"/>
    </w:rPr>
  </w:style>
  <w:style w:type="paragraph" w:styleId="18">
    <w:name w:val="Body Text First Indent"/>
    <w:basedOn w:val="9"/>
    <w:qFormat/>
    <w:uiPriority w:val="0"/>
    <w:pPr>
      <w:ind w:firstLine="420" w:firstLineChars="1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color w:val="000000"/>
      <w:u w:val="none"/>
    </w:rPr>
  </w:style>
  <w:style w:type="character" w:styleId="23">
    <w:name w:val="Emphasis"/>
    <w:basedOn w:val="21"/>
    <w:qFormat/>
    <w:uiPriority w:val="0"/>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报告正文"/>
    <w:basedOn w:val="1"/>
    <w:qFormat/>
    <w:uiPriority w:val="0"/>
    <w:pPr>
      <w:snapToGrid w:val="0"/>
      <w:spacing w:line="360" w:lineRule="auto"/>
      <w:ind w:firstLine="200" w:firstLineChars="200"/>
    </w:pPr>
    <w:rPr>
      <w:rFonts w:ascii="宋体" w:hAnsi="宋体"/>
      <w:sz w:val="28"/>
    </w:rPr>
  </w:style>
  <w:style w:type="paragraph" w:customStyle="1" w:styleId="27">
    <w:name w:val="表内字"/>
    <w:qFormat/>
    <w:uiPriority w:val="0"/>
    <w:pPr>
      <w:spacing w:line="360" w:lineRule="exact"/>
      <w:jc w:val="center"/>
    </w:pPr>
    <w:rPr>
      <w:rFonts w:ascii="Times New Roman" w:hAnsi="Times New Roman" w:eastAsia="宋体" w:cs="Times New Roman"/>
      <w:bCs/>
      <w:kern w:val="2"/>
      <w:sz w:val="21"/>
      <w:szCs w:val="21"/>
      <w:lang w:val="en-US" w:eastAsia="zh-CN" w:bidi="ar-SA"/>
    </w:rPr>
  </w:style>
  <w:style w:type="paragraph" w:customStyle="1" w:styleId="28">
    <w:name w:val="表头"/>
    <w:basedOn w:val="9"/>
    <w:next w:val="29"/>
    <w:qFormat/>
    <w:uiPriority w:val="0"/>
    <w:pPr>
      <w:adjustRightInd w:val="0"/>
      <w:spacing w:after="0" w:line="400" w:lineRule="exact"/>
      <w:jc w:val="center"/>
    </w:pPr>
    <w:rPr>
      <w:b/>
      <w:sz w:val="24"/>
      <w:szCs w:val="24"/>
    </w:rPr>
  </w:style>
  <w:style w:type="paragraph" w:customStyle="1" w:styleId="29">
    <w:name w:val="表格内容"/>
    <w:basedOn w:val="28"/>
    <w:qFormat/>
    <w:uiPriority w:val="0"/>
    <w:rPr>
      <w:rFonts w:cs="Calibri"/>
      <w:sz w:val="21"/>
      <w:szCs w:val="21"/>
    </w:rPr>
  </w:style>
  <w:style w:type="paragraph" w:customStyle="1" w:styleId="30">
    <w:name w:val="塑料表头"/>
    <w:basedOn w:val="31"/>
    <w:qFormat/>
    <w:uiPriority w:val="0"/>
    <w:pPr>
      <w:numPr>
        <w:ilvl w:val="0"/>
        <w:numId w:val="2"/>
      </w:numPr>
      <w:ind w:firstLine="0" w:firstLineChars="0"/>
      <w:jc w:val="center"/>
    </w:pPr>
    <w:rPr>
      <w:rFonts w:eastAsia="宋体"/>
      <w:b/>
      <w:szCs w:val="24"/>
    </w:rPr>
  </w:style>
  <w:style w:type="paragraph" w:customStyle="1" w:styleId="31">
    <w:name w:val="表头字"/>
    <w:basedOn w:val="1"/>
    <w:qFormat/>
    <w:uiPriority w:val="0"/>
    <w:pPr>
      <w:spacing w:line="520" w:lineRule="exact"/>
      <w:ind w:firstLine="400" w:firstLineChars="400"/>
      <w:jc w:val="left"/>
    </w:pPr>
    <w:rPr>
      <w:rFonts w:eastAsia="黑体"/>
      <w:sz w:val="24"/>
      <w:szCs w:val="20"/>
    </w:rPr>
  </w:style>
  <w:style w:type="paragraph" w:customStyle="1" w:styleId="32">
    <w:name w:val="常用正文样式"/>
    <w:basedOn w:val="1"/>
    <w:qFormat/>
    <w:uiPriority w:val="0"/>
    <w:pPr>
      <w:spacing w:line="360" w:lineRule="auto"/>
      <w:ind w:firstLine="480" w:firstLineChars="200"/>
    </w:pPr>
    <w:rPr>
      <w:rFonts w:ascii="宋体" w:hAnsi="宋体"/>
      <w:bCs/>
      <w:kern w:val="28"/>
      <w:szCs w:val="20"/>
    </w:rPr>
  </w:style>
  <w:style w:type="paragraph" w:customStyle="1" w:styleId="33">
    <w:name w:val="1正文"/>
    <w:basedOn w:val="1"/>
    <w:qFormat/>
    <w:uiPriority w:val="0"/>
    <w:pPr>
      <w:spacing w:line="460" w:lineRule="atLeast"/>
      <w:ind w:left="140" w:leftChars="54" w:firstLine="565" w:firstLineChars="211"/>
    </w:pPr>
    <w:rPr>
      <w:rFonts w:ascii="宋体" w:hAnsi="宋体"/>
      <w:spacing w:val="4"/>
      <w:sz w:val="26"/>
    </w:rPr>
  </w:style>
  <w:style w:type="paragraph" w:customStyle="1" w:styleId="34">
    <w:name w:val="表格_正文"/>
    <w:qFormat/>
    <w:uiPriority w:val="99"/>
    <w:pPr>
      <w:snapToGrid w:val="0"/>
    </w:pPr>
    <w:rPr>
      <w:rFonts w:ascii="Times New Roman" w:hAnsi="Times New Roman" w:eastAsia="宋体" w:cs="Times New Roman"/>
      <w:sz w:val="21"/>
      <w:szCs w:val="22"/>
      <w:lang w:val="en-US" w:eastAsia="zh-CN" w:bidi="ar-SA"/>
    </w:rPr>
  </w:style>
  <w:style w:type="paragraph" w:customStyle="1" w:styleId="35">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6">
    <w:name w:val="正文小四 1.75"/>
    <w:basedOn w:val="1"/>
    <w:qFormat/>
    <w:uiPriority w:val="0"/>
    <w:pPr>
      <w:spacing w:line="420" w:lineRule="auto"/>
      <w:ind w:firstLine="480" w:firstLineChars="200"/>
    </w:pPr>
    <w:rPr>
      <w:sz w:val="24"/>
    </w:rPr>
  </w:style>
  <w:style w:type="character" w:customStyle="1" w:styleId="37">
    <w:name w:val="lable"/>
    <w:basedOn w:val="21"/>
    <w:qFormat/>
    <w:uiPriority w:val="0"/>
    <w:rPr>
      <w:sz w:val="24"/>
      <w:szCs w:val="24"/>
    </w:rPr>
  </w:style>
  <w:style w:type="character" w:customStyle="1" w:styleId="38">
    <w:name w:val="cur1"/>
    <w:basedOn w:val="21"/>
    <w:qFormat/>
    <w:uiPriority w:val="0"/>
    <w:rPr>
      <w:color w:val="FFFFFF"/>
      <w:shd w:val="clear" w:color="auto" w:fill="2F6B98"/>
    </w:rPr>
  </w:style>
  <w:style w:type="character" w:customStyle="1" w:styleId="39">
    <w:name w:val="lishishuju"/>
    <w:basedOn w:val="21"/>
    <w:qFormat/>
    <w:uiPriority w:val="0"/>
    <w:rPr>
      <w:b/>
      <w:bCs/>
      <w:color w:val="000052"/>
      <w:sz w:val="24"/>
      <w:szCs w:val="24"/>
      <w:bdr w:val="single" w:color="E3E3E3" w:sz="6" w:space="0"/>
    </w:rPr>
  </w:style>
  <w:style w:type="character" w:customStyle="1" w:styleId="40">
    <w:name w:val="radio-btn"/>
    <w:basedOn w:val="21"/>
    <w:qFormat/>
    <w:uiPriority w:val="0"/>
    <w:rPr>
      <w:sz w:val="21"/>
      <w:szCs w:val="21"/>
    </w:rPr>
  </w:style>
  <w:style w:type="character" w:customStyle="1" w:styleId="41">
    <w:name w:val="radio-btn1"/>
    <w:basedOn w:val="21"/>
    <w:qFormat/>
    <w:uiPriority w:val="0"/>
    <w:rPr>
      <w:sz w:val="24"/>
      <w:szCs w:val="24"/>
    </w:rPr>
  </w:style>
  <w:style w:type="character" w:customStyle="1" w:styleId="42">
    <w:name w:val="radio-btn2"/>
    <w:basedOn w:val="21"/>
    <w:qFormat/>
    <w:uiPriority w:val="0"/>
    <w:rPr>
      <w:sz w:val="24"/>
      <w:szCs w:val="24"/>
    </w:rPr>
  </w:style>
  <w:style w:type="character" w:customStyle="1" w:styleId="43">
    <w:name w:val="znspantitle"/>
    <w:basedOn w:val="21"/>
    <w:qFormat/>
    <w:uiPriority w:val="0"/>
    <w:rPr>
      <w:b/>
      <w:bCs/>
      <w:color w:val="333333"/>
    </w:rPr>
  </w:style>
  <w:style w:type="paragraph" w:customStyle="1" w:styleId="44">
    <w:name w:val="表内 定"/>
    <w:basedOn w:val="1"/>
    <w:qFormat/>
    <w:uiPriority w:val="0"/>
    <w:rPr>
      <w:color w:val="000000" w:themeColor="text1"/>
      <w14:textFill>
        <w14:solidFill>
          <w14:schemeClr w14:val="tx1"/>
        </w14:solidFill>
      </w14:textFill>
    </w:rPr>
  </w:style>
  <w:style w:type="paragraph" w:customStyle="1" w:styleId="45">
    <w:name w:val="Char Char Char1 Char Char Char Char"/>
    <w:basedOn w:val="1"/>
    <w:qFormat/>
    <w:uiPriority w:val="0"/>
  </w:style>
  <w:style w:type="paragraph" w:customStyle="1" w:styleId="46">
    <w:name w:val="刘正文"/>
    <w:basedOn w:val="1"/>
    <w:qFormat/>
    <w:uiPriority w:val="0"/>
    <w:pPr>
      <w:spacing w:line="460" w:lineRule="exact"/>
      <w:ind w:firstLine="480" w:firstLineChars="200"/>
      <w:jc w:val="left"/>
    </w:pPr>
    <w:rPr>
      <w:color w:val="000000"/>
      <w:sz w:val="24"/>
    </w:rPr>
  </w:style>
  <w:style w:type="paragraph" w:customStyle="1" w:styleId="47">
    <w:name w:val="刘表格居中"/>
    <w:basedOn w:val="1"/>
    <w:qFormat/>
    <w:uiPriority w:val="0"/>
    <w:pPr>
      <w:jc w:val="center"/>
    </w:pPr>
    <w:rPr>
      <w:color w:val="000000"/>
      <w:szCs w:val="21"/>
    </w:rPr>
  </w:style>
  <w:style w:type="paragraph" w:customStyle="1" w:styleId="48">
    <w:name w:val="正文  001"/>
    <w:basedOn w:val="1"/>
    <w:qFormat/>
    <w:uiPriority w:val="0"/>
    <w:pPr>
      <w:spacing w:line="360" w:lineRule="exact"/>
      <w:ind w:firstLine="200" w:firstLineChars="200"/>
    </w:pPr>
  </w:style>
  <w:style w:type="paragraph" w:customStyle="1" w:styleId="49">
    <w:name w:val="Body text|1"/>
    <w:basedOn w:val="1"/>
    <w:qFormat/>
    <w:uiPriority w:val="0"/>
    <w:pPr>
      <w:spacing w:line="420" w:lineRule="auto"/>
      <w:ind w:firstLine="400"/>
    </w:pPr>
    <w:rPr>
      <w:sz w:val="30"/>
      <w:szCs w:val="30"/>
      <w:lang w:val="zh-TW" w:eastAsia="zh-TW" w:bidi="zh-TW"/>
    </w:rPr>
  </w:style>
  <w:style w:type="paragraph" w:customStyle="1" w:styleId="50">
    <w:name w:val="报告表正文"/>
    <w:basedOn w:val="1"/>
    <w:qFormat/>
    <w:uiPriority w:val="0"/>
    <w:pPr>
      <w:adjustRightInd w:val="0"/>
      <w:spacing w:line="312" w:lineRule="auto"/>
      <w:ind w:left="113" w:right="113" w:firstLine="482"/>
      <w:jc w:val="left"/>
      <w:textAlignment w:val="baseline"/>
    </w:pPr>
    <w:rPr>
      <w:rFonts w:ascii="Calibri" w:hAnsi="Calibri"/>
      <w:kern w:val="0"/>
      <w:sz w:val="24"/>
    </w:rPr>
  </w:style>
  <w:style w:type="character" w:customStyle="1" w:styleId="51">
    <w:name w:val="unnamed1"/>
    <w:qFormat/>
    <w:uiPriority w:val="0"/>
  </w:style>
  <w:style w:type="character" w:customStyle="1" w:styleId="52">
    <w:name w:val="批注文字 Char"/>
    <w:basedOn w:val="21"/>
    <w:link w:val="8"/>
    <w:semiHidden/>
    <w:qFormat/>
    <w:uiPriority w:val="0"/>
    <w:rPr>
      <w:sz w:val="24"/>
    </w:rPr>
  </w:style>
  <w:style w:type="character" w:customStyle="1" w:styleId="53">
    <w:name w:val="批注主题 Char"/>
    <w:basedOn w:val="52"/>
    <w:link w:val="17"/>
    <w:qFormat/>
    <w:uiPriority w:val="0"/>
    <w:rPr>
      <w:sz w:val="24"/>
    </w:rPr>
  </w:style>
  <w:style w:type="character" w:customStyle="1" w:styleId="54">
    <w:name w:val="批注框文本 Char"/>
    <w:basedOn w:val="21"/>
    <w:link w:val="1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30540</Words>
  <Characters>35069</Characters>
  <Lines>245</Lines>
  <Paragraphs>69</Paragraphs>
  <TotalTime>17</TotalTime>
  <ScaleCrop>false</ScaleCrop>
  <LinksUpToDate>false</LinksUpToDate>
  <CharactersWithSpaces>35635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2021-05-25T03:44:00Z</dcterms:created>
  <dc:creator>Schnappi</dc:creator>
  <cp:lastModifiedBy>土豆</cp:lastModifiedBy>
  <dcterms:modified xsi:type="dcterms:W3CDTF">2022-03-10T01:55:03Z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600840828BE8409199B0CA9ED1E28BFF</vt:lpwstr>
  </property>
</Properties>
</file>