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D5D5D5" w:sz="6" w:space="0"/>
          <w:right w:val="none" w:color="auto" w:sz="0" w:space="0"/>
        </w:pBdr>
        <w:spacing w:before="300" w:beforeAutospacing="0" w:after="0" w:afterAutospacing="0" w:line="750" w:lineRule="atLeast"/>
        <w:ind w:left="0" w:right="0" w:firstLine="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洛阳市</w:t>
      </w:r>
      <w:r>
        <w:rPr>
          <w:rFonts w:hint="eastAsia" w:ascii="方正小标宋简体" w:hAnsi="方正小标宋简体" w:eastAsia="方正小标宋简体" w:cs="方正小标宋简体"/>
          <w:sz w:val="36"/>
          <w:szCs w:val="36"/>
          <w:lang w:eastAsia="zh-CN"/>
        </w:rPr>
        <w:t>偃师区为民办学校健康发展提供法治支持</w:t>
      </w:r>
    </w:p>
    <w:p>
      <w:pPr>
        <w:keepNext w:val="0"/>
        <w:keepLines w:val="0"/>
        <w:pageBreakBefore w:val="0"/>
        <w:widowControl/>
        <w:suppressLineNumbers w:val="0"/>
        <w:pBdr>
          <w:top w:val="none" w:color="auto" w:sz="0" w:space="0"/>
          <w:left w:val="none" w:color="auto" w:sz="0" w:space="0"/>
          <w:bottom w:val="dashed" w:color="D5D5D5" w:sz="6"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firstLineChars="200"/>
        <w:jc w:val="left"/>
        <w:textAlignment w:val="auto"/>
        <w:rPr>
          <w:rFonts w:hint="eastAsia" w:ascii="仿宋_GB2312" w:hAnsi="仿宋_GB2312" w:eastAsia="仿宋_GB2312" w:cs="仿宋_GB2312"/>
          <w:b w:val="0"/>
          <w:bCs w:val="0"/>
          <w:i w:val="0"/>
          <w:iCs w:val="0"/>
          <w:caps w:val="0"/>
          <w:color w:val="555555"/>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dashed" w:color="D5D5D5" w:sz="6"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555555"/>
          <w:spacing w:val="0"/>
          <w:sz w:val="32"/>
          <w:szCs w:val="32"/>
          <w:lang w:eastAsia="zh-CN"/>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t>曾几何时，法治进校园更多关注的是公办学校，</w:t>
      </w:r>
      <w:r>
        <w:rPr>
          <w:rFonts w:hint="eastAsia" w:ascii="仿宋_GB2312" w:hAnsi="仿宋_GB2312" w:eastAsia="仿宋_GB2312" w:cs="仿宋_GB2312"/>
          <w:b w:val="0"/>
          <w:bCs w:val="0"/>
          <w:i w:val="0"/>
          <w:iCs w:val="0"/>
          <w:caps w:val="0"/>
          <w:color w:val="555555"/>
          <w:spacing w:val="0"/>
          <w:sz w:val="32"/>
          <w:szCs w:val="32"/>
        </w:rPr>
        <w:t>一些民办学校在法治教育方面较为薄弱</w:t>
      </w:r>
      <w:r>
        <w:rPr>
          <w:rFonts w:hint="eastAsia" w:ascii="仿宋_GB2312" w:hAnsi="仿宋_GB2312" w:eastAsia="仿宋_GB2312" w:cs="仿宋_GB2312"/>
          <w:b w:val="0"/>
          <w:bCs w:val="0"/>
          <w:i w:val="0"/>
          <w:iCs w:val="0"/>
          <w:caps w:val="0"/>
          <w:color w:val="555555"/>
          <w:spacing w:val="0"/>
          <w:sz w:val="32"/>
          <w:szCs w:val="32"/>
          <w:lang w:eastAsia="zh-CN"/>
        </w:rPr>
        <w:t>。</w:t>
      </w:r>
      <w:r>
        <w:rPr>
          <w:rFonts w:hint="eastAsia" w:ascii="仿宋_GB2312" w:hAnsi="仿宋_GB2312" w:eastAsia="仿宋_GB2312" w:cs="仿宋_GB2312"/>
          <w:b w:val="0"/>
          <w:bCs w:val="0"/>
          <w:i w:val="0"/>
          <w:iCs w:val="0"/>
          <w:caps w:val="0"/>
          <w:color w:val="555555"/>
          <w:spacing w:val="0"/>
          <w:kern w:val="0"/>
          <w:sz w:val="32"/>
          <w:szCs w:val="32"/>
          <w:lang w:val="en-US" w:eastAsia="zh-CN" w:bidi="ar"/>
        </w:rPr>
        <w:t>但由于民办学校的寄宿生多，家长对孩子的期望值更高，学生压力更大，使民办学校的法治教育需求更加迫切。</w:t>
      </w:r>
      <w:r>
        <w:rPr>
          <w:rFonts w:hint="eastAsia" w:ascii="仿宋_GB2312" w:hAnsi="仿宋_GB2312" w:eastAsia="仿宋_GB2312" w:cs="仿宋_GB2312"/>
          <w:b w:val="0"/>
          <w:bCs w:val="0"/>
          <w:i w:val="0"/>
          <w:iCs w:val="0"/>
          <w:caps w:val="0"/>
          <w:color w:val="555555"/>
          <w:spacing w:val="0"/>
          <w:sz w:val="32"/>
          <w:szCs w:val="32"/>
        </w:rPr>
        <w:t>为让更多的在校学生接受法治教育，</w:t>
      </w:r>
      <w:r>
        <w:rPr>
          <w:rFonts w:hint="eastAsia" w:ascii="仿宋_GB2312" w:hAnsi="仿宋_GB2312" w:eastAsia="仿宋_GB2312" w:cs="仿宋_GB2312"/>
          <w:b w:val="0"/>
          <w:bCs w:val="0"/>
          <w:i w:val="0"/>
          <w:iCs w:val="0"/>
          <w:caps w:val="0"/>
          <w:color w:val="555555"/>
          <w:spacing w:val="0"/>
          <w:sz w:val="32"/>
          <w:szCs w:val="32"/>
          <w:lang w:val="en-US" w:eastAsia="zh-CN"/>
        </w:rPr>
        <w:t>洛阳市</w:t>
      </w:r>
      <w:r>
        <w:rPr>
          <w:rFonts w:hint="eastAsia" w:ascii="仿宋_GB2312" w:hAnsi="仿宋_GB2312" w:eastAsia="仿宋_GB2312" w:cs="仿宋_GB2312"/>
          <w:b w:val="0"/>
          <w:bCs w:val="0"/>
          <w:i w:val="0"/>
          <w:iCs w:val="0"/>
          <w:caps w:val="0"/>
          <w:color w:val="555555"/>
          <w:spacing w:val="0"/>
          <w:sz w:val="32"/>
          <w:szCs w:val="32"/>
          <w:lang w:eastAsia="zh-CN"/>
        </w:rPr>
        <w:t>偃师区教体局联合区检察院通过多种形式推进法治教育走进民办学校，补齐了法治教育的短板。</w:t>
      </w:r>
    </w:p>
    <w:p>
      <w:pPr>
        <w:keepNext w:val="0"/>
        <w:keepLines w:val="0"/>
        <w:pageBreakBefore w:val="0"/>
        <w:widowControl/>
        <w:suppressLineNumbers w:val="0"/>
        <w:pBdr>
          <w:top w:val="none" w:color="auto" w:sz="0" w:space="0"/>
          <w:left w:val="none" w:color="auto" w:sz="0" w:space="0"/>
          <w:bottom w:val="dashed" w:color="D5D5D5" w:sz="6" w:space="0"/>
          <w:right w:val="none" w:color="auto" w:sz="0" w:space="0"/>
        </w:pBdr>
        <w:kinsoku/>
        <w:wordWrap/>
        <w:overflowPunct/>
        <w:topLinePunct w:val="0"/>
        <w:autoSpaceDE/>
        <w:autoSpaceDN/>
        <w:bidi w:val="0"/>
        <w:adjustRightInd/>
        <w:snapToGrid/>
        <w:spacing w:beforeAutospacing="0" w:after="0" w:afterAutospacing="0" w:line="240" w:lineRule="auto"/>
        <w:ind w:right="0"/>
        <w:jc w:val="left"/>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drawing>
          <wp:inline distT="0" distB="0" distL="114300" distR="114300">
            <wp:extent cx="5266690" cy="3950335"/>
            <wp:effectExtent l="0" t="0" r="10160" b="12065"/>
            <wp:docPr id="1" name="图片 1" descr="4b97361d1d79ea864e8c241f39d4b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97361d1d79ea864e8c241f39d4ba5b"/>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b w:val="0"/>
          <w:bCs w:val="0"/>
          <w:i w:val="0"/>
          <w:iCs w:val="0"/>
          <w:caps w:val="0"/>
          <w:color w:val="555555"/>
          <w:spacing w:val="0"/>
          <w:kern w:val="0"/>
          <w:sz w:val="28"/>
          <w:szCs w:val="28"/>
          <w:lang w:val="en-US" w:eastAsia="zh-CN" w:bidi="ar"/>
        </w:rPr>
      </w:pPr>
      <w:r>
        <w:rPr>
          <w:rFonts w:hint="eastAsia" w:ascii="仿宋_GB2312" w:hAnsi="仿宋_GB2312" w:eastAsia="仿宋_GB2312" w:cs="仿宋_GB2312"/>
          <w:b w:val="0"/>
          <w:bCs w:val="0"/>
          <w:i w:val="0"/>
          <w:iCs w:val="0"/>
          <w:caps w:val="0"/>
          <w:color w:val="555555"/>
          <w:spacing w:val="0"/>
          <w:kern w:val="0"/>
          <w:sz w:val="28"/>
          <w:szCs w:val="28"/>
          <w:lang w:val="en-US" w:eastAsia="zh-CN" w:bidi="ar"/>
        </w:rPr>
        <w:t xml:space="preserve">图为：偃师区教体局、检察院、关工委在中成外国语学校 焦云霞摄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黑体" w:hAnsi="黑体" w:eastAsia="黑体" w:cs="黑体"/>
          <w:b w:val="0"/>
          <w:bCs w:val="0"/>
          <w:i w:val="0"/>
          <w:iCs w:val="0"/>
          <w:caps w:val="0"/>
          <w:color w:val="555555"/>
          <w:spacing w:val="0"/>
          <w:kern w:val="0"/>
          <w:sz w:val="32"/>
          <w:szCs w:val="32"/>
          <w:lang w:val="en-US" w:eastAsia="zh-CN" w:bidi="ar"/>
        </w:rPr>
      </w:pPr>
      <w:r>
        <w:rPr>
          <w:rFonts w:hint="eastAsia" w:ascii="黑体" w:hAnsi="黑体" w:eastAsia="黑体" w:cs="黑体"/>
          <w:b w:val="0"/>
          <w:bCs w:val="0"/>
          <w:i w:val="0"/>
          <w:iCs w:val="0"/>
          <w:caps w:val="0"/>
          <w:color w:val="555555"/>
          <w:spacing w:val="0"/>
          <w:kern w:val="0"/>
          <w:sz w:val="32"/>
          <w:szCs w:val="32"/>
          <w:lang w:val="en-US" w:eastAsia="zh-CN" w:bidi="ar"/>
        </w:rPr>
        <w:t>一、法治巡讲走进民办学校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t>该区检察院干警在办理案件过程中了解到，一些民办学校在法治教育方面较为薄弱，为让更多的在校学生接受法治教育，偃师区教体局联合区人民检察院走进民办学校——偃师芝阑外国语小学，通过现场讲解、赠送法律书籍、派发宣传单、举办法治讲座的形式，深入开展“我为群众办实事”法治进校园巡讲活动。上千名师生及家长“零距离”聆听普法教育讲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t>检察官在讲座过程中结合自己的办案和生活经验,详细分析了校园暴力等事件产生的原因、形式以及产生的后果，并对如何避免校园暴力等事件给同学们提出了几点意见和建议。同学们在讲座过程中也积极与干警互动，现场气氛较为活跃。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黑体" w:hAnsi="黑体" w:eastAsia="黑体" w:cs="黑体"/>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drawing>
          <wp:inline distT="0" distB="0" distL="114300" distR="114300">
            <wp:extent cx="5248275" cy="2618105"/>
            <wp:effectExtent l="0" t="0" r="9525" b="10795"/>
            <wp:docPr id="5" name="图片 5" descr="微信图片_202203181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18172445"/>
                    <pic:cNvPicPr>
                      <a:picLocks noChangeAspect="1"/>
                    </pic:cNvPicPr>
                  </pic:nvPicPr>
                  <pic:blipFill>
                    <a:blip r:embed="rId5"/>
                    <a:srcRect l="1085" t="7066" r="1193" b="12634"/>
                    <a:stretch>
                      <a:fillRect/>
                    </a:stretch>
                  </pic:blipFill>
                  <pic:spPr>
                    <a:xfrm>
                      <a:off x="0" y="0"/>
                      <a:ext cx="5248275" cy="2618105"/>
                    </a:xfrm>
                    <a:prstGeom prst="rect">
                      <a:avLst/>
                    </a:prstGeom>
                  </pic:spPr>
                </pic:pic>
              </a:graphicData>
            </a:graphic>
          </wp:inline>
        </w:drawing>
      </w:r>
      <w:r>
        <w:rPr>
          <w:rFonts w:hint="eastAsia" w:ascii="仿宋_GB2312" w:hAnsi="仿宋_GB2312" w:eastAsia="仿宋_GB2312" w:cs="仿宋_GB2312"/>
          <w:b w:val="0"/>
          <w:bCs w:val="0"/>
          <w:i w:val="0"/>
          <w:iCs w:val="0"/>
          <w:caps w:val="0"/>
          <w:color w:val="555555"/>
          <w:spacing w:val="0"/>
          <w:kern w:val="0"/>
          <w:sz w:val="32"/>
          <w:szCs w:val="32"/>
          <w:lang w:val="en-US" w:eastAsia="zh-CN" w:bidi="ar"/>
        </w:rPr>
        <w:t xml:space="preserve">图为：法治巡讲在偃师芝阑外国语小学 李慧武摄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firstLine="320" w:firstLineChars="100"/>
        <w:jc w:val="both"/>
        <w:textAlignment w:val="auto"/>
        <w:rPr>
          <w:rFonts w:hint="eastAsia" w:ascii="黑体" w:hAnsi="黑体" w:eastAsia="黑体" w:cs="黑体"/>
          <w:b w:val="0"/>
          <w:bCs w:val="0"/>
          <w:i w:val="0"/>
          <w:iCs w:val="0"/>
          <w:caps w:val="0"/>
          <w:color w:val="555555"/>
          <w:spacing w:val="0"/>
          <w:kern w:val="0"/>
          <w:sz w:val="32"/>
          <w:szCs w:val="32"/>
          <w:lang w:val="en-US" w:eastAsia="zh-CN" w:bidi="ar"/>
        </w:rPr>
      </w:pPr>
      <w:r>
        <w:rPr>
          <w:rFonts w:hint="eastAsia" w:ascii="黑体" w:hAnsi="黑体" w:eastAsia="黑体" w:cs="黑体"/>
          <w:b w:val="0"/>
          <w:bCs w:val="0"/>
          <w:i w:val="0"/>
          <w:iCs w:val="0"/>
          <w:caps w:val="0"/>
          <w:color w:val="555555"/>
          <w:spacing w:val="0"/>
          <w:kern w:val="0"/>
          <w:sz w:val="32"/>
          <w:szCs w:val="32"/>
          <w:lang w:val="en-US" w:eastAsia="zh-CN" w:bidi="ar"/>
        </w:rPr>
        <w:t>二、法治教育指导走进民办学校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t>结合发生在校园的典型案例，偃师区教体局和检察院通过和班主任的沟通，对该校老师也提出几点要求，希望老师能够充分利用班会课，法治课等加大对学生的法治教育，增强学生的风险防范意思和自我保护意思。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drawing>
          <wp:inline distT="0" distB="0" distL="114300" distR="114300">
            <wp:extent cx="5266690" cy="3950335"/>
            <wp:effectExtent l="0" t="0" r="10160" b="12065"/>
            <wp:docPr id="3" name="图片 3" descr="9f85df102ca510d6a877b857aed3e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85df102ca510d6a877b857aed3e700"/>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280" w:firstLineChars="100"/>
        <w:jc w:val="both"/>
        <w:textAlignment w:val="auto"/>
        <w:rPr>
          <w:rFonts w:hint="eastAsia" w:ascii="仿宋_GB2312" w:hAnsi="仿宋_GB2312" w:eastAsia="仿宋_GB2312" w:cs="仿宋_GB2312"/>
          <w:b w:val="0"/>
          <w:bCs w:val="0"/>
          <w:i w:val="0"/>
          <w:iCs w:val="0"/>
          <w:caps w:val="0"/>
          <w:color w:val="555555"/>
          <w:spacing w:val="0"/>
          <w:kern w:val="0"/>
          <w:sz w:val="28"/>
          <w:szCs w:val="28"/>
          <w:lang w:val="en-US" w:eastAsia="zh-CN" w:bidi="ar"/>
        </w:rPr>
      </w:pPr>
      <w:r>
        <w:rPr>
          <w:rFonts w:hint="eastAsia" w:ascii="仿宋_GB2312" w:hAnsi="仿宋_GB2312" w:eastAsia="仿宋_GB2312" w:cs="仿宋_GB2312"/>
          <w:b w:val="0"/>
          <w:bCs w:val="0"/>
          <w:i w:val="0"/>
          <w:iCs w:val="0"/>
          <w:caps w:val="0"/>
          <w:color w:val="555555"/>
          <w:spacing w:val="0"/>
          <w:kern w:val="0"/>
          <w:sz w:val="28"/>
          <w:szCs w:val="28"/>
          <w:lang w:val="en-US" w:eastAsia="zh-CN" w:bidi="ar"/>
        </w:rPr>
        <w:t>图为：偃师区检察院对中成外国语学校的法治教育指导  焦云霞摄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r>
        <w:rPr>
          <w:rFonts w:hint="eastAsia" w:ascii="仿宋_GB2312" w:hAnsi="仿宋_GB2312" w:eastAsia="仿宋_GB2312" w:cs="仿宋_GB2312"/>
          <w:b w:val="0"/>
          <w:bCs w:val="0"/>
          <w:i w:val="0"/>
          <w:iCs w:val="0"/>
          <w:caps w:val="0"/>
          <w:color w:val="555555"/>
          <w:spacing w:val="0"/>
          <w:kern w:val="0"/>
          <w:sz w:val="32"/>
          <w:szCs w:val="32"/>
          <w:lang w:val="en-US" w:eastAsia="zh-CN" w:bidi="ar"/>
        </w:rPr>
        <w:t>针对民办学校大部分学生为留守儿童，父母进城务工,对孩子们在监护上存在疏漏，偃师区教体局和检察院在今后的工作中将调整视角，更多关注这些学校学生，用爱为他们护航，为民办学校健康发展助力。（李慧武、牛永涛</w:t>
      </w:r>
      <w:bookmarkStart w:id="0" w:name="_GoBack"/>
      <w:bookmarkEnd w:id="0"/>
      <w:r>
        <w:rPr>
          <w:rFonts w:hint="eastAsia" w:ascii="仿宋_GB2312" w:hAnsi="仿宋_GB2312" w:eastAsia="仿宋_GB2312" w:cs="仿宋_GB2312"/>
          <w:b w:val="0"/>
          <w:bCs w:val="0"/>
          <w:i w:val="0"/>
          <w:iCs w:val="0"/>
          <w:caps w:val="0"/>
          <w:color w:val="555555"/>
          <w:spacing w:val="0"/>
          <w:kern w:val="0"/>
          <w:sz w:val="32"/>
          <w:szCs w:val="32"/>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val="0"/>
          <w:i w:val="0"/>
          <w:iCs w:val="0"/>
          <w:caps w:val="0"/>
          <w:color w:val="555555"/>
          <w:spacing w:val="0"/>
          <w:kern w:val="0"/>
          <w:sz w:val="32"/>
          <w:szCs w:val="32"/>
          <w:lang w:val="en-US" w:eastAsia="zh-CN" w:bidi="ar"/>
        </w:rPr>
      </w:pPr>
    </w:p>
    <w:p>
      <w:pPr>
        <w:rPr>
          <w:rFonts w:hint="eastAsia" w:ascii="仿宋_GB2312" w:hAnsi="仿宋_GB2312" w:eastAsia="仿宋_GB2312" w:cs="仿宋_GB2312"/>
          <w:b w:val="0"/>
          <w:bCs w:val="0"/>
          <w:i w:val="0"/>
          <w:iCs w:val="0"/>
          <w:caps w:val="0"/>
          <w:color w:val="555555"/>
          <w:spacing w:val="0"/>
          <w:kern w:val="0"/>
          <w:sz w:val="32"/>
          <w:szCs w:val="32"/>
          <w:lang w:val="en-US" w:eastAsia="zh-CN" w:bidi="ar"/>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437D8"/>
    <w:rsid w:val="00A552E5"/>
    <w:rsid w:val="0FE03487"/>
    <w:rsid w:val="1A0E7657"/>
    <w:rsid w:val="24D22BAE"/>
    <w:rsid w:val="2C20003C"/>
    <w:rsid w:val="2E377861"/>
    <w:rsid w:val="2E495F3B"/>
    <w:rsid w:val="344B4F0B"/>
    <w:rsid w:val="39245310"/>
    <w:rsid w:val="3AFA3C7A"/>
    <w:rsid w:val="72F437D8"/>
    <w:rsid w:val="795A1893"/>
    <w:rsid w:val="7BC0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hg</Company>
  <Pages>1</Pages>
  <Words>0</Words>
  <Characters>0</Characters>
  <Lines>0</Lines>
  <Paragraphs>0</Paragraphs>
  <TotalTime>35</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2022-03-18T07:43:00Z</dcterms:created>
  <dc:creator>高山</dc:creator>
  <cp:lastModifiedBy>hp</cp:lastModifiedBy>
  <dcterms:modified xsi:type="dcterms:W3CDTF">2022-03-29T01:50:26Z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FE1613373C1E4CB0821A3D12FEEA9480</vt:lpwstr>
  </property>
</Properties>
</file>