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E68D" w14:textId="77777777" w:rsidR="00C97237" w:rsidRDefault="00000000">
      <w:pPr>
        <w:jc w:val="center"/>
        <w:rPr>
          <w:rFonts w:ascii="FZXBSJW--GB1-0" w:eastAsia="FZXBSJW--GB1-0" w:hAnsi="FZXBSJW--GB1-0"/>
          <w:sz w:val="44"/>
        </w:rPr>
      </w:pPr>
      <w:r>
        <w:rPr>
          <w:rFonts w:ascii="FZXBSJW--GB1-0" w:eastAsia="FZXBSJW--GB1-0" w:hAnsi="FZXBSJW--GB1-0" w:hint="eastAsia"/>
          <w:sz w:val="44"/>
        </w:rPr>
        <w:t>洛阳市偃师区营商环境优化提升总体方案</w:t>
      </w:r>
    </w:p>
    <w:p w14:paraId="5BE873C8" w14:textId="77777777" w:rsidR="00C97237" w:rsidRDefault="00C97237">
      <w:pPr>
        <w:ind w:firstLineChars="200" w:firstLine="640"/>
        <w:jc w:val="left"/>
        <w:rPr>
          <w:rFonts w:ascii="仿宋_GB2312" w:eastAsia="仿宋_GB2312" w:hAnsi="仿宋_GB2312"/>
          <w:sz w:val="32"/>
        </w:rPr>
      </w:pPr>
    </w:p>
    <w:p w14:paraId="7FAEA136"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为贯彻落实国家、省、市、区关于优化营商环境工作部署，加快政策集成创新，更高标准、更高水平、更深层次推动全区营商环境优化提升，制定本方案。</w:t>
      </w:r>
    </w:p>
    <w:p w14:paraId="696B817C" w14:textId="77777777" w:rsidR="00C97237" w:rsidRDefault="00000000">
      <w:pPr>
        <w:ind w:firstLineChars="200" w:firstLine="640"/>
        <w:jc w:val="left"/>
        <w:rPr>
          <w:rFonts w:ascii="黑体" w:eastAsia="黑体" w:hAnsi="黑体"/>
          <w:sz w:val="32"/>
        </w:rPr>
      </w:pPr>
      <w:r>
        <w:rPr>
          <w:rFonts w:ascii="黑体" w:eastAsia="黑体" w:hAnsi="黑体" w:hint="eastAsia"/>
          <w:sz w:val="32"/>
        </w:rPr>
        <w:t>一、总体要求</w:t>
      </w:r>
    </w:p>
    <w:p w14:paraId="5C536F67"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以习近平新时代中国特色社会主义思想为指导，深入贯彻党的十九大和十九届二中、三中、四中、五中、六中全会精神，全面落实习近平总书记视察河南重要讲话精神，以推动高质量发展为主题，以市场主体需求为导向，聚焦政务环境、市场环境、法治环境、宜居宜业环境，对标国内一流水平，加大改革力度，优化政策举措，切实提升企业和群众满意度，激发市场活力和社会创造力，努力打造市场化、法治化、国际化一流营商环境。</w:t>
      </w:r>
    </w:p>
    <w:p w14:paraId="07E597D7" w14:textId="77777777" w:rsidR="00C97237" w:rsidRDefault="00000000">
      <w:pPr>
        <w:ind w:firstLineChars="200" w:firstLine="640"/>
        <w:jc w:val="left"/>
        <w:rPr>
          <w:rFonts w:ascii="黑体" w:eastAsia="黑体" w:hAnsi="黑体"/>
          <w:sz w:val="32"/>
        </w:rPr>
      </w:pPr>
      <w:r>
        <w:rPr>
          <w:rFonts w:ascii="黑体" w:eastAsia="黑体" w:hAnsi="黑体" w:hint="eastAsia"/>
          <w:sz w:val="32"/>
        </w:rPr>
        <w:t>二、总体目标</w:t>
      </w:r>
    </w:p>
    <w:p w14:paraId="0DFEC948"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全面实施</w:t>
      </w:r>
      <w:r>
        <w:rPr>
          <w:rFonts w:ascii="TimesNewRomanPSMT" w:eastAsia="TimesNewRomanPSMT" w:hAnsi="TimesNewRomanPSMT" w:hint="eastAsia"/>
          <w:sz w:val="32"/>
        </w:rPr>
        <w:t>“1</w:t>
      </w:r>
      <w:r>
        <w:rPr>
          <w:rFonts w:ascii="TimesNewRomanPSMT" w:hAnsi="TimesNewRomanPSMT" w:hint="eastAsia"/>
          <w:sz w:val="32"/>
        </w:rPr>
        <w:t>31</w:t>
      </w:r>
      <w:r>
        <w:rPr>
          <w:rFonts w:ascii="TimesNewRomanPSMT" w:eastAsia="TimesNewRomanPSMT" w:hAnsi="TimesNewRomanPSMT" w:hint="eastAsia"/>
          <w:sz w:val="32"/>
        </w:rPr>
        <w:t>”</w:t>
      </w:r>
      <w:r>
        <w:rPr>
          <w:rFonts w:ascii="仿宋_GB2312" w:eastAsia="仿宋_GB2312" w:hAnsi="仿宋_GB2312" w:hint="eastAsia"/>
          <w:sz w:val="32"/>
        </w:rPr>
        <w:t>（包括</w:t>
      </w:r>
      <w:r>
        <w:rPr>
          <w:rFonts w:ascii="TimesNewRomanPSMT" w:eastAsia="TimesNewRomanPSMT" w:hAnsi="TimesNewRomanPSMT" w:hint="eastAsia"/>
          <w:sz w:val="32"/>
        </w:rPr>
        <w:t xml:space="preserve">1 </w:t>
      </w:r>
      <w:r>
        <w:rPr>
          <w:rFonts w:ascii="仿宋_GB2312" w:eastAsia="仿宋_GB2312" w:hAnsi="仿宋_GB2312" w:hint="eastAsia"/>
          <w:sz w:val="32"/>
        </w:rPr>
        <w:t>个总体方案、</w:t>
      </w:r>
      <w:r>
        <w:rPr>
          <w:rFonts w:ascii="TimesNewRomanPSMT" w:hAnsi="TimesNewRomanPSMT" w:hint="eastAsia"/>
          <w:sz w:val="32"/>
        </w:rPr>
        <w:t>31</w:t>
      </w:r>
      <w:r>
        <w:rPr>
          <w:rFonts w:ascii="TimesNewRomanPSMT" w:eastAsia="TimesNewRomanPSMT" w:hAnsi="TimesNewRomanPSMT" w:hint="eastAsia"/>
          <w:sz w:val="32"/>
        </w:rPr>
        <w:t xml:space="preserve"> </w:t>
      </w:r>
      <w:r>
        <w:rPr>
          <w:rFonts w:ascii="仿宋_GB2312" w:eastAsia="仿宋_GB2312" w:hAnsi="仿宋_GB2312" w:hint="eastAsia"/>
          <w:sz w:val="32"/>
        </w:rPr>
        <w:t>个分领域专项提升方案）营商环境优化提升行动，推动重点领域、关键环节实现突破，</w:t>
      </w:r>
      <w:r>
        <w:rPr>
          <w:rFonts w:ascii="TimesNewRomanPSMT" w:eastAsia="TimesNewRomanPSMT" w:hAnsi="TimesNewRomanPSMT" w:hint="eastAsia"/>
          <w:sz w:val="32"/>
        </w:rPr>
        <w:t xml:space="preserve">2022 </w:t>
      </w:r>
      <w:r>
        <w:rPr>
          <w:rFonts w:ascii="仿宋_GB2312" w:eastAsia="仿宋_GB2312" w:hAnsi="仿宋_GB2312" w:hint="eastAsia"/>
          <w:sz w:val="32"/>
        </w:rPr>
        <w:t>年全区营商环境评价继续保持全省领先位次。其中：不动产登记、获得用水、市场监管、政务服务保持全省领先位次（全省前十名）；获得用气、招标投标、获得电力、执行合同、政府采购、获得信贷、信用环境、项目保障持续提升，力争进入全省领先位次（前二十名）；开</w:t>
      </w:r>
      <w:r>
        <w:rPr>
          <w:rFonts w:ascii="仿宋_GB2312" w:eastAsia="仿宋_GB2312" w:hAnsi="仿宋_GB2312" w:hint="eastAsia"/>
          <w:sz w:val="32"/>
        </w:rPr>
        <w:lastRenderedPageBreak/>
        <w:t>办企业、办理建筑许可、企业权益保护力争快速提升进入全省第一方阵（前三十名）；其他不参评指标保持工作领先。</w:t>
      </w:r>
    </w:p>
    <w:p w14:paraId="027C8F26" w14:textId="77777777" w:rsidR="00C97237" w:rsidRDefault="00000000">
      <w:pPr>
        <w:ind w:firstLineChars="200" w:firstLine="640"/>
        <w:jc w:val="left"/>
        <w:rPr>
          <w:rFonts w:ascii="黑体" w:eastAsia="黑体" w:hAnsi="黑体"/>
          <w:sz w:val="32"/>
        </w:rPr>
      </w:pPr>
      <w:r>
        <w:rPr>
          <w:rFonts w:ascii="黑体" w:eastAsia="黑体" w:hAnsi="黑体" w:hint="eastAsia"/>
          <w:sz w:val="32"/>
        </w:rPr>
        <w:t>三、主要措施及责任分工</w:t>
      </w:r>
    </w:p>
    <w:p w14:paraId="7F8C5CEC" w14:textId="77777777" w:rsidR="00C97237" w:rsidRDefault="00000000">
      <w:pPr>
        <w:ind w:firstLineChars="200" w:firstLine="640"/>
        <w:jc w:val="left"/>
        <w:rPr>
          <w:rFonts w:ascii="楷体_GB2312" w:eastAsia="楷体_GB2312" w:hAnsi="楷体_GB2312"/>
          <w:sz w:val="32"/>
        </w:rPr>
      </w:pPr>
      <w:r>
        <w:rPr>
          <w:rFonts w:ascii="楷体_GB2312" w:eastAsia="楷体_GB2312" w:hAnsi="楷体_GB2312" w:hint="eastAsia"/>
          <w:sz w:val="32"/>
        </w:rPr>
        <w:t>（一）全面提升政务服务效能</w:t>
      </w:r>
    </w:p>
    <w:p w14:paraId="46D5CBD0"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主要目标：</w:t>
      </w:r>
      <w:r>
        <w:rPr>
          <w:rFonts w:ascii="TimesNewRomanPSMT" w:eastAsia="TimesNewRomanPSMT" w:hAnsi="TimesNewRomanPSMT" w:hint="eastAsia"/>
          <w:sz w:val="32"/>
        </w:rPr>
        <w:t>2022</w:t>
      </w:r>
      <w:r>
        <w:rPr>
          <w:rFonts w:ascii="仿宋_GB2312" w:eastAsia="仿宋_GB2312" w:hAnsi="仿宋_GB2312" w:hint="eastAsia"/>
          <w:sz w:val="32"/>
        </w:rPr>
        <w:t>年底前落地实施省定第一批30件“一件事一次办”事项清单，围绕与企业群众生产生活密切相关的重点领域和办件量较大的高频事项，再梳理一批“一件事一次办”事项清单，并推动落地实施。推行</w:t>
      </w:r>
      <w:r>
        <w:rPr>
          <w:rFonts w:ascii="TimesNewRomanPSMT" w:eastAsia="TimesNewRomanPSMT" w:hAnsi="TimesNewRomanPSMT" w:hint="eastAsia"/>
          <w:sz w:val="32"/>
        </w:rPr>
        <w:t>“</w:t>
      </w:r>
      <w:r>
        <w:rPr>
          <w:rFonts w:ascii="仿宋_GB2312" w:eastAsia="仿宋_GB2312" w:hAnsi="仿宋_GB2312" w:hint="eastAsia"/>
          <w:sz w:val="32"/>
        </w:rPr>
        <w:t>企业开办</w:t>
      </w:r>
      <w:r>
        <w:rPr>
          <w:rFonts w:ascii="TimesNewRomanPSMT" w:eastAsia="TimesNewRomanPSMT" w:hAnsi="TimesNewRomanPSMT" w:hint="eastAsia"/>
          <w:sz w:val="32"/>
        </w:rPr>
        <w:t xml:space="preserve">+N </w:t>
      </w:r>
      <w:r>
        <w:rPr>
          <w:rFonts w:ascii="仿宋_GB2312" w:eastAsia="仿宋_GB2312" w:hAnsi="仿宋_GB2312" w:hint="eastAsia"/>
          <w:sz w:val="32"/>
        </w:rPr>
        <w:t>项服务</w:t>
      </w:r>
      <w:r>
        <w:rPr>
          <w:rFonts w:ascii="TimesNewRomanPSMT" w:eastAsia="TimesNewRomanPSMT" w:hAnsi="TimesNewRomanPSMT" w:hint="eastAsia"/>
          <w:sz w:val="32"/>
        </w:rPr>
        <w:t>”</w:t>
      </w:r>
      <w:r>
        <w:rPr>
          <w:rFonts w:ascii="仿宋_GB2312" w:eastAsia="仿宋_GB2312" w:hAnsi="仿宋_GB2312" w:hint="eastAsia"/>
          <w:sz w:val="32"/>
        </w:rPr>
        <w:t>，企业开办</w:t>
      </w:r>
      <w:r>
        <w:rPr>
          <w:rFonts w:ascii="TimesNewRomanPSMT" w:eastAsia="TimesNewRomanPSMT" w:hAnsi="TimesNewRomanPSMT" w:hint="eastAsia"/>
          <w:sz w:val="32"/>
        </w:rPr>
        <w:t xml:space="preserve">1 </w:t>
      </w:r>
      <w:r>
        <w:rPr>
          <w:rFonts w:ascii="仿宋_GB2312" w:eastAsia="仿宋_GB2312" w:hAnsi="仿宋_GB2312" w:hint="eastAsia"/>
          <w:sz w:val="32"/>
        </w:rPr>
        <w:t>个工作日办结，网上办理占比超过</w:t>
      </w:r>
      <w:r>
        <w:rPr>
          <w:rFonts w:ascii="TimesNewRomanPSMT" w:eastAsia="TimesNewRomanPSMT" w:hAnsi="TimesNewRomanPSMT" w:hint="eastAsia"/>
          <w:sz w:val="32"/>
        </w:rPr>
        <w:t>95%</w:t>
      </w:r>
      <w:r>
        <w:rPr>
          <w:rFonts w:ascii="仿宋_GB2312" w:eastAsia="仿宋_GB2312" w:hAnsi="仿宋_GB2312" w:hint="eastAsia"/>
          <w:sz w:val="32"/>
        </w:rPr>
        <w:t>。全区社会投资小型低风险产业类项目平均办理建筑许可环节压减至</w:t>
      </w:r>
      <w:r>
        <w:rPr>
          <w:rFonts w:ascii="TimesNewRomanPSMT" w:eastAsia="TimesNewRomanPSMT" w:hAnsi="TimesNewRomanPSMT" w:hint="eastAsia"/>
          <w:sz w:val="32"/>
        </w:rPr>
        <w:t>4</w:t>
      </w:r>
      <w:r>
        <w:rPr>
          <w:rFonts w:ascii="仿宋_GB2312" w:eastAsia="仿宋_GB2312" w:hAnsi="仿宋_GB2312" w:hint="eastAsia"/>
          <w:sz w:val="32"/>
        </w:rPr>
        <w:t>个以内、时间</w:t>
      </w:r>
      <w:r>
        <w:rPr>
          <w:rFonts w:ascii="TimesNewRomanPSMT" w:eastAsia="TimesNewRomanPSMT" w:hAnsi="TimesNewRomanPSMT" w:hint="eastAsia"/>
          <w:sz w:val="32"/>
        </w:rPr>
        <w:t xml:space="preserve">17 </w:t>
      </w:r>
      <w:r>
        <w:rPr>
          <w:rFonts w:ascii="仿宋_GB2312" w:eastAsia="仿宋_GB2312" w:hAnsi="仿宋_GB2312" w:hint="eastAsia"/>
          <w:sz w:val="32"/>
        </w:rPr>
        <w:t>个工作日以内、办理零成本。一般不动产登记业务</w:t>
      </w:r>
      <w:r>
        <w:rPr>
          <w:rFonts w:ascii="TimesNewRomanPSMT" w:eastAsia="TimesNewRomanPSMT" w:hAnsi="TimesNewRomanPSMT" w:hint="eastAsia"/>
          <w:sz w:val="32"/>
        </w:rPr>
        <w:t xml:space="preserve">1 </w:t>
      </w:r>
      <w:r>
        <w:rPr>
          <w:rFonts w:ascii="仿宋_GB2312" w:eastAsia="仿宋_GB2312" w:hAnsi="仿宋_GB2312" w:hint="eastAsia"/>
          <w:sz w:val="32"/>
        </w:rPr>
        <w:t>个工作日内办结，企业以自有房屋办理抵押登记和企业间买卖工业、仓储等非住宅房屋转移登记</w:t>
      </w:r>
      <w:r>
        <w:rPr>
          <w:rFonts w:ascii="TimesNewRomanPSMT" w:eastAsia="TimesNewRomanPSMT" w:hAnsi="TimesNewRomanPSMT" w:hint="eastAsia"/>
          <w:sz w:val="32"/>
        </w:rPr>
        <w:t xml:space="preserve">0.5 </w:t>
      </w:r>
      <w:r>
        <w:rPr>
          <w:rFonts w:ascii="仿宋_GB2312" w:eastAsia="仿宋_GB2312" w:hAnsi="仿宋_GB2312" w:hint="eastAsia"/>
          <w:sz w:val="32"/>
        </w:rPr>
        <w:t>个工作日内办结，查封、查询、注销等</w:t>
      </w:r>
      <w:r>
        <w:rPr>
          <w:rFonts w:ascii="TimesNewRomanPSMT" w:eastAsia="TimesNewRomanPSMT" w:hAnsi="TimesNewRomanPSMT" w:hint="eastAsia"/>
          <w:sz w:val="32"/>
        </w:rPr>
        <w:t xml:space="preserve">7 </w:t>
      </w:r>
      <w:r>
        <w:rPr>
          <w:rFonts w:ascii="仿宋_GB2312" w:eastAsia="仿宋_GB2312" w:hAnsi="仿宋_GB2312" w:hint="eastAsia"/>
          <w:sz w:val="32"/>
        </w:rPr>
        <w:t>项登记事项</w:t>
      </w:r>
      <w:r>
        <w:rPr>
          <w:rFonts w:ascii="TimesNewRomanPSMT" w:eastAsia="TimesNewRomanPSMT" w:hAnsi="TimesNewRomanPSMT" w:hint="eastAsia"/>
          <w:sz w:val="32"/>
        </w:rPr>
        <w:t xml:space="preserve">1 </w:t>
      </w:r>
      <w:r>
        <w:rPr>
          <w:rFonts w:ascii="仿宋_GB2312" w:eastAsia="仿宋_GB2312" w:hAnsi="仿宋_GB2312" w:hint="eastAsia"/>
          <w:sz w:val="32"/>
        </w:rPr>
        <w:t>小时内办结。纳税次数同比压缩</w:t>
      </w:r>
      <w:r>
        <w:rPr>
          <w:rFonts w:ascii="TimesNewRomanPSMT" w:eastAsia="TimesNewRomanPSMT" w:hAnsi="TimesNewRomanPSMT" w:hint="eastAsia"/>
          <w:sz w:val="32"/>
        </w:rPr>
        <w:t xml:space="preserve">0.5 </w:t>
      </w:r>
      <w:r>
        <w:rPr>
          <w:rFonts w:ascii="仿宋_GB2312" w:eastAsia="仿宋_GB2312" w:hAnsi="仿宋_GB2312" w:hint="eastAsia"/>
          <w:sz w:val="32"/>
        </w:rPr>
        <w:t>次，纳税时间同比压缩</w:t>
      </w:r>
      <w:r>
        <w:rPr>
          <w:rFonts w:ascii="TimesNewRomanPSMT" w:eastAsia="TimesNewRomanPSMT" w:hAnsi="TimesNewRomanPSMT" w:hint="eastAsia"/>
          <w:sz w:val="32"/>
        </w:rPr>
        <w:t>5%</w:t>
      </w:r>
      <w:r>
        <w:rPr>
          <w:rFonts w:ascii="仿宋_GB2312" w:eastAsia="仿宋_GB2312" w:hAnsi="仿宋_GB2312" w:hint="eastAsia"/>
          <w:sz w:val="32"/>
        </w:rPr>
        <w:t>，总税率和社会负担率下降</w:t>
      </w:r>
      <w:r>
        <w:rPr>
          <w:rFonts w:ascii="TimesNewRomanPSMT" w:eastAsia="TimesNewRomanPSMT" w:hAnsi="TimesNewRomanPSMT" w:hint="eastAsia"/>
          <w:sz w:val="32"/>
        </w:rPr>
        <w:t xml:space="preserve">1 </w:t>
      </w:r>
      <w:r>
        <w:rPr>
          <w:rFonts w:ascii="仿宋_GB2312" w:eastAsia="仿宋_GB2312" w:hAnsi="仿宋_GB2312" w:hint="eastAsia"/>
          <w:sz w:val="32"/>
        </w:rPr>
        <w:t>个百分点，报税后流程指数提升</w:t>
      </w:r>
      <w:r>
        <w:rPr>
          <w:rFonts w:ascii="TimesNewRomanPSMT" w:eastAsia="TimesNewRomanPSMT" w:hAnsi="TimesNewRomanPSMT" w:hint="eastAsia"/>
          <w:sz w:val="32"/>
        </w:rPr>
        <w:t xml:space="preserve">2.5 </w:t>
      </w:r>
      <w:r>
        <w:rPr>
          <w:rFonts w:ascii="仿宋_GB2312" w:eastAsia="仿宋_GB2312" w:hAnsi="仿宋_GB2312" w:hint="eastAsia"/>
          <w:sz w:val="32"/>
        </w:rPr>
        <w:t>个百分点。政府采购合同融资规模增长不低于</w:t>
      </w:r>
      <w:r>
        <w:rPr>
          <w:rFonts w:ascii="TimesNewRomanPSMT" w:eastAsia="TimesNewRomanPSMT" w:hAnsi="TimesNewRomanPSMT" w:hint="eastAsia"/>
          <w:sz w:val="32"/>
        </w:rPr>
        <w:t>50%</w:t>
      </w:r>
      <w:r>
        <w:rPr>
          <w:rFonts w:ascii="仿宋_GB2312" w:eastAsia="仿宋_GB2312" w:hAnsi="仿宋_GB2312" w:hint="eastAsia"/>
          <w:sz w:val="32"/>
        </w:rPr>
        <w:t>。</w:t>
      </w:r>
    </w:p>
    <w:p w14:paraId="12F8C1B5"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w:t>
      </w:r>
      <w:r>
        <w:rPr>
          <w:rFonts w:ascii="仿宋_GB2312" w:eastAsia="仿宋_GB2312" w:hAnsi="仿宋_GB2312" w:hint="eastAsia"/>
          <w:sz w:val="32"/>
        </w:rPr>
        <w:t>提高政务服务事项便利度。巩固政务服务事项</w:t>
      </w:r>
      <w:r>
        <w:rPr>
          <w:rFonts w:ascii="TimesNewRomanPSMT" w:eastAsia="TimesNewRomanPSMT" w:hAnsi="TimesNewRomanPSMT" w:hint="eastAsia"/>
          <w:sz w:val="32"/>
        </w:rPr>
        <w:t>“</w:t>
      </w:r>
      <w:r>
        <w:rPr>
          <w:rFonts w:ascii="仿宋_GB2312" w:eastAsia="仿宋_GB2312" w:hAnsi="仿宋_GB2312" w:hint="eastAsia"/>
          <w:sz w:val="32"/>
        </w:rPr>
        <w:t>三级三十二同</w:t>
      </w:r>
      <w:r>
        <w:rPr>
          <w:rFonts w:ascii="TimesNewRomanPSMT" w:eastAsia="TimesNewRomanPSMT" w:hAnsi="TimesNewRomanPSMT" w:hint="eastAsia"/>
          <w:sz w:val="32"/>
        </w:rPr>
        <w:t>”</w:t>
      </w:r>
      <w:r>
        <w:rPr>
          <w:rFonts w:ascii="仿宋_GB2312" w:eastAsia="仿宋_GB2312" w:hAnsi="仿宋_GB2312" w:hint="eastAsia"/>
          <w:sz w:val="32"/>
        </w:rPr>
        <w:t>成果，推进政务服务标准化向基层延伸，梳理《洛阳市乡村两级政务服务事项指导目录》。持续</w:t>
      </w:r>
      <w:r>
        <w:rPr>
          <w:rFonts w:ascii="TimesNewRomanPSMT" w:eastAsia="TimesNewRomanPSMT" w:hAnsi="TimesNewRomanPSMT" w:hint="eastAsia"/>
          <w:sz w:val="32"/>
        </w:rPr>
        <w:t>“</w:t>
      </w:r>
      <w:r>
        <w:rPr>
          <w:rFonts w:ascii="仿宋_GB2312" w:eastAsia="仿宋_GB2312" w:hAnsi="仿宋_GB2312" w:hint="eastAsia"/>
          <w:sz w:val="32"/>
        </w:rPr>
        <w:t>减时间、减环节、减材料、减跑动、优流程</w:t>
      </w:r>
      <w:r>
        <w:rPr>
          <w:rFonts w:ascii="TimesNewRomanPSMT" w:eastAsia="TimesNewRomanPSMT" w:hAnsi="TimesNewRomanPSMT" w:hint="eastAsia"/>
          <w:sz w:val="32"/>
        </w:rPr>
        <w:t>”</w:t>
      </w:r>
      <w:r>
        <w:rPr>
          <w:rFonts w:ascii="仿宋_GB2312" w:eastAsia="仿宋_GB2312" w:hAnsi="仿宋_GB2312" w:hint="eastAsia"/>
          <w:sz w:val="32"/>
        </w:rPr>
        <w:t>，实现一批高频事项实体证照免提交。全面推行</w:t>
      </w:r>
      <w:r>
        <w:rPr>
          <w:rFonts w:ascii="TimesNewRomanPSMT" w:eastAsia="TimesNewRomanPSMT" w:hAnsi="TimesNewRomanPSMT" w:hint="eastAsia"/>
          <w:sz w:val="32"/>
        </w:rPr>
        <w:t>“</w:t>
      </w:r>
      <w:r>
        <w:rPr>
          <w:rFonts w:ascii="仿宋_GB2312" w:eastAsia="仿宋_GB2312" w:hAnsi="仿宋_GB2312" w:hint="eastAsia"/>
          <w:sz w:val="32"/>
        </w:rPr>
        <w:t>一件事一次办</w:t>
      </w:r>
      <w:r>
        <w:rPr>
          <w:rFonts w:ascii="TimesNewRomanPSMT" w:eastAsia="TimesNewRomanPSMT" w:hAnsi="TimesNewRomanPSMT" w:hint="eastAsia"/>
          <w:sz w:val="32"/>
        </w:rPr>
        <w:t>”</w:t>
      </w:r>
      <w:r>
        <w:rPr>
          <w:rFonts w:ascii="仿宋_GB2312" w:eastAsia="仿宋_GB2312" w:hAnsi="仿宋_GB2312" w:hint="eastAsia"/>
          <w:sz w:val="32"/>
        </w:rPr>
        <w:t>，推动更多政务服务事项实现</w:t>
      </w:r>
      <w:r>
        <w:rPr>
          <w:rFonts w:ascii="TimesNewRomanPSMT" w:eastAsia="TimesNewRomanPSMT" w:hAnsi="TimesNewRomanPSMT" w:hint="eastAsia"/>
          <w:sz w:val="32"/>
        </w:rPr>
        <w:lastRenderedPageBreak/>
        <w:t>“</w:t>
      </w:r>
      <w:r>
        <w:rPr>
          <w:rFonts w:ascii="仿宋_GB2312" w:eastAsia="仿宋_GB2312" w:hAnsi="仿宋_GB2312" w:hint="eastAsia"/>
          <w:sz w:val="32"/>
        </w:rPr>
        <w:t>跨省通办</w:t>
      </w:r>
      <w:r>
        <w:rPr>
          <w:rFonts w:ascii="TimesNewRomanPSMT" w:eastAsia="TimesNewRomanPSMT" w:hAnsi="TimesNewRomanPSMT" w:hint="eastAsia"/>
          <w:sz w:val="32"/>
        </w:rPr>
        <w:t>”</w:t>
      </w:r>
      <w:r>
        <w:rPr>
          <w:rFonts w:ascii="仿宋_GB2312" w:eastAsia="仿宋_GB2312" w:hAnsi="仿宋_GB2312" w:hint="eastAsia"/>
          <w:sz w:val="32"/>
        </w:rPr>
        <w:t>。</w:t>
      </w:r>
      <w:r>
        <w:rPr>
          <w:rFonts w:ascii="TimesNewRomanPSMT" w:eastAsia="TimesNewRomanPSMT" w:hAnsi="TimesNewRomanPSMT" w:hint="eastAsia"/>
          <w:sz w:val="32"/>
        </w:rPr>
        <w:t xml:space="preserve">2022 </w:t>
      </w:r>
      <w:r>
        <w:rPr>
          <w:rFonts w:ascii="仿宋_GB2312" w:eastAsia="仿宋_GB2312" w:hAnsi="仿宋_GB2312" w:hint="eastAsia"/>
          <w:sz w:val="32"/>
        </w:rPr>
        <w:t>年底前实现区级依申请类政务服务事项</w:t>
      </w:r>
      <w:r>
        <w:rPr>
          <w:rFonts w:ascii="TimesNewRomanPSMT" w:eastAsia="TimesNewRomanPSMT" w:hAnsi="TimesNewRomanPSMT" w:hint="eastAsia"/>
          <w:sz w:val="32"/>
        </w:rPr>
        <w:t>“</w:t>
      </w:r>
      <w:r>
        <w:rPr>
          <w:rFonts w:ascii="仿宋_GB2312" w:eastAsia="仿宋_GB2312" w:hAnsi="仿宋_GB2312" w:hint="eastAsia"/>
          <w:sz w:val="32"/>
        </w:rPr>
        <w:t>应接尽接</w:t>
      </w:r>
      <w:r>
        <w:rPr>
          <w:rFonts w:ascii="TimesNewRomanPSMT" w:eastAsia="TimesNewRomanPSMT" w:hAnsi="TimesNewRomanPSMT" w:hint="eastAsia"/>
          <w:sz w:val="32"/>
        </w:rPr>
        <w:t>”</w:t>
      </w:r>
      <w:r>
        <w:rPr>
          <w:rFonts w:ascii="仿宋_GB2312" w:eastAsia="仿宋_GB2312" w:hAnsi="仿宋_GB2312" w:hint="eastAsia"/>
          <w:sz w:val="32"/>
        </w:rPr>
        <w:t>，同一事项异地可办、</w:t>
      </w:r>
      <w:r>
        <w:rPr>
          <w:rFonts w:ascii="TimesNewRomanPSMT" w:eastAsia="TimesNewRomanPSMT" w:hAnsi="TimesNewRomanPSMT" w:hint="eastAsia"/>
          <w:sz w:val="32"/>
        </w:rPr>
        <w:t>“</w:t>
      </w:r>
      <w:r>
        <w:rPr>
          <w:rFonts w:ascii="仿宋_GB2312" w:eastAsia="仿宋_GB2312" w:hAnsi="仿宋_GB2312" w:hint="eastAsia"/>
          <w:sz w:val="32"/>
        </w:rPr>
        <w:t>全豫通办</w:t>
      </w:r>
      <w:r>
        <w:rPr>
          <w:rFonts w:ascii="TimesNewRomanPSMT" w:eastAsia="TimesNewRomanPSMT" w:hAnsi="TimesNewRomanPSMT" w:hint="eastAsia"/>
          <w:sz w:val="32"/>
        </w:rPr>
        <w:t>”</w:t>
      </w:r>
      <w:r>
        <w:rPr>
          <w:rFonts w:ascii="仿宋_GB2312" w:eastAsia="仿宋_GB2312" w:hAnsi="仿宋_GB2312" w:hint="eastAsia"/>
          <w:sz w:val="32"/>
        </w:rPr>
        <w:t>。探索开展</w:t>
      </w:r>
      <w:r>
        <w:rPr>
          <w:rFonts w:ascii="TimesNewRomanPSMT" w:eastAsia="TimesNewRomanPSMT" w:hAnsi="TimesNewRomanPSMT" w:hint="eastAsia"/>
          <w:sz w:val="32"/>
        </w:rPr>
        <w:t>“</w:t>
      </w:r>
      <w:r>
        <w:rPr>
          <w:rFonts w:ascii="仿宋_GB2312" w:eastAsia="仿宋_GB2312" w:hAnsi="仿宋_GB2312" w:hint="eastAsia"/>
          <w:sz w:val="32"/>
        </w:rPr>
        <w:t>无感智办</w:t>
      </w:r>
      <w:r>
        <w:rPr>
          <w:rFonts w:ascii="TimesNewRomanPSMT" w:eastAsia="TimesNewRomanPSMT" w:hAnsi="TimesNewRomanPSMT" w:hint="eastAsia"/>
          <w:sz w:val="32"/>
        </w:rPr>
        <w:t>”</w:t>
      </w:r>
      <w:r>
        <w:rPr>
          <w:rFonts w:ascii="仿宋_GB2312" w:eastAsia="仿宋_GB2312" w:hAnsi="仿宋_GB2312" w:hint="eastAsia"/>
          <w:sz w:val="32"/>
        </w:rPr>
        <w:t>，推行无人工干预的</w:t>
      </w:r>
      <w:r>
        <w:rPr>
          <w:rFonts w:ascii="TimesNewRomanPSMT" w:eastAsia="TimesNewRomanPSMT" w:hAnsi="TimesNewRomanPSMT" w:hint="eastAsia"/>
          <w:sz w:val="32"/>
        </w:rPr>
        <w:t>“</w:t>
      </w:r>
      <w:r>
        <w:rPr>
          <w:rFonts w:ascii="仿宋_GB2312" w:eastAsia="仿宋_GB2312" w:hAnsi="仿宋_GB2312" w:hint="eastAsia"/>
          <w:sz w:val="32"/>
        </w:rPr>
        <w:t>智能审批</w:t>
      </w:r>
      <w:r>
        <w:rPr>
          <w:rFonts w:ascii="TimesNewRomanPSMT" w:eastAsia="TimesNewRomanPSMT" w:hAnsi="TimesNewRomanPSMT" w:hint="eastAsia"/>
          <w:sz w:val="32"/>
        </w:rPr>
        <w:t>”</w:t>
      </w:r>
      <w:r>
        <w:rPr>
          <w:rFonts w:ascii="仿宋_GB2312" w:eastAsia="仿宋_GB2312" w:hAnsi="仿宋_GB2312" w:hint="eastAsia"/>
          <w:sz w:val="32"/>
        </w:rPr>
        <w:t>，提高审批效率，规范审批自由裁量权。</w:t>
      </w:r>
    </w:p>
    <w:p w14:paraId="6C2BF9BE"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责任单位：区政务服务和大数据管理局牵头，各镇办，区直相关部门配合</w:t>
      </w:r>
    </w:p>
    <w:p w14:paraId="6E18E8AE"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2.</w:t>
      </w:r>
      <w:r>
        <w:rPr>
          <w:rFonts w:ascii="仿宋_GB2312" w:eastAsia="仿宋_GB2312" w:hAnsi="仿宋_GB2312" w:hint="eastAsia"/>
          <w:sz w:val="32"/>
        </w:rPr>
        <w:t>提高数据共享服务能力。推进高频电子证照数据归集和制发，实现电子证照责任清单中的电子证照种类</w:t>
      </w:r>
      <w:r>
        <w:rPr>
          <w:rFonts w:ascii="TimesNewRomanPSMT" w:eastAsia="TimesNewRomanPSMT" w:hAnsi="TimesNewRomanPSMT" w:hint="eastAsia"/>
          <w:sz w:val="32"/>
        </w:rPr>
        <w:t>“</w:t>
      </w:r>
      <w:r>
        <w:rPr>
          <w:rFonts w:ascii="仿宋_GB2312" w:eastAsia="仿宋_GB2312" w:hAnsi="仿宋_GB2312" w:hint="eastAsia"/>
          <w:sz w:val="32"/>
        </w:rPr>
        <w:t>应制尽制</w:t>
      </w:r>
      <w:r>
        <w:rPr>
          <w:rFonts w:ascii="TimesNewRomanPSMT" w:eastAsia="TimesNewRomanPSMT" w:hAnsi="TimesNewRomanPSMT" w:hint="eastAsia"/>
          <w:sz w:val="32"/>
        </w:rPr>
        <w:t>”</w:t>
      </w:r>
      <w:r>
        <w:rPr>
          <w:rFonts w:ascii="仿宋_GB2312" w:eastAsia="仿宋_GB2312" w:hAnsi="仿宋_GB2312" w:hint="eastAsia"/>
          <w:sz w:val="32"/>
        </w:rPr>
        <w:t>。加快电子证照系统与各级各部门业务系统对接，丰富证照应用场景，优化办事流程，减少实体材料提交，让企业和群众有实实在在的获得感。完善提升数据共享交换平台功能，开展数据普查，梳理全市数据资源目录，推进数据汇聚、数据挂载，有效提升政务数据时效性和精确性。</w:t>
      </w:r>
    </w:p>
    <w:p w14:paraId="4CA34263"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责任单位：区政务服务和大数据管理局牵头，各镇办，区直相关部门配合</w:t>
      </w:r>
    </w:p>
    <w:p w14:paraId="2E36AE73"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w:t>
      </w:r>
      <w:r>
        <w:rPr>
          <w:rFonts w:ascii="仿宋_GB2312" w:eastAsia="仿宋_GB2312" w:hAnsi="仿宋_GB2312" w:hint="eastAsia"/>
          <w:sz w:val="32"/>
        </w:rPr>
        <w:t>提升政务服务效能。实施区政务服务能力优化提升项目，重点打造</w:t>
      </w:r>
      <w:r>
        <w:rPr>
          <w:rFonts w:ascii="TimesNewRomanPSMT" w:eastAsia="TimesNewRomanPSMT" w:hAnsi="TimesNewRomanPSMT" w:hint="eastAsia"/>
          <w:sz w:val="32"/>
        </w:rPr>
        <w:t>“</w:t>
      </w:r>
      <w:r>
        <w:rPr>
          <w:rFonts w:ascii="仿宋_GB2312" w:eastAsia="仿宋_GB2312" w:hAnsi="仿宋_GB2312" w:hint="eastAsia"/>
          <w:sz w:val="32"/>
        </w:rPr>
        <w:t>一件事一次办</w:t>
      </w:r>
      <w:r>
        <w:rPr>
          <w:rFonts w:ascii="TimesNewRomanPSMT" w:eastAsia="TimesNewRomanPSMT" w:hAnsi="TimesNewRomanPSMT" w:hint="eastAsia"/>
          <w:sz w:val="32"/>
        </w:rPr>
        <w:t>”“</w:t>
      </w:r>
      <w:r>
        <w:rPr>
          <w:rFonts w:ascii="仿宋_GB2312" w:eastAsia="仿宋_GB2312" w:hAnsi="仿宋_GB2312" w:hint="eastAsia"/>
          <w:sz w:val="32"/>
        </w:rPr>
        <w:t>一证通办</w:t>
      </w:r>
      <w:r>
        <w:rPr>
          <w:rFonts w:ascii="TimesNewRomanPSMT" w:eastAsia="TimesNewRomanPSMT" w:hAnsi="TimesNewRomanPSMT" w:hint="eastAsia"/>
          <w:sz w:val="32"/>
        </w:rPr>
        <w:t>”“</w:t>
      </w:r>
      <w:r>
        <w:rPr>
          <w:rFonts w:ascii="仿宋_GB2312" w:eastAsia="仿宋_GB2312" w:hAnsi="仿宋_GB2312" w:hint="eastAsia"/>
          <w:sz w:val="32"/>
        </w:rPr>
        <w:t>企业服务</w:t>
      </w:r>
      <w:r>
        <w:rPr>
          <w:rFonts w:ascii="TimesNewRomanPSMT" w:eastAsia="TimesNewRomanPSMT" w:hAnsi="TimesNewRomanPSMT" w:hint="eastAsia"/>
          <w:sz w:val="32"/>
        </w:rPr>
        <w:t>”</w:t>
      </w:r>
      <w:r>
        <w:rPr>
          <w:rFonts w:ascii="仿宋_GB2312" w:eastAsia="仿宋_GB2312" w:hAnsi="仿宋_GB2312" w:hint="eastAsia"/>
          <w:sz w:val="32"/>
        </w:rPr>
        <w:t>等服务场景，加快推进</w:t>
      </w:r>
      <w:r>
        <w:rPr>
          <w:rFonts w:ascii="TimesNewRomanPSMT" w:eastAsia="TimesNewRomanPSMT" w:hAnsi="TimesNewRomanPSMT" w:hint="eastAsia"/>
          <w:sz w:val="32"/>
        </w:rPr>
        <w:t>“</w:t>
      </w:r>
      <w:r>
        <w:rPr>
          <w:rFonts w:ascii="仿宋_GB2312" w:eastAsia="仿宋_GB2312" w:hAnsi="仿宋_GB2312" w:hint="eastAsia"/>
          <w:sz w:val="32"/>
        </w:rPr>
        <w:t>网上办</w:t>
      </w:r>
      <w:r>
        <w:rPr>
          <w:rFonts w:ascii="TimesNewRomanPSMT" w:eastAsia="TimesNewRomanPSMT" w:hAnsi="TimesNewRomanPSMT" w:hint="eastAsia"/>
          <w:sz w:val="32"/>
        </w:rPr>
        <w:t>”“</w:t>
      </w:r>
      <w:r>
        <w:rPr>
          <w:rFonts w:ascii="仿宋_GB2312" w:eastAsia="仿宋_GB2312" w:hAnsi="仿宋_GB2312" w:hint="eastAsia"/>
          <w:sz w:val="32"/>
        </w:rPr>
        <w:t>掌上办</w:t>
      </w:r>
      <w:r>
        <w:rPr>
          <w:rFonts w:ascii="TimesNewRomanPSMT" w:eastAsia="TimesNewRomanPSMT" w:hAnsi="TimesNewRomanPSMT" w:hint="eastAsia"/>
          <w:sz w:val="32"/>
        </w:rPr>
        <w:t>”</w:t>
      </w:r>
      <w:r>
        <w:rPr>
          <w:rFonts w:ascii="仿宋_GB2312" w:eastAsia="仿宋_GB2312" w:hAnsi="仿宋_GB2312" w:hint="eastAsia"/>
          <w:sz w:val="32"/>
        </w:rPr>
        <w:t>，让企业和群众网上办事</w:t>
      </w:r>
      <w:r>
        <w:rPr>
          <w:rFonts w:ascii="TimesNewRomanPSMT" w:eastAsia="TimesNewRomanPSMT" w:hAnsi="TimesNewRomanPSMT" w:hint="eastAsia"/>
          <w:sz w:val="32"/>
        </w:rPr>
        <w:t>“</w:t>
      </w:r>
      <w:r>
        <w:rPr>
          <w:rFonts w:ascii="仿宋_GB2312" w:eastAsia="仿宋_GB2312" w:hAnsi="仿宋_GB2312" w:hint="eastAsia"/>
          <w:sz w:val="32"/>
        </w:rPr>
        <w:t>好办、快办</w:t>
      </w:r>
      <w:r>
        <w:rPr>
          <w:rFonts w:ascii="TimesNewRomanPSMT" w:eastAsia="TimesNewRomanPSMT" w:hAnsi="TimesNewRomanPSMT" w:hint="eastAsia"/>
          <w:sz w:val="32"/>
        </w:rPr>
        <w:t>”</w:t>
      </w:r>
      <w:r>
        <w:rPr>
          <w:rFonts w:ascii="仿宋_GB2312" w:eastAsia="仿宋_GB2312" w:hAnsi="仿宋_GB2312" w:hint="eastAsia"/>
          <w:sz w:val="32"/>
        </w:rPr>
        <w:t>。</w:t>
      </w:r>
      <w:r>
        <w:rPr>
          <w:rFonts w:ascii="TimesNewRomanPSMT" w:eastAsia="TimesNewRomanPSMT" w:hAnsi="TimesNewRomanPSMT" w:hint="eastAsia"/>
          <w:sz w:val="32"/>
        </w:rPr>
        <w:t>2022</w:t>
      </w:r>
      <w:r>
        <w:rPr>
          <w:rFonts w:ascii="仿宋_GB2312" w:eastAsia="仿宋_GB2312" w:hAnsi="仿宋_GB2312" w:hint="eastAsia"/>
          <w:sz w:val="32"/>
        </w:rPr>
        <w:t>年底前，“洛快办”APP上线高频便民服务应用数达100项，便民服务“掌上办”注册比率达到70%以上，政务服务事项达2013</w:t>
      </w:r>
      <w:r>
        <w:rPr>
          <w:rFonts w:ascii="仿宋_GB2312" w:eastAsia="仿宋_GB2312" w:hAnsi="仿宋_GB2312" w:hint="eastAsia"/>
          <w:sz w:val="32"/>
          <w:szCs w:val="22"/>
        </w:rPr>
        <w:t>项。积</w:t>
      </w:r>
      <w:r>
        <w:rPr>
          <w:rFonts w:ascii="仿宋_GB2312" w:eastAsia="仿宋_GB2312" w:hAnsi="仿宋_GB2312" w:hint="eastAsia"/>
          <w:sz w:val="32"/>
        </w:rPr>
        <w:t>极对接利用洛阳市网上中介服务超市，规范中介服务行为，提高中介服务质量和效</w:t>
      </w:r>
      <w:r>
        <w:rPr>
          <w:rFonts w:ascii="仿宋_GB2312" w:eastAsia="仿宋_GB2312" w:hAnsi="仿宋_GB2312" w:hint="eastAsia"/>
          <w:sz w:val="32"/>
        </w:rPr>
        <w:lastRenderedPageBreak/>
        <w:t>率，降低制度性交易成本。打造统一企业服务平台，实现政策主动推送和精准匹配，推动惠企政策免申即享、快速兑现。</w:t>
      </w:r>
    </w:p>
    <w:p w14:paraId="02CF4D7E"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责任单位：区政务服务和大数据管理局牵头，各镇办、区直相关部门配合</w:t>
      </w:r>
    </w:p>
    <w:p w14:paraId="65DC9AD6"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4.</w:t>
      </w:r>
      <w:r>
        <w:rPr>
          <w:rFonts w:ascii="仿宋_GB2312" w:eastAsia="仿宋_GB2312" w:hAnsi="仿宋_GB2312" w:hint="eastAsia"/>
          <w:sz w:val="32"/>
        </w:rPr>
        <w:t>提升政务服务满意度。持续推进政务服务</w:t>
      </w:r>
      <w:r>
        <w:rPr>
          <w:rFonts w:ascii="TimesNewRomanPSMT" w:eastAsia="TimesNewRomanPSMT" w:hAnsi="TimesNewRomanPSMT" w:hint="eastAsia"/>
          <w:sz w:val="32"/>
        </w:rPr>
        <w:t>“</w:t>
      </w:r>
      <w:r>
        <w:rPr>
          <w:rFonts w:ascii="仿宋_GB2312" w:eastAsia="仿宋_GB2312" w:hAnsi="仿宋_GB2312" w:hint="eastAsia"/>
          <w:sz w:val="32"/>
        </w:rPr>
        <w:t>好差评</w:t>
      </w:r>
      <w:r>
        <w:rPr>
          <w:rFonts w:ascii="TimesNewRomanPSMT" w:eastAsia="TimesNewRomanPSMT" w:hAnsi="TimesNewRomanPSMT" w:hint="eastAsia"/>
          <w:sz w:val="32"/>
        </w:rPr>
        <w:t>”</w:t>
      </w:r>
      <w:r>
        <w:rPr>
          <w:rFonts w:ascii="仿宋_GB2312" w:eastAsia="仿宋_GB2312" w:hAnsi="仿宋_GB2312" w:hint="eastAsia"/>
          <w:sz w:val="32"/>
        </w:rPr>
        <w:t>事项全覆盖，加强对评价数据的综合分析和应用，提升服务供给精细化水平。全面推进</w:t>
      </w:r>
      <w:r>
        <w:rPr>
          <w:rFonts w:ascii="TimesNewRomanPSMT" w:eastAsia="TimesNewRomanPSMT" w:hAnsi="TimesNewRomanPSMT" w:hint="eastAsia"/>
          <w:sz w:val="32"/>
        </w:rPr>
        <w:t>“</w:t>
      </w:r>
      <w:r>
        <w:rPr>
          <w:rFonts w:ascii="仿宋_GB2312" w:eastAsia="仿宋_GB2312" w:hAnsi="仿宋_GB2312" w:hint="eastAsia"/>
          <w:sz w:val="32"/>
        </w:rPr>
        <w:t>有诉即办</w:t>
      </w:r>
      <w:r>
        <w:rPr>
          <w:rFonts w:ascii="TimesNewRomanPSMT" w:eastAsia="TimesNewRomanPSMT" w:hAnsi="TimesNewRomanPSMT" w:hint="eastAsia"/>
          <w:sz w:val="32"/>
        </w:rPr>
        <w:t>”</w:t>
      </w:r>
      <w:r>
        <w:rPr>
          <w:rFonts w:ascii="仿宋_GB2312" w:eastAsia="仿宋_GB2312" w:hAnsi="仿宋_GB2312" w:hint="eastAsia"/>
          <w:sz w:val="32"/>
        </w:rPr>
        <w:t>，健全</w:t>
      </w:r>
      <w:r>
        <w:rPr>
          <w:rFonts w:ascii="TimesNewRomanPSMT" w:eastAsia="TimesNewRomanPSMT" w:hAnsi="TimesNewRomanPSMT" w:hint="eastAsia"/>
          <w:sz w:val="32"/>
        </w:rPr>
        <w:t>“</w:t>
      </w:r>
      <w:r>
        <w:rPr>
          <w:rFonts w:ascii="仿宋_GB2312" w:eastAsia="仿宋_GB2312" w:hAnsi="仿宋_GB2312" w:hint="eastAsia"/>
          <w:sz w:val="32"/>
        </w:rPr>
        <w:t>有诉即接、有诉即应、有诉必办、有诉即办</w:t>
      </w:r>
      <w:r>
        <w:rPr>
          <w:rFonts w:ascii="TimesNewRomanPSMT" w:eastAsia="TimesNewRomanPSMT" w:hAnsi="TimesNewRomanPSMT" w:hint="eastAsia"/>
          <w:sz w:val="32"/>
        </w:rPr>
        <w:t>”</w:t>
      </w:r>
      <w:r>
        <w:rPr>
          <w:rFonts w:ascii="仿宋_GB2312" w:eastAsia="仿宋_GB2312" w:hAnsi="仿宋_GB2312" w:hint="eastAsia"/>
          <w:sz w:val="32"/>
        </w:rPr>
        <w:t>工作机制，持续做好一体化政务服务平台咨询投诉工作，咨询投诉按期办结率达到</w:t>
      </w:r>
      <w:r>
        <w:rPr>
          <w:rFonts w:ascii="TimesNewRomanPSMT" w:eastAsia="TimesNewRomanPSMT" w:hAnsi="TimesNewRomanPSMT" w:hint="eastAsia"/>
          <w:sz w:val="32"/>
        </w:rPr>
        <w:t>100%</w:t>
      </w:r>
      <w:r>
        <w:rPr>
          <w:rFonts w:ascii="仿宋_GB2312" w:eastAsia="仿宋_GB2312" w:hAnsi="仿宋_GB2312" w:hint="eastAsia"/>
          <w:sz w:val="32"/>
        </w:rPr>
        <w:t>。对企业群众反映集中的问题，依法依规推动整改解决，实名差评回访整改率达到</w:t>
      </w:r>
      <w:r>
        <w:rPr>
          <w:rFonts w:ascii="TimesNewRomanPSMT" w:eastAsia="TimesNewRomanPSMT" w:hAnsi="TimesNewRomanPSMT" w:hint="eastAsia"/>
          <w:sz w:val="32"/>
        </w:rPr>
        <w:t>100%</w:t>
      </w:r>
      <w:r>
        <w:rPr>
          <w:rFonts w:ascii="仿宋_GB2312" w:eastAsia="仿宋_GB2312" w:hAnsi="仿宋_GB2312" w:hint="eastAsia"/>
          <w:sz w:val="32"/>
        </w:rPr>
        <w:t>。</w:t>
      </w:r>
    </w:p>
    <w:p w14:paraId="5B2CE932"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责任单位：区政务服务和大数据管理局牵头，各镇办，区直相关部门配合</w:t>
      </w:r>
    </w:p>
    <w:p w14:paraId="64FB11C2"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5.</w:t>
      </w:r>
      <w:r>
        <w:rPr>
          <w:rFonts w:ascii="仿宋_GB2312" w:eastAsia="仿宋_GB2312" w:hAnsi="仿宋_GB2312" w:hint="eastAsia"/>
          <w:sz w:val="32"/>
        </w:rPr>
        <w:t>优化企业开办</w:t>
      </w:r>
      <w:r>
        <w:rPr>
          <w:rFonts w:ascii="TimesNewRomanPS-BoldMT" w:eastAsia="TimesNewRomanPS-BoldMT" w:hAnsi="TimesNewRomanPS-BoldMT" w:hint="eastAsia"/>
          <w:b/>
          <w:sz w:val="32"/>
        </w:rPr>
        <w:t>“</w:t>
      </w:r>
      <w:r>
        <w:rPr>
          <w:rFonts w:ascii="仿宋_GB2312" w:eastAsia="仿宋_GB2312" w:hAnsi="仿宋_GB2312" w:hint="eastAsia"/>
          <w:sz w:val="32"/>
        </w:rPr>
        <w:t>一网通办</w:t>
      </w:r>
      <w:r>
        <w:rPr>
          <w:rFonts w:ascii="TimesNewRomanPS-BoldMT" w:eastAsia="TimesNewRomanPS-BoldMT" w:hAnsi="TimesNewRomanPS-BoldMT" w:hint="eastAsia"/>
          <w:b/>
          <w:sz w:val="32"/>
        </w:rPr>
        <w:t>”</w:t>
      </w:r>
      <w:r>
        <w:rPr>
          <w:rFonts w:ascii="仿宋_GB2312" w:eastAsia="仿宋_GB2312" w:hAnsi="仿宋_GB2312" w:hint="eastAsia"/>
          <w:sz w:val="32"/>
        </w:rPr>
        <w:t>服务能力。</w:t>
      </w:r>
      <w:r>
        <w:rPr>
          <w:rFonts w:ascii="仿宋" w:eastAsia="仿宋" w:hAnsi="仿宋" w:cs="仿宋" w:hint="eastAsia"/>
          <w:sz w:val="32"/>
          <w:szCs w:val="32"/>
        </w:rPr>
        <w:t>依托洛阳市自建的“一网通办”升级版平台</w:t>
      </w:r>
      <w:r>
        <w:rPr>
          <w:rFonts w:ascii="仿宋_GB2312" w:eastAsia="仿宋_GB2312" w:hAnsi="仿宋_GB2312" w:hint="eastAsia"/>
          <w:sz w:val="32"/>
        </w:rPr>
        <w:t>，扩大</w:t>
      </w:r>
      <w:r>
        <w:rPr>
          <w:rFonts w:ascii="TimesNewRomanPSMT" w:eastAsia="TimesNewRomanPSMT" w:hAnsi="TimesNewRomanPSMT" w:hint="eastAsia"/>
          <w:sz w:val="32"/>
        </w:rPr>
        <w:t>“</w:t>
      </w:r>
      <w:r>
        <w:rPr>
          <w:rFonts w:ascii="仿宋_GB2312" w:eastAsia="仿宋_GB2312" w:hAnsi="仿宋_GB2312" w:hint="eastAsia"/>
          <w:sz w:val="32"/>
        </w:rPr>
        <w:t>企业开办</w:t>
      </w:r>
      <w:r>
        <w:rPr>
          <w:rFonts w:ascii="TimesNewRomanPSMT" w:eastAsia="TimesNewRomanPSMT" w:hAnsi="TimesNewRomanPSMT" w:hint="eastAsia"/>
          <w:sz w:val="32"/>
        </w:rPr>
        <w:t xml:space="preserve">+N </w:t>
      </w:r>
      <w:r>
        <w:rPr>
          <w:rFonts w:ascii="仿宋_GB2312" w:eastAsia="仿宋_GB2312" w:hAnsi="仿宋_GB2312" w:hint="eastAsia"/>
          <w:sz w:val="32"/>
        </w:rPr>
        <w:t>项服务</w:t>
      </w:r>
      <w:r>
        <w:rPr>
          <w:rFonts w:ascii="TimesNewRomanPSMT" w:eastAsia="TimesNewRomanPSMT" w:hAnsi="TimesNewRomanPSMT" w:hint="eastAsia"/>
          <w:sz w:val="32"/>
        </w:rPr>
        <w:t>”</w:t>
      </w:r>
      <w:r>
        <w:rPr>
          <w:rFonts w:ascii="仿宋_GB2312" w:eastAsia="仿宋_GB2312" w:hAnsi="仿宋_GB2312" w:hint="eastAsia"/>
          <w:sz w:val="32"/>
        </w:rPr>
        <w:t>覆盖面，将员工参保登记、住房公积金企业缴存登记、银行预约开户等事项进一步纳入企业开办</w:t>
      </w:r>
      <w:r>
        <w:rPr>
          <w:rFonts w:ascii="TimesNewRomanPSMT" w:eastAsia="TimesNewRomanPSMT" w:hAnsi="TimesNewRomanPSMT" w:hint="eastAsia"/>
          <w:sz w:val="32"/>
        </w:rPr>
        <w:t>“</w:t>
      </w:r>
      <w:r>
        <w:rPr>
          <w:rFonts w:ascii="仿宋_GB2312" w:eastAsia="仿宋_GB2312" w:hAnsi="仿宋_GB2312" w:hint="eastAsia"/>
          <w:sz w:val="32"/>
        </w:rPr>
        <w:t>一网通办</w:t>
      </w:r>
      <w:r>
        <w:rPr>
          <w:rFonts w:ascii="TimesNewRomanPSMT" w:eastAsia="TimesNewRomanPSMT" w:hAnsi="TimesNewRomanPSMT" w:hint="eastAsia"/>
          <w:sz w:val="32"/>
        </w:rPr>
        <w:t>”</w:t>
      </w:r>
      <w:r>
        <w:rPr>
          <w:rFonts w:ascii="仿宋_GB2312" w:eastAsia="仿宋_GB2312" w:hAnsi="仿宋_GB2312" w:hint="eastAsia"/>
          <w:sz w:val="32"/>
        </w:rPr>
        <w:t>平台。探索将获得电力、投资项目备案等更多事项纳入覆盖范围。建设企业电子印章管理服务系统，免费向新开办企业发放电子印章，推广电子印章签章服务应用。推动企业变更、备案、注销等相关信息与税务、社保等部门实施共享。确保数据实时共享、全程留痕，实现企业开办事项全流程网上闭环管理。</w:t>
      </w:r>
    </w:p>
    <w:p w14:paraId="0EE51D37"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lastRenderedPageBreak/>
        <w:t>责任单位：区市场监管局、区政务服务和大数据管理局、区公安局、区税务局、区社保中心、区公积金管理中心、区税务局、人民银行偃师支行按职责分工负责</w:t>
      </w:r>
    </w:p>
    <w:p w14:paraId="069E8360"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6.</w:t>
      </w:r>
      <w:r>
        <w:rPr>
          <w:rFonts w:ascii="仿宋_GB2312" w:eastAsia="仿宋_GB2312" w:hAnsi="仿宋_GB2312" w:hint="eastAsia"/>
          <w:sz w:val="32"/>
        </w:rPr>
        <w:t>提供企业开办个性化套餐式服务。结合企业开办实际情况，针对不同的开办需求，提供个性化企业开办套餐，提升企业开办效能。</w:t>
      </w:r>
      <w:r>
        <w:rPr>
          <w:rFonts w:ascii="TimesNewRomanPSMT" w:eastAsia="TimesNewRomanPSMT" w:hAnsi="TimesNewRomanPSMT" w:hint="eastAsia"/>
          <w:sz w:val="32"/>
        </w:rPr>
        <w:t xml:space="preserve">A </w:t>
      </w:r>
      <w:r>
        <w:rPr>
          <w:rFonts w:ascii="仿宋_GB2312" w:eastAsia="仿宋_GB2312" w:hAnsi="仿宋_GB2312" w:hint="eastAsia"/>
          <w:sz w:val="32"/>
        </w:rPr>
        <w:t>套餐（企业登记、印章刻制）、</w:t>
      </w:r>
      <w:r>
        <w:rPr>
          <w:rFonts w:ascii="TimesNewRomanPSMT" w:eastAsia="TimesNewRomanPSMT" w:hAnsi="TimesNewRomanPSMT" w:hint="eastAsia"/>
          <w:sz w:val="32"/>
        </w:rPr>
        <w:t xml:space="preserve">B </w:t>
      </w:r>
      <w:r>
        <w:rPr>
          <w:rFonts w:ascii="仿宋_GB2312" w:eastAsia="仿宋_GB2312" w:hAnsi="仿宋_GB2312" w:hint="eastAsia"/>
          <w:sz w:val="32"/>
        </w:rPr>
        <w:t>套餐（企业登记、印章刻制、银行预约开户）、</w:t>
      </w:r>
      <w:r>
        <w:rPr>
          <w:rFonts w:ascii="TimesNewRomanPSMT" w:eastAsia="TimesNewRomanPSMT" w:hAnsi="TimesNewRomanPSMT" w:hint="eastAsia"/>
          <w:sz w:val="32"/>
        </w:rPr>
        <w:t xml:space="preserve">C </w:t>
      </w:r>
      <w:r>
        <w:rPr>
          <w:rFonts w:ascii="仿宋_GB2312" w:eastAsia="仿宋_GB2312" w:hAnsi="仿宋_GB2312" w:hint="eastAsia"/>
          <w:sz w:val="32"/>
        </w:rPr>
        <w:t>套餐（企业登记、印章刻制、申领发票）、</w:t>
      </w:r>
      <w:r>
        <w:rPr>
          <w:rFonts w:ascii="TimesNewRomanPSMT" w:eastAsia="TimesNewRomanPSMT" w:hAnsi="TimesNewRomanPSMT" w:hint="eastAsia"/>
          <w:sz w:val="32"/>
        </w:rPr>
        <w:t xml:space="preserve">D </w:t>
      </w:r>
      <w:r>
        <w:rPr>
          <w:rFonts w:ascii="仿宋_GB2312" w:eastAsia="仿宋_GB2312" w:hAnsi="仿宋_GB2312" w:hint="eastAsia"/>
          <w:sz w:val="32"/>
        </w:rPr>
        <w:t>套餐（企业登记、印章刻制、申领发票、员工社保登记、住房公积金开户登记、银行预约开户）等四个套餐，实施规范化、标准化、精准化、贴心化服务，满足企业开办的差异化需求。</w:t>
      </w:r>
    </w:p>
    <w:p w14:paraId="0A22BCCA"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责任单位：区市场监管局、洛阳市公安局偃师分局、区社保中心、区公积金管理中心、区税务局、人民银行偃师支行、区政务服务和大数据管理局按职责分工负责</w:t>
      </w:r>
    </w:p>
    <w:p w14:paraId="71B14CB9"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7.</w:t>
      </w:r>
      <w:r>
        <w:rPr>
          <w:rFonts w:ascii="仿宋_GB2312" w:eastAsia="仿宋_GB2312" w:hAnsi="仿宋_GB2312" w:hint="eastAsia"/>
          <w:sz w:val="32"/>
        </w:rPr>
        <w:t>提高办理建筑许可效率。持续深化工程建设项目审批制度改革，进一步优化社会投资备案类项目审批流程，完善社会投资一般住宅项目、社会投资一般工业建筑项目、社会投资标准厂房项目审批流程。</w:t>
      </w:r>
      <w:r>
        <w:rPr>
          <w:rFonts w:ascii="TimesNewRomanPSMT" w:eastAsia="TimesNewRomanPSMT" w:hAnsi="TimesNewRomanPSMT" w:hint="eastAsia"/>
          <w:sz w:val="32"/>
        </w:rPr>
        <w:t>2022</w:t>
      </w:r>
      <w:r>
        <w:rPr>
          <w:rFonts w:ascii="仿宋_GB2312" w:eastAsia="仿宋_GB2312" w:hAnsi="仿宋_GB2312" w:hint="eastAsia"/>
          <w:sz w:val="32"/>
        </w:rPr>
        <w:t>年底前，全区社会投资小型低风险产业类项目平均办理建筑许可环节压减至</w:t>
      </w:r>
      <w:r>
        <w:rPr>
          <w:rFonts w:ascii="TimesNewRomanPSMT" w:eastAsia="TimesNewRomanPSMT" w:hAnsi="TimesNewRomanPSMT" w:hint="eastAsia"/>
          <w:sz w:val="32"/>
        </w:rPr>
        <w:t>4</w:t>
      </w:r>
      <w:r>
        <w:rPr>
          <w:rFonts w:ascii="仿宋_GB2312" w:eastAsia="仿宋_GB2312" w:hAnsi="仿宋_GB2312" w:hint="eastAsia"/>
          <w:sz w:val="32"/>
        </w:rPr>
        <w:t>个以内、时间</w:t>
      </w:r>
      <w:r>
        <w:rPr>
          <w:rFonts w:ascii="TimesNewRomanPSMT" w:eastAsia="TimesNewRomanPSMT" w:hAnsi="TimesNewRomanPSMT" w:hint="eastAsia"/>
          <w:sz w:val="32"/>
        </w:rPr>
        <w:t>17</w:t>
      </w:r>
      <w:r>
        <w:rPr>
          <w:rFonts w:ascii="仿宋_GB2312" w:eastAsia="仿宋_GB2312" w:hAnsi="仿宋_GB2312" w:hint="eastAsia"/>
          <w:sz w:val="32"/>
        </w:rPr>
        <w:t>个工作日以内。推动</w:t>
      </w:r>
      <w:r>
        <w:rPr>
          <w:rFonts w:ascii="TimesNewRomanPSMT" w:eastAsia="TimesNewRomanPSMT" w:hAnsi="TimesNewRomanPSMT" w:hint="eastAsia"/>
          <w:sz w:val="32"/>
        </w:rPr>
        <w:t>“</w:t>
      </w:r>
      <w:r>
        <w:rPr>
          <w:rFonts w:ascii="仿宋_GB2312" w:eastAsia="仿宋_GB2312" w:hAnsi="仿宋_GB2312" w:hint="eastAsia"/>
          <w:sz w:val="32"/>
        </w:rPr>
        <w:t>验登合一</w:t>
      </w:r>
      <w:r>
        <w:rPr>
          <w:rFonts w:ascii="TimesNewRomanPSMT" w:eastAsia="TimesNewRomanPSMT" w:hAnsi="TimesNewRomanPSMT" w:hint="eastAsia"/>
          <w:sz w:val="32"/>
        </w:rPr>
        <w:t>”</w:t>
      </w:r>
      <w:r>
        <w:rPr>
          <w:rFonts w:ascii="仿宋_GB2312" w:eastAsia="仿宋_GB2312" w:hAnsi="仿宋_GB2312" w:hint="eastAsia"/>
          <w:sz w:val="32"/>
        </w:rPr>
        <w:t>改革，对符合登记条件的项目，通过联合验收后，</w:t>
      </w:r>
      <w:r>
        <w:rPr>
          <w:rFonts w:ascii="TimesNewRomanPSMT" w:eastAsia="TimesNewRomanPSMT" w:hAnsi="TimesNewRomanPSMT" w:hint="eastAsia"/>
          <w:sz w:val="32"/>
        </w:rPr>
        <w:t>1</w:t>
      </w:r>
      <w:r>
        <w:rPr>
          <w:rFonts w:ascii="仿宋_GB2312" w:eastAsia="仿宋_GB2312" w:hAnsi="仿宋_GB2312" w:hint="eastAsia"/>
          <w:sz w:val="32"/>
        </w:rPr>
        <w:t>个工作日内完成不动产登记手续，实现</w:t>
      </w:r>
      <w:r>
        <w:rPr>
          <w:rFonts w:ascii="TimesNewRomanPSMT" w:eastAsia="TimesNewRomanPSMT" w:hAnsi="TimesNewRomanPSMT" w:hint="eastAsia"/>
          <w:sz w:val="32"/>
        </w:rPr>
        <w:t>“</w:t>
      </w:r>
      <w:r>
        <w:rPr>
          <w:rFonts w:ascii="仿宋_GB2312" w:eastAsia="仿宋_GB2312" w:hAnsi="仿宋_GB2312" w:hint="eastAsia"/>
          <w:sz w:val="32"/>
        </w:rPr>
        <w:t>验登合一，验收即发证</w:t>
      </w:r>
      <w:r>
        <w:rPr>
          <w:rFonts w:ascii="TimesNewRomanPSMT" w:eastAsia="TimesNewRomanPSMT" w:hAnsi="TimesNewRomanPSMT" w:hint="eastAsia"/>
          <w:sz w:val="32"/>
        </w:rPr>
        <w:t>”</w:t>
      </w:r>
      <w:r>
        <w:rPr>
          <w:rFonts w:ascii="仿宋_GB2312" w:eastAsia="仿宋_GB2312" w:hAnsi="仿宋_GB2312" w:hint="eastAsia"/>
          <w:sz w:val="32"/>
        </w:rPr>
        <w:t>。</w:t>
      </w:r>
    </w:p>
    <w:p w14:paraId="39D95004"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lastRenderedPageBreak/>
        <w:t>责任单位：区住建局、市自然资源和规划局偃师分局牵头，各镇办，区直各相关单位按职责分工负责</w:t>
      </w:r>
    </w:p>
    <w:p w14:paraId="60DF7833"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8.</w:t>
      </w:r>
      <w:r>
        <w:rPr>
          <w:rFonts w:ascii="仿宋_GB2312" w:eastAsia="仿宋_GB2312" w:hAnsi="仿宋_GB2312" w:hint="eastAsia"/>
          <w:sz w:val="32"/>
        </w:rPr>
        <w:t>降低办理建筑许可成本。推进</w:t>
      </w:r>
      <w:r>
        <w:rPr>
          <w:rFonts w:ascii="TimesNewRomanPSMT" w:eastAsia="TimesNewRomanPSMT" w:hAnsi="TimesNewRomanPSMT" w:hint="eastAsia"/>
          <w:sz w:val="32"/>
        </w:rPr>
        <w:t>2000</w:t>
      </w:r>
      <w:r>
        <w:rPr>
          <w:rFonts w:ascii="仿宋_GB2312" w:eastAsia="仿宋_GB2312" w:hAnsi="仿宋_GB2312" w:hint="eastAsia"/>
          <w:sz w:val="32"/>
        </w:rPr>
        <w:t>平方米以下的社会投资小型低风险仓储项目办理建筑许可</w:t>
      </w:r>
      <w:r>
        <w:rPr>
          <w:rFonts w:ascii="TimesNewRomanPSMT" w:eastAsia="TimesNewRomanPSMT" w:hAnsi="TimesNewRomanPSMT" w:hint="eastAsia"/>
          <w:sz w:val="32"/>
        </w:rPr>
        <w:t>“</w:t>
      </w:r>
      <w:r>
        <w:rPr>
          <w:rFonts w:ascii="仿宋_GB2312" w:eastAsia="仿宋_GB2312" w:hAnsi="仿宋_GB2312" w:hint="eastAsia"/>
          <w:sz w:val="32"/>
        </w:rPr>
        <w:t>零收费</w:t>
      </w:r>
      <w:r>
        <w:rPr>
          <w:rFonts w:ascii="TimesNewRomanPSMT" w:eastAsia="TimesNewRomanPSMT" w:hAnsi="TimesNewRomanPSMT" w:hint="eastAsia"/>
          <w:sz w:val="32"/>
        </w:rPr>
        <w:t>”</w:t>
      </w:r>
      <w:r>
        <w:rPr>
          <w:rFonts w:ascii="仿宋_GB2312" w:eastAsia="仿宋_GB2312" w:hAnsi="仿宋_GB2312" w:hint="eastAsia"/>
          <w:sz w:val="32"/>
        </w:rPr>
        <w:t>，取消其城市基础设施配套费和防空地下室异地建设费。对于其他工程建设项目，采用多种形式降低费用，以出让方式取得土地的项目，政策允许的前提下，可探索将相关费用纳入土地整理成本，不再单独列支相应收费项目。</w:t>
      </w:r>
    </w:p>
    <w:p w14:paraId="7813390E"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责任单位：区住建局、区财政局牵头，市自然资源和规划局偃师分局，各镇办，区直各相关单位按职责分工负责</w:t>
      </w:r>
    </w:p>
    <w:p w14:paraId="1480C9F2"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9.</w:t>
      </w:r>
      <w:r>
        <w:rPr>
          <w:rFonts w:ascii="仿宋_GB2312" w:eastAsia="仿宋_GB2312" w:hAnsi="仿宋_GB2312" w:hint="eastAsia"/>
          <w:sz w:val="32"/>
        </w:rPr>
        <w:t>压减纳税缴费次数和时间。大力推进税（费）种综合申报，依法简并部分税种征期，减少申报次数和时间。扩大部门间数据共享范围，加快企业出口退税事项全环节办理速度，税务部门办理正常出口退税的平均时间压缩至</w:t>
      </w:r>
      <w:r>
        <w:rPr>
          <w:rFonts w:ascii="TimesNewRomanPSMT" w:eastAsia="TimesNewRomanPSMT" w:hAnsi="TimesNewRomanPSMT" w:hint="eastAsia"/>
          <w:sz w:val="32"/>
        </w:rPr>
        <w:t>5</w:t>
      </w:r>
      <w:r>
        <w:rPr>
          <w:rFonts w:ascii="仿宋_GB2312" w:eastAsia="仿宋_GB2312" w:hAnsi="仿宋_GB2312" w:hint="eastAsia"/>
          <w:sz w:val="32"/>
        </w:rPr>
        <w:t>个工作日以内，对高信用级别企业进一步缩短办理时间。加强协作，实现企业开办、注销</w:t>
      </w:r>
      <w:r>
        <w:rPr>
          <w:rFonts w:ascii="TimesNewRomanPSMT" w:eastAsia="TimesNewRomanPSMT" w:hAnsi="TimesNewRomanPSMT" w:hint="eastAsia"/>
          <w:sz w:val="32"/>
        </w:rPr>
        <w:t>“</w:t>
      </w:r>
      <w:r>
        <w:rPr>
          <w:rFonts w:ascii="仿宋_GB2312" w:eastAsia="仿宋_GB2312" w:hAnsi="仿宋_GB2312" w:hint="eastAsia"/>
          <w:sz w:val="32"/>
        </w:rPr>
        <w:t>一网通办</w:t>
      </w:r>
      <w:r>
        <w:rPr>
          <w:rFonts w:ascii="TimesNewRomanPSMT" w:eastAsia="TimesNewRomanPSMT" w:hAnsi="TimesNewRomanPSMT" w:hint="eastAsia"/>
          <w:sz w:val="32"/>
        </w:rPr>
        <w:t>”</w:t>
      </w:r>
      <w:r>
        <w:rPr>
          <w:rFonts w:ascii="仿宋_GB2312" w:eastAsia="仿宋_GB2312" w:hAnsi="仿宋_GB2312" w:hint="eastAsia"/>
          <w:sz w:val="32"/>
        </w:rPr>
        <w:t>。</w:t>
      </w:r>
    </w:p>
    <w:p w14:paraId="2BD00622"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责任单位：区税务局</w:t>
      </w:r>
    </w:p>
    <w:p w14:paraId="66880930"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10.</w:t>
      </w:r>
      <w:r>
        <w:rPr>
          <w:rFonts w:ascii="仿宋_GB2312" w:eastAsia="仿宋_GB2312" w:hAnsi="仿宋_GB2312" w:hint="eastAsia"/>
          <w:sz w:val="32"/>
        </w:rPr>
        <w:t>改进办税缴费方式。加快推进企业税费事项网上办理、个人税费事项掌上办理，推广应用社会保险费征管信息系统（标准版），推进电子税务局与河南政务服务网、</w:t>
      </w:r>
      <w:r>
        <w:rPr>
          <w:rFonts w:ascii="TimesNewRomanPSMT" w:eastAsia="TimesNewRomanPSMT" w:hAnsi="TimesNewRomanPSMT" w:hint="eastAsia"/>
          <w:sz w:val="32"/>
        </w:rPr>
        <w:t>“</w:t>
      </w:r>
      <w:r>
        <w:rPr>
          <w:rFonts w:ascii="仿宋_GB2312" w:eastAsia="仿宋_GB2312" w:hAnsi="仿宋_GB2312" w:hint="eastAsia"/>
          <w:sz w:val="32"/>
        </w:rPr>
        <w:t>豫事办</w:t>
      </w:r>
      <w:r>
        <w:rPr>
          <w:rFonts w:ascii="TimesNewRomanPSMT" w:eastAsia="TimesNewRomanPSMT" w:hAnsi="TimesNewRomanPSMT" w:hint="eastAsia"/>
          <w:sz w:val="32"/>
        </w:rPr>
        <w:t>”“</w:t>
      </w:r>
      <w:r>
        <w:rPr>
          <w:rFonts w:ascii="仿宋_GB2312" w:eastAsia="仿宋_GB2312" w:hAnsi="仿宋_GB2312" w:hint="eastAsia"/>
          <w:sz w:val="32"/>
        </w:rPr>
        <w:t>洛快办</w:t>
      </w:r>
      <w:r>
        <w:rPr>
          <w:rFonts w:ascii="TimesNewRomanPSMT" w:eastAsia="TimesNewRomanPSMT" w:hAnsi="TimesNewRomanPSMT" w:hint="eastAsia"/>
          <w:sz w:val="32"/>
        </w:rPr>
        <w:t>”</w:t>
      </w:r>
      <w:r>
        <w:rPr>
          <w:rFonts w:ascii="仿宋_GB2312" w:eastAsia="仿宋_GB2312" w:hAnsi="仿宋_GB2312" w:hint="eastAsia"/>
          <w:sz w:val="32"/>
        </w:rPr>
        <w:t>对接，在</w:t>
      </w:r>
      <w:r>
        <w:rPr>
          <w:rFonts w:ascii="TimesNewRomanPSMT" w:eastAsia="TimesNewRomanPSMT" w:hAnsi="TimesNewRomanPSMT" w:hint="eastAsia"/>
          <w:sz w:val="32"/>
        </w:rPr>
        <w:t>“</w:t>
      </w:r>
      <w:r>
        <w:rPr>
          <w:rFonts w:ascii="仿宋_GB2312" w:eastAsia="仿宋_GB2312" w:hAnsi="仿宋_GB2312" w:hint="eastAsia"/>
          <w:sz w:val="32"/>
        </w:rPr>
        <w:t>豫事办</w:t>
      </w:r>
      <w:r>
        <w:rPr>
          <w:rFonts w:ascii="TimesNewRomanPSMT" w:eastAsia="TimesNewRomanPSMT" w:hAnsi="TimesNewRomanPSMT" w:hint="eastAsia"/>
          <w:sz w:val="32"/>
        </w:rPr>
        <w:t>”“</w:t>
      </w:r>
      <w:r>
        <w:rPr>
          <w:rFonts w:ascii="仿宋_GB2312" w:eastAsia="仿宋_GB2312" w:hAnsi="仿宋_GB2312" w:hint="eastAsia"/>
          <w:sz w:val="32"/>
        </w:rPr>
        <w:t>洛快办</w:t>
      </w:r>
      <w:r>
        <w:rPr>
          <w:rFonts w:ascii="TimesNewRomanPSMT" w:eastAsia="TimesNewRomanPSMT" w:hAnsi="TimesNewRomanPSMT" w:hint="eastAsia"/>
          <w:sz w:val="32"/>
        </w:rPr>
        <w:t>”</w:t>
      </w:r>
      <w:r>
        <w:rPr>
          <w:rFonts w:ascii="仿宋_GB2312" w:eastAsia="仿宋_GB2312" w:hAnsi="仿宋_GB2312" w:hint="eastAsia"/>
          <w:sz w:val="32"/>
        </w:rPr>
        <w:t>开设税务专区，将</w:t>
      </w:r>
      <w:r>
        <w:rPr>
          <w:rFonts w:ascii="TimesNewRomanPSMT" w:eastAsia="TimesNewRomanPSMT" w:hAnsi="TimesNewRomanPSMT" w:hint="eastAsia"/>
          <w:sz w:val="32"/>
        </w:rPr>
        <w:t>“</w:t>
      </w:r>
      <w:r>
        <w:rPr>
          <w:rFonts w:ascii="仿宋_GB2312" w:eastAsia="仿宋_GB2312" w:hAnsi="仿宋_GB2312" w:hint="eastAsia"/>
          <w:sz w:val="32"/>
        </w:rPr>
        <w:t>豫事办</w:t>
      </w:r>
      <w:r>
        <w:rPr>
          <w:rFonts w:ascii="TimesNewRomanPSMT" w:eastAsia="TimesNewRomanPSMT" w:hAnsi="TimesNewRomanPSMT" w:hint="eastAsia"/>
          <w:sz w:val="32"/>
        </w:rPr>
        <w:t>”“</w:t>
      </w:r>
      <w:r>
        <w:rPr>
          <w:rFonts w:ascii="仿宋_GB2312" w:eastAsia="仿宋_GB2312" w:hAnsi="仿宋_GB2312" w:hint="eastAsia"/>
          <w:sz w:val="32"/>
        </w:rPr>
        <w:t>洛快办</w:t>
      </w:r>
      <w:r>
        <w:rPr>
          <w:rFonts w:ascii="TimesNewRomanPSMT" w:eastAsia="TimesNewRomanPSMT" w:hAnsi="TimesNewRomanPSMT" w:hint="eastAsia"/>
          <w:sz w:val="32"/>
        </w:rPr>
        <w:t>”</w:t>
      </w:r>
      <w:r>
        <w:rPr>
          <w:rFonts w:ascii="仿宋_GB2312" w:eastAsia="仿宋_GB2312" w:hAnsi="仿宋_GB2312" w:hint="eastAsia"/>
          <w:sz w:val="32"/>
        </w:rPr>
        <w:t>作为掌上办税重要渠道，逐步实现电子税务局</w:t>
      </w:r>
      <w:r>
        <w:rPr>
          <w:rFonts w:ascii="仿宋_GB2312" w:eastAsia="仿宋_GB2312" w:hAnsi="仿宋_GB2312" w:hint="eastAsia"/>
          <w:sz w:val="32"/>
        </w:rPr>
        <w:lastRenderedPageBreak/>
        <w:t>服务应用在</w:t>
      </w:r>
      <w:r>
        <w:rPr>
          <w:rFonts w:ascii="TimesNewRomanPSMT" w:eastAsia="TimesNewRomanPSMT" w:hAnsi="TimesNewRomanPSMT" w:hint="eastAsia"/>
          <w:sz w:val="32"/>
        </w:rPr>
        <w:t>“</w:t>
      </w:r>
      <w:r>
        <w:rPr>
          <w:rFonts w:ascii="仿宋_GB2312" w:eastAsia="仿宋_GB2312" w:hAnsi="仿宋_GB2312" w:hint="eastAsia"/>
          <w:sz w:val="32"/>
        </w:rPr>
        <w:t>豫事办</w:t>
      </w:r>
      <w:r>
        <w:rPr>
          <w:rFonts w:ascii="TimesNewRomanPSMT" w:eastAsia="TimesNewRomanPSMT" w:hAnsi="TimesNewRomanPSMT" w:hint="eastAsia"/>
          <w:sz w:val="32"/>
        </w:rPr>
        <w:t>”“</w:t>
      </w:r>
      <w:r>
        <w:rPr>
          <w:rFonts w:ascii="仿宋_GB2312" w:eastAsia="仿宋_GB2312" w:hAnsi="仿宋_GB2312" w:hint="eastAsia"/>
          <w:sz w:val="32"/>
        </w:rPr>
        <w:t>洛快办</w:t>
      </w:r>
      <w:r>
        <w:rPr>
          <w:rFonts w:ascii="TimesNewRomanPSMT" w:eastAsia="TimesNewRomanPSMT" w:hAnsi="TimesNewRomanPSMT" w:hint="eastAsia"/>
          <w:sz w:val="32"/>
        </w:rPr>
        <w:t>”</w:t>
      </w:r>
      <w:r>
        <w:rPr>
          <w:rFonts w:ascii="仿宋_GB2312" w:eastAsia="仿宋_GB2312" w:hAnsi="仿宋_GB2312" w:hint="eastAsia"/>
          <w:sz w:val="32"/>
        </w:rPr>
        <w:t>汇聚，扩展</w:t>
      </w:r>
      <w:r>
        <w:rPr>
          <w:rFonts w:ascii="TimesNewRomanPSMT" w:eastAsia="TimesNewRomanPSMT" w:hAnsi="TimesNewRomanPSMT" w:hint="eastAsia"/>
          <w:sz w:val="32"/>
        </w:rPr>
        <w:t>“</w:t>
      </w:r>
      <w:r>
        <w:rPr>
          <w:rFonts w:ascii="仿宋_GB2312" w:eastAsia="仿宋_GB2312" w:hAnsi="仿宋_GB2312" w:hint="eastAsia"/>
          <w:sz w:val="32"/>
        </w:rPr>
        <w:t>非接触式</w:t>
      </w:r>
      <w:r>
        <w:rPr>
          <w:rFonts w:ascii="TimesNewRomanPSMT" w:eastAsia="TimesNewRomanPSMT" w:hAnsi="TimesNewRomanPSMT" w:hint="eastAsia"/>
          <w:sz w:val="32"/>
        </w:rPr>
        <w:t>”“</w:t>
      </w:r>
      <w:r>
        <w:rPr>
          <w:rFonts w:ascii="仿宋_GB2312" w:eastAsia="仿宋_GB2312" w:hAnsi="仿宋_GB2312" w:hint="eastAsia"/>
          <w:sz w:val="32"/>
        </w:rPr>
        <w:t>不见面</w:t>
      </w:r>
      <w:r>
        <w:rPr>
          <w:rFonts w:ascii="TimesNewRomanPSMT" w:eastAsia="TimesNewRomanPSMT" w:hAnsi="TimesNewRomanPSMT" w:hint="eastAsia"/>
          <w:sz w:val="32"/>
        </w:rPr>
        <w:t>”</w:t>
      </w:r>
      <w:r>
        <w:rPr>
          <w:rFonts w:ascii="仿宋_GB2312" w:eastAsia="仿宋_GB2312" w:hAnsi="仿宋_GB2312" w:hint="eastAsia"/>
          <w:sz w:val="32"/>
        </w:rPr>
        <w:t>办税缴费服务范围。逐步推行税费申报电子化、要素化，实现预填申报自动化。持续落实惠企政策和减税降费政策，扩大</w:t>
      </w:r>
      <w:r>
        <w:rPr>
          <w:rFonts w:ascii="TimesNewRomanPSMT" w:eastAsia="TimesNewRomanPSMT" w:hAnsi="TimesNewRomanPSMT" w:hint="eastAsia"/>
          <w:sz w:val="32"/>
        </w:rPr>
        <w:t>“</w:t>
      </w:r>
      <w:r>
        <w:rPr>
          <w:rFonts w:ascii="仿宋_GB2312" w:eastAsia="仿宋_GB2312" w:hAnsi="仿宋_GB2312" w:hint="eastAsia"/>
          <w:sz w:val="32"/>
        </w:rPr>
        <w:t>自行判别、自行申报、事后监管</w:t>
      </w:r>
      <w:r>
        <w:rPr>
          <w:rFonts w:ascii="TimesNewRomanPSMT" w:eastAsia="TimesNewRomanPSMT" w:hAnsi="TimesNewRomanPSMT" w:hint="eastAsia"/>
          <w:sz w:val="32"/>
        </w:rPr>
        <w:t>”</w:t>
      </w:r>
      <w:r>
        <w:rPr>
          <w:rFonts w:ascii="仿宋_GB2312" w:eastAsia="仿宋_GB2312" w:hAnsi="仿宋_GB2312" w:hint="eastAsia"/>
          <w:sz w:val="32"/>
        </w:rPr>
        <w:t>事项范围，依法运用大数据精准推送优惠政策信息，推动税费优惠政策直达快享。</w:t>
      </w:r>
    </w:p>
    <w:p w14:paraId="0BD5512E"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责任单位：区税务局</w:t>
      </w:r>
    </w:p>
    <w:p w14:paraId="119803EB"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11.</w:t>
      </w:r>
      <w:r>
        <w:rPr>
          <w:rFonts w:ascii="仿宋_GB2312" w:eastAsia="仿宋_GB2312" w:hAnsi="仿宋_GB2312" w:hint="eastAsia"/>
          <w:sz w:val="32"/>
        </w:rPr>
        <w:t>深化</w:t>
      </w:r>
      <w:r>
        <w:rPr>
          <w:rFonts w:ascii="TimesNewRomanPS-BoldMT" w:eastAsia="TimesNewRomanPS-BoldMT" w:hAnsi="TimesNewRomanPS-BoldMT" w:hint="eastAsia"/>
          <w:b/>
          <w:sz w:val="32"/>
        </w:rPr>
        <w:t>“</w:t>
      </w:r>
      <w:r>
        <w:rPr>
          <w:rFonts w:ascii="仿宋_GB2312" w:eastAsia="仿宋_GB2312" w:hAnsi="仿宋_GB2312" w:hint="eastAsia"/>
          <w:sz w:val="32"/>
        </w:rPr>
        <w:t>互联网</w:t>
      </w:r>
      <w:r>
        <w:rPr>
          <w:rFonts w:ascii="TimesNewRomanPS-BoldMT" w:eastAsia="TimesNewRomanPS-BoldMT" w:hAnsi="TimesNewRomanPS-BoldMT" w:hint="eastAsia"/>
          <w:b/>
          <w:sz w:val="32"/>
        </w:rPr>
        <w:t>+</w:t>
      </w:r>
      <w:r>
        <w:rPr>
          <w:rFonts w:ascii="仿宋_GB2312" w:eastAsia="仿宋_GB2312" w:hAnsi="仿宋_GB2312" w:hint="eastAsia"/>
          <w:sz w:val="32"/>
        </w:rPr>
        <w:t>不动产登记</w:t>
      </w:r>
      <w:r>
        <w:rPr>
          <w:rFonts w:ascii="TimesNewRomanPS-BoldMT" w:eastAsia="TimesNewRomanPS-BoldMT" w:hAnsi="TimesNewRomanPS-BoldMT" w:hint="eastAsia"/>
          <w:b/>
          <w:sz w:val="32"/>
        </w:rPr>
        <w:t>”</w:t>
      </w:r>
      <w:r>
        <w:rPr>
          <w:rFonts w:ascii="仿宋_GB2312" w:eastAsia="仿宋_GB2312" w:hAnsi="仿宋_GB2312" w:hint="eastAsia"/>
          <w:sz w:val="32"/>
        </w:rPr>
        <w:t>。推动</w:t>
      </w:r>
      <w:r>
        <w:rPr>
          <w:rFonts w:ascii="TimesNewRomanPSMT" w:eastAsia="TimesNewRomanPSMT" w:hAnsi="TimesNewRomanPSMT" w:hint="eastAsia"/>
          <w:sz w:val="32"/>
        </w:rPr>
        <w:t>“</w:t>
      </w:r>
      <w:r>
        <w:rPr>
          <w:rFonts w:ascii="仿宋_GB2312" w:eastAsia="仿宋_GB2312" w:hAnsi="仿宋_GB2312" w:hint="eastAsia"/>
          <w:sz w:val="32"/>
        </w:rPr>
        <w:t>互联网</w:t>
      </w:r>
      <w:r>
        <w:rPr>
          <w:rFonts w:ascii="TimesNewRomanPSMT" w:eastAsia="TimesNewRomanPSMT" w:hAnsi="TimesNewRomanPSMT" w:hint="eastAsia"/>
          <w:sz w:val="32"/>
        </w:rPr>
        <w:t>+</w:t>
      </w:r>
      <w:r>
        <w:rPr>
          <w:rFonts w:ascii="仿宋_GB2312" w:eastAsia="仿宋_GB2312" w:hAnsi="仿宋_GB2312" w:hint="eastAsia"/>
          <w:sz w:val="32"/>
        </w:rPr>
        <w:t>不动产登记</w:t>
      </w:r>
      <w:r>
        <w:rPr>
          <w:rFonts w:ascii="TimesNewRomanPSMT" w:eastAsia="TimesNewRomanPSMT" w:hAnsi="TimesNewRomanPSMT" w:hint="eastAsia"/>
          <w:sz w:val="32"/>
        </w:rPr>
        <w:t>”</w:t>
      </w:r>
      <w:r>
        <w:rPr>
          <w:rFonts w:ascii="仿宋_GB2312" w:eastAsia="仿宋_GB2312" w:hAnsi="仿宋_GB2312" w:hint="eastAsia"/>
          <w:sz w:val="32"/>
        </w:rPr>
        <w:t>智慧化发展，全面构建网上缴费、网上缴税、网上申领电子票据渠道，积极推广证书邮递服务或颁发不动产登记电子证书、电子证明。完善不动产登记网上办理平台功能，优化线上办理操作简洁度，梳理、整合、再造登记业务流程，实现</w:t>
      </w:r>
      <w:r>
        <w:rPr>
          <w:rFonts w:ascii="TimesNewRomanPSMT" w:eastAsia="TimesNewRomanPSMT" w:hAnsi="TimesNewRomanPSMT" w:hint="eastAsia"/>
          <w:sz w:val="32"/>
        </w:rPr>
        <w:t>24</w:t>
      </w:r>
      <w:r>
        <w:rPr>
          <w:rFonts w:ascii="仿宋_GB2312" w:eastAsia="仿宋_GB2312" w:hAnsi="仿宋_GB2312" w:hint="eastAsia"/>
          <w:sz w:val="32"/>
        </w:rPr>
        <w:t>小时不打烊、随时随地可申请。</w:t>
      </w:r>
    </w:p>
    <w:p w14:paraId="0FDAF650"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责任单位：市自然资源和规划局偃师分局、区财政局、区住建局、区政务服务和大数据管理局、区税务局、各镇办，区直各相关单位按职责分工负责</w:t>
      </w:r>
    </w:p>
    <w:p w14:paraId="5E28076B"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12.</w:t>
      </w:r>
      <w:r>
        <w:rPr>
          <w:rFonts w:ascii="仿宋_GB2312" w:eastAsia="仿宋_GB2312" w:hAnsi="仿宋_GB2312" w:hint="eastAsia"/>
          <w:sz w:val="32"/>
        </w:rPr>
        <w:t>全面推行交房即交证。制定切实可行的</w:t>
      </w:r>
      <w:r>
        <w:rPr>
          <w:rFonts w:ascii="TimesNewRomanPSMT" w:eastAsia="TimesNewRomanPSMT" w:hAnsi="TimesNewRomanPSMT" w:hint="eastAsia"/>
          <w:sz w:val="32"/>
        </w:rPr>
        <w:t>“</w:t>
      </w:r>
      <w:r>
        <w:rPr>
          <w:rFonts w:ascii="仿宋_GB2312" w:eastAsia="仿宋_GB2312" w:hAnsi="仿宋_GB2312" w:hint="eastAsia"/>
          <w:sz w:val="32"/>
        </w:rPr>
        <w:t>交房即发证</w:t>
      </w:r>
      <w:r>
        <w:rPr>
          <w:rFonts w:ascii="TimesNewRomanPSMT" w:eastAsia="TimesNewRomanPSMT" w:hAnsi="TimesNewRomanPSMT" w:hint="eastAsia"/>
          <w:sz w:val="32"/>
        </w:rPr>
        <w:t>”</w:t>
      </w:r>
      <w:r>
        <w:rPr>
          <w:rFonts w:ascii="仿宋_GB2312" w:eastAsia="仿宋_GB2312" w:hAnsi="仿宋_GB2312" w:hint="eastAsia"/>
          <w:sz w:val="32"/>
        </w:rPr>
        <w:t>工作方案，指导督促符合条件的开发企业积极申报，主动协调相关部门依照各自职能提前介入、主动服务、并联审批，深化信息共享集成，改造优化业务流程，综合运用</w:t>
      </w:r>
      <w:r>
        <w:rPr>
          <w:rFonts w:ascii="TimesNewRomanPSMT" w:eastAsia="TimesNewRomanPSMT" w:hAnsi="TimesNewRomanPSMT" w:hint="eastAsia"/>
          <w:sz w:val="32"/>
        </w:rPr>
        <w:t>“</w:t>
      </w:r>
      <w:r>
        <w:rPr>
          <w:rFonts w:ascii="仿宋_GB2312" w:eastAsia="仿宋_GB2312" w:hAnsi="仿宋_GB2312" w:hint="eastAsia"/>
          <w:sz w:val="32"/>
        </w:rPr>
        <w:t>互联网</w:t>
      </w:r>
      <w:r>
        <w:rPr>
          <w:rFonts w:ascii="TimesNewRomanPSMT" w:eastAsia="TimesNewRomanPSMT" w:hAnsi="TimesNewRomanPSMT" w:hint="eastAsia"/>
          <w:sz w:val="32"/>
        </w:rPr>
        <w:t>+</w:t>
      </w:r>
      <w:r>
        <w:rPr>
          <w:rFonts w:ascii="仿宋_GB2312" w:eastAsia="仿宋_GB2312" w:hAnsi="仿宋_GB2312" w:hint="eastAsia"/>
          <w:sz w:val="32"/>
        </w:rPr>
        <w:t>不动产登记</w:t>
      </w:r>
      <w:r>
        <w:rPr>
          <w:rFonts w:ascii="TimesNewRomanPSMT" w:eastAsia="TimesNewRomanPSMT" w:hAnsi="TimesNewRomanPSMT" w:hint="eastAsia"/>
          <w:sz w:val="32"/>
        </w:rPr>
        <w:t>”</w:t>
      </w:r>
      <w:r>
        <w:rPr>
          <w:rFonts w:ascii="仿宋_GB2312" w:eastAsia="仿宋_GB2312" w:hAnsi="仿宋_GB2312" w:hint="eastAsia"/>
          <w:sz w:val="32"/>
        </w:rPr>
        <w:t>、网上核税缴税、移动办证等技术手段，实现新建商品房交房的同时即可为购房人办理不动产权证。</w:t>
      </w:r>
    </w:p>
    <w:p w14:paraId="40B18217"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责任单位：市自然资源和规划局偃师分局、区财政局、</w:t>
      </w:r>
      <w:r>
        <w:rPr>
          <w:rFonts w:ascii="仿宋_GB2312" w:eastAsia="仿宋_GB2312" w:hAnsi="仿宋_GB2312" w:hint="eastAsia"/>
          <w:sz w:val="32"/>
        </w:rPr>
        <w:lastRenderedPageBreak/>
        <w:t>区住建局、区税务局、各镇办，区直各相关单位按职责分工负责</w:t>
      </w:r>
    </w:p>
    <w:p w14:paraId="74D88D9C"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13.</w:t>
      </w:r>
      <w:r>
        <w:rPr>
          <w:rFonts w:ascii="仿宋_GB2312" w:eastAsia="仿宋_GB2312" w:hAnsi="仿宋_GB2312" w:hint="eastAsia"/>
          <w:sz w:val="32"/>
        </w:rPr>
        <w:t>降低企业办理不动产登记成本。为减轻企业转移登记成本，激发市场活力，逐步实行企业之间存量非住宅不动产转移登记零成本。</w:t>
      </w:r>
    </w:p>
    <w:p w14:paraId="32BD9109"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责任单位：市自然资源和规划局偃师分局、各镇办，区直各相关单位按职责分工负责</w:t>
      </w:r>
    </w:p>
    <w:p w14:paraId="2D71C762"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14.</w:t>
      </w:r>
      <w:r>
        <w:rPr>
          <w:rFonts w:ascii="仿宋_GB2312" w:eastAsia="仿宋_GB2312" w:hAnsi="仿宋_GB2312" w:hint="eastAsia"/>
          <w:sz w:val="32"/>
        </w:rPr>
        <w:t>持续推进不动产登记</w:t>
      </w:r>
      <w:r>
        <w:rPr>
          <w:rFonts w:ascii="TimesNewRomanPS-BoldMT" w:eastAsia="TimesNewRomanPS-BoldMT" w:hAnsi="TimesNewRomanPS-BoldMT" w:hint="eastAsia"/>
          <w:b/>
          <w:sz w:val="32"/>
        </w:rPr>
        <w:t>“</w:t>
      </w:r>
      <w:r>
        <w:rPr>
          <w:rFonts w:ascii="仿宋_GB2312" w:eastAsia="仿宋_GB2312" w:hAnsi="仿宋_GB2312" w:hint="eastAsia"/>
          <w:sz w:val="32"/>
        </w:rPr>
        <w:t>全豫通办</w:t>
      </w:r>
      <w:r>
        <w:rPr>
          <w:rFonts w:ascii="TimesNewRomanPS-BoldMT" w:eastAsia="TimesNewRomanPS-BoldMT" w:hAnsi="TimesNewRomanPS-BoldMT" w:hint="eastAsia"/>
          <w:b/>
          <w:sz w:val="32"/>
        </w:rPr>
        <w:t>”</w:t>
      </w:r>
      <w:r>
        <w:rPr>
          <w:rFonts w:ascii="仿宋_GB2312" w:eastAsia="仿宋_GB2312" w:hAnsi="仿宋_GB2312" w:hint="eastAsia"/>
          <w:sz w:val="32"/>
        </w:rPr>
        <w:t>改革。加强与省、市级不动产登记网上</w:t>
      </w:r>
      <w:r>
        <w:rPr>
          <w:rFonts w:ascii="TimesNewRomanPSMT" w:eastAsia="TimesNewRomanPSMT" w:hAnsi="TimesNewRomanPSMT" w:hint="eastAsia"/>
          <w:sz w:val="32"/>
        </w:rPr>
        <w:t>“</w:t>
      </w:r>
      <w:r>
        <w:rPr>
          <w:rFonts w:ascii="仿宋_GB2312" w:eastAsia="仿宋_GB2312" w:hAnsi="仿宋_GB2312" w:hint="eastAsia"/>
          <w:sz w:val="32"/>
        </w:rPr>
        <w:t>一窗办事</w:t>
      </w:r>
      <w:r>
        <w:rPr>
          <w:rFonts w:ascii="TimesNewRomanPSMT" w:eastAsia="TimesNewRomanPSMT" w:hAnsi="TimesNewRomanPSMT" w:hint="eastAsia"/>
          <w:sz w:val="32"/>
        </w:rPr>
        <w:t>”</w:t>
      </w:r>
      <w:r>
        <w:rPr>
          <w:rFonts w:ascii="仿宋_GB2312" w:eastAsia="仿宋_GB2312" w:hAnsi="仿宋_GB2312" w:hint="eastAsia"/>
          <w:sz w:val="32"/>
        </w:rPr>
        <w:t>平台对接，实现</w:t>
      </w:r>
      <w:r>
        <w:rPr>
          <w:rFonts w:ascii="TimesNewRomanPSMT" w:eastAsia="TimesNewRomanPSMT" w:hAnsi="TimesNewRomanPSMT" w:hint="eastAsia"/>
          <w:sz w:val="32"/>
        </w:rPr>
        <w:t>“</w:t>
      </w:r>
      <w:r>
        <w:rPr>
          <w:rFonts w:ascii="仿宋_GB2312" w:eastAsia="仿宋_GB2312" w:hAnsi="仿宋_GB2312" w:hint="eastAsia"/>
          <w:sz w:val="32"/>
        </w:rPr>
        <w:t>跨市通办</w:t>
      </w:r>
      <w:r>
        <w:rPr>
          <w:rFonts w:ascii="TimesNewRomanPSMT" w:eastAsia="TimesNewRomanPSMT" w:hAnsi="TimesNewRomanPSMT" w:hint="eastAsia"/>
          <w:sz w:val="32"/>
        </w:rPr>
        <w:t>”</w:t>
      </w:r>
      <w:r>
        <w:rPr>
          <w:rFonts w:ascii="仿宋_GB2312" w:eastAsia="仿宋_GB2312" w:hAnsi="仿宋_GB2312" w:hint="eastAsia"/>
          <w:sz w:val="32"/>
        </w:rPr>
        <w:t>，并逐步达到</w:t>
      </w:r>
      <w:r>
        <w:rPr>
          <w:rFonts w:ascii="TimesNewRomanPSMT" w:eastAsia="TimesNewRomanPSMT" w:hAnsi="TimesNewRomanPSMT" w:hint="eastAsia"/>
          <w:sz w:val="32"/>
        </w:rPr>
        <w:t>“</w:t>
      </w:r>
      <w:r>
        <w:rPr>
          <w:rFonts w:ascii="仿宋_GB2312" w:eastAsia="仿宋_GB2312" w:hAnsi="仿宋_GB2312" w:hint="eastAsia"/>
          <w:sz w:val="32"/>
        </w:rPr>
        <w:t>跨省通办</w:t>
      </w:r>
      <w:r>
        <w:rPr>
          <w:rFonts w:ascii="TimesNewRomanPSMT" w:eastAsia="TimesNewRomanPSMT" w:hAnsi="TimesNewRomanPSMT" w:hint="eastAsia"/>
          <w:sz w:val="32"/>
        </w:rPr>
        <w:t>”</w:t>
      </w:r>
      <w:r>
        <w:rPr>
          <w:rFonts w:ascii="仿宋_GB2312" w:eastAsia="仿宋_GB2312" w:hAnsi="仿宋_GB2312" w:hint="eastAsia"/>
          <w:sz w:val="32"/>
        </w:rPr>
        <w:t>。将</w:t>
      </w:r>
      <w:r>
        <w:rPr>
          <w:rFonts w:ascii="TimesNewRomanPSMT" w:eastAsia="TimesNewRomanPSMT" w:hAnsi="TimesNewRomanPSMT" w:hint="eastAsia"/>
          <w:sz w:val="32"/>
        </w:rPr>
        <w:t>“</w:t>
      </w:r>
      <w:r>
        <w:rPr>
          <w:rFonts w:ascii="仿宋_GB2312" w:eastAsia="仿宋_GB2312" w:hAnsi="仿宋_GB2312" w:hint="eastAsia"/>
          <w:sz w:val="32"/>
        </w:rPr>
        <w:t>全豫通办</w:t>
      </w:r>
      <w:r>
        <w:rPr>
          <w:rFonts w:ascii="TimesNewRomanPSMT" w:eastAsia="TimesNewRomanPSMT" w:hAnsi="TimesNewRomanPSMT" w:hint="eastAsia"/>
          <w:sz w:val="32"/>
        </w:rPr>
        <w:t>”</w:t>
      </w:r>
      <w:r>
        <w:rPr>
          <w:rFonts w:ascii="仿宋_GB2312" w:eastAsia="仿宋_GB2312" w:hAnsi="仿宋_GB2312" w:hint="eastAsia"/>
          <w:sz w:val="32"/>
        </w:rPr>
        <w:t>窗口与</w:t>
      </w:r>
      <w:r>
        <w:rPr>
          <w:rFonts w:ascii="TimesNewRomanPSMT" w:eastAsia="TimesNewRomanPSMT" w:hAnsi="TimesNewRomanPSMT" w:hint="eastAsia"/>
          <w:sz w:val="32"/>
        </w:rPr>
        <w:t>“</w:t>
      </w:r>
      <w:r>
        <w:rPr>
          <w:rFonts w:ascii="仿宋_GB2312" w:eastAsia="仿宋_GB2312" w:hAnsi="仿宋_GB2312" w:hint="eastAsia"/>
          <w:sz w:val="32"/>
        </w:rPr>
        <w:t>综合窗口</w:t>
      </w:r>
      <w:r>
        <w:rPr>
          <w:rFonts w:ascii="TimesNewRomanPSMT" w:eastAsia="TimesNewRomanPSMT" w:hAnsi="TimesNewRomanPSMT" w:hint="eastAsia"/>
          <w:sz w:val="32"/>
        </w:rPr>
        <w:t>”</w:t>
      </w:r>
      <w:r>
        <w:rPr>
          <w:rFonts w:ascii="仿宋_GB2312" w:eastAsia="仿宋_GB2312" w:hAnsi="仿宋_GB2312" w:hint="eastAsia"/>
          <w:sz w:val="32"/>
        </w:rPr>
        <w:t>功能合并，实现无差别受理或收件。</w:t>
      </w:r>
      <w:r>
        <w:rPr>
          <w:rFonts w:ascii="TimesNewRomanPSMT" w:eastAsia="TimesNewRomanPSMT" w:hAnsi="TimesNewRomanPSMT" w:hint="eastAsia"/>
          <w:sz w:val="32"/>
        </w:rPr>
        <w:t>2022</w:t>
      </w:r>
      <w:r>
        <w:rPr>
          <w:rFonts w:ascii="仿宋_GB2312" w:eastAsia="仿宋_GB2312" w:hAnsi="仿宋_GB2312" w:hint="eastAsia"/>
          <w:sz w:val="32"/>
        </w:rPr>
        <w:t>年</w:t>
      </w:r>
      <w:r>
        <w:rPr>
          <w:rFonts w:ascii="TimesNewRomanPSMT" w:eastAsia="TimesNewRomanPSMT" w:hAnsi="TimesNewRomanPSMT" w:hint="eastAsia"/>
          <w:sz w:val="32"/>
        </w:rPr>
        <w:t>12</w:t>
      </w:r>
      <w:r>
        <w:rPr>
          <w:rFonts w:ascii="仿宋_GB2312" w:eastAsia="仿宋_GB2312" w:hAnsi="仿宋_GB2312" w:hint="eastAsia"/>
          <w:sz w:val="32"/>
        </w:rPr>
        <w:t>月，力争全面实现不动产登记、税费缴纳异地可办、</w:t>
      </w:r>
      <w:r>
        <w:rPr>
          <w:rFonts w:ascii="TimesNewRomanPSMT" w:eastAsia="TimesNewRomanPSMT" w:hAnsi="TimesNewRomanPSMT" w:hint="eastAsia"/>
          <w:sz w:val="32"/>
        </w:rPr>
        <w:t>“</w:t>
      </w:r>
      <w:r>
        <w:rPr>
          <w:rFonts w:ascii="仿宋_GB2312" w:eastAsia="仿宋_GB2312" w:hAnsi="仿宋_GB2312" w:hint="eastAsia"/>
          <w:sz w:val="32"/>
        </w:rPr>
        <w:t>全程网办</w:t>
      </w:r>
      <w:r>
        <w:rPr>
          <w:rFonts w:ascii="TimesNewRomanPSMT" w:eastAsia="TimesNewRomanPSMT" w:hAnsi="TimesNewRomanPSMT" w:hint="eastAsia"/>
          <w:sz w:val="32"/>
        </w:rPr>
        <w:t>”</w:t>
      </w:r>
      <w:r>
        <w:rPr>
          <w:rFonts w:ascii="仿宋_GB2312" w:eastAsia="仿宋_GB2312" w:hAnsi="仿宋_GB2312" w:hint="eastAsia"/>
          <w:sz w:val="32"/>
        </w:rPr>
        <w:t>。</w:t>
      </w:r>
    </w:p>
    <w:p w14:paraId="00FACE87"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责任单位：市自然资源和规划局偃师分局、区财政局、区住建局、区税务局、区政务服务和大数据管理局、各镇办，区直各相关单位按职责分工负责</w:t>
      </w:r>
    </w:p>
    <w:p w14:paraId="30D1AEF1"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15.</w:t>
      </w:r>
      <w:r>
        <w:rPr>
          <w:rFonts w:ascii="仿宋_GB2312" w:eastAsia="仿宋_GB2312" w:hAnsi="仿宋_GB2312" w:hint="eastAsia"/>
          <w:sz w:val="32"/>
        </w:rPr>
        <w:t>降低企业参与政府采购成本。推动供应商通过</w:t>
      </w:r>
      <w:r>
        <w:rPr>
          <w:rFonts w:ascii="TimesNewRomanPSMT" w:eastAsia="TimesNewRomanPSMT" w:hAnsi="TimesNewRomanPSMT" w:hint="eastAsia"/>
          <w:sz w:val="32"/>
        </w:rPr>
        <w:t>“</w:t>
      </w:r>
      <w:r>
        <w:rPr>
          <w:rFonts w:ascii="仿宋_GB2312" w:eastAsia="仿宋_GB2312" w:hAnsi="仿宋_GB2312" w:hint="eastAsia"/>
          <w:sz w:val="32"/>
        </w:rPr>
        <w:t>信用</w:t>
      </w:r>
      <w:r>
        <w:rPr>
          <w:rFonts w:ascii="TimesNewRomanPSMT" w:eastAsia="TimesNewRomanPSMT" w:hAnsi="TimesNewRomanPSMT" w:hint="eastAsia"/>
          <w:sz w:val="32"/>
        </w:rPr>
        <w:t>+</w:t>
      </w:r>
      <w:r>
        <w:rPr>
          <w:rFonts w:ascii="仿宋_GB2312" w:eastAsia="仿宋_GB2312" w:hAnsi="仿宋_GB2312" w:hint="eastAsia"/>
          <w:sz w:val="32"/>
        </w:rPr>
        <w:t>承诺</w:t>
      </w:r>
      <w:r>
        <w:rPr>
          <w:rFonts w:ascii="TimesNewRomanPSMT" w:eastAsia="TimesNewRomanPSMT" w:hAnsi="TimesNewRomanPSMT" w:hint="eastAsia"/>
          <w:sz w:val="32"/>
        </w:rPr>
        <w:t>”</w:t>
      </w:r>
      <w:r>
        <w:rPr>
          <w:rFonts w:ascii="仿宋_GB2312" w:eastAsia="仿宋_GB2312" w:hAnsi="仿宋_GB2312" w:hint="eastAsia"/>
          <w:sz w:val="32"/>
        </w:rPr>
        <w:t>形式注册进驻网上商城，进一步全面取消履约保证金、质量保证金，实现企业零成本参加政府采购活动。提高政府采购首付款比例，首付款比例原则上不低于合同金额的</w:t>
      </w:r>
      <w:r>
        <w:rPr>
          <w:rFonts w:ascii="TimesNewRomanPSMT" w:eastAsia="TimesNewRomanPSMT" w:hAnsi="TimesNewRomanPSMT" w:hint="eastAsia"/>
          <w:sz w:val="32"/>
        </w:rPr>
        <w:t>50%</w:t>
      </w:r>
      <w:r>
        <w:rPr>
          <w:rFonts w:ascii="仿宋_GB2312" w:eastAsia="仿宋_GB2312" w:hAnsi="仿宋_GB2312" w:hint="eastAsia"/>
          <w:sz w:val="32"/>
        </w:rPr>
        <w:t>；对于中小企业，首付款支付比例原则上不低于合同金额的</w:t>
      </w:r>
      <w:r>
        <w:rPr>
          <w:rFonts w:ascii="TimesNewRomanPSMT" w:eastAsia="TimesNewRomanPSMT" w:hAnsi="TimesNewRomanPSMT" w:hint="eastAsia"/>
          <w:sz w:val="32"/>
        </w:rPr>
        <w:t>70%</w:t>
      </w:r>
      <w:r>
        <w:rPr>
          <w:rFonts w:ascii="仿宋_GB2312" w:eastAsia="仿宋_GB2312" w:hAnsi="仿宋_GB2312" w:hint="eastAsia"/>
          <w:sz w:val="32"/>
        </w:rPr>
        <w:t>。加快政府采购资金支付进度，满足合同约定支付条件的，采购人应当根据合同约定，自收到发票或验收合格</w:t>
      </w:r>
      <w:r>
        <w:rPr>
          <w:rFonts w:ascii="仿宋_GB2312" w:eastAsia="仿宋_GB2312" w:hAnsi="仿宋_GB2312" w:hint="eastAsia"/>
          <w:sz w:val="32"/>
        </w:rPr>
        <w:lastRenderedPageBreak/>
        <w:t>后</w:t>
      </w:r>
      <w:r>
        <w:rPr>
          <w:rFonts w:ascii="TimesNewRomanPSMT" w:eastAsia="TimesNewRomanPSMT" w:hAnsi="TimesNewRomanPSMT" w:hint="eastAsia"/>
          <w:sz w:val="32"/>
        </w:rPr>
        <w:t>5</w:t>
      </w:r>
      <w:r>
        <w:rPr>
          <w:rFonts w:ascii="仿宋_GB2312" w:eastAsia="仿宋_GB2312" w:hAnsi="仿宋_GB2312" w:hint="eastAsia"/>
          <w:sz w:val="32"/>
        </w:rPr>
        <w:t>日内，将资金支付到合同约定的供应商账户。</w:t>
      </w:r>
    </w:p>
    <w:p w14:paraId="7731193B"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责任单位：区财政局、各镇办，区直各部门</w:t>
      </w:r>
    </w:p>
    <w:p w14:paraId="31A1F54B"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16.</w:t>
      </w:r>
      <w:r>
        <w:rPr>
          <w:rFonts w:ascii="仿宋_GB2312" w:eastAsia="仿宋_GB2312" w:hAnsi="仿宋_GB2312" w:hint="eastAsia"/>
          <w:sz w:val="32"/>
        </w:rPr>
        <w:t>扩大</w:t>
      </w:r>
      <w:r>
        <w:rPr>
          <w:rFonts w:ascii="TimesNewRomanPS-BoldMT" w:eastAsia="TimesNewRomanPS-BoldMT" w:hAnsi="TimesNewRomanPS-BoldMT" w:hint="eastAsia"/>
          <w:b/>
          <w:sz w:val="32"/>
        </w:rPr>
        <w:t>“</w:t>
      </w:r>
      <w:r>
        <w:rPr>
          <w:rFonts w:ascii="仿宋_GB2312" w:eastAsia="仿宋_GB2312" w:hAnsi="仿宋_GB2312" w:hint="eastAsia"/>
          <w:sz w:val="32"/>
        </w:rPr>
        <w:t>政采贷</w:t>
      </w:r>
      <w:r>
        <w:rPr>
          <w:rFonts w:ascii="TimesNewRomanPS-BoldMT" w:eastAsia="TimesNewRomanPS-BoldMT" w:hAnsi="TimesNewRomanPS-BoldMT" w:hint="eastAsia"/>
          <w:b/>
          <w:sz w:val="32"/>
        </w:rPr>
        <w:t>”</w:t>
      </w:r>
      <w:r>
        <w:rPr>
          <w:rFonts w:ascii="仿宋_GB2312" w:eastAsia="仿宋_GB2312" w:hAnsi="仿宋_GB2312" w:hint="eastAsia"/>
          <w:sz w:val="32"/>
        </w:rPr>
        <w:t>融资规模。强化政府采购合同管理，加快实现市县政府采购与资金支付系统的衔接，健全与金融机构的合作机制，拓宽企业融资渠道，扩大政府采购供应商融资规模，力争</w:t>
      </w:r>
      <w:r>
        <w:rPr>
          <w:rFonts w:ascii="TimesNewRomanPSMT" w:eastAsia="TimesNewRomanPSMT" w:hAnsi="TimesNewRomanPSMT" w:hint="eastAsia"/>
          <w:sz w:val="32"/>
        </w:rPr>
        <w:t>2022</w:t>
      </w:r>
      <w:r>
        <w:rPr>
          <w:rFonts w:ascii="仿宋_GB2312" w:eastAsia="仿宋_GB2312" w:hAnsi="仿宋_GB2312" w:hint="eastAsia"/>
          <w:sz w:val="32"/>
        </w:rPr>
        <w:t>年政府采购合同融资规模增长不低于</w:t>
      </w:r>
      <w:r>
        <w:rPr>
          <w:rFonts w:ascii="TimesNewRomanPSMT" w:eastAsia="TimesNewRomanPSMT" w:hAnsi="TimesNewRomanPSMT" w:hint="eastAsia"/>
          <w:sz w:val="32"/>
        </w:rPr>
        <w:t>50%</w:t>
      </w:r>
      <w:r>
        <w:rPr>
          <w:rFonts w:ascii="仿宋_GB2312" w:eastAsia="仿宋_GB2312" w:hAnsi="仿宋_GB2312" w:hint="eastAsia"/>
          <w:sz w:val="32"/>
        </w:rPr>
        <w:t>。推进政府采购履约保函、预付款保函等金融产品在线供给。</w:t>
      </w:r>
    </w:p>
    <w:p w14:paraId="2D4BFC10"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责任单位：区财政局、区直各部门</w:t>
      </w:r>
    </w:p>
    <w:p w14:paraId="5711C608"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17.</w:t>
      </w:r>
      <w:r>
        <w:rPr>
          <w:rFonts w:ascii="仿宋_GB2312" w:eastAsia="仿宋_GB2312" w:hAnsi="仿宋_GB2312" w:hint="eastAsia"/>
          <w:sz w:val="32"/>
        </w:rPr>
        <w:t>保障政府采购相关企业公平参与竞争。维护企业公平竞争，持续清理取消通过备选库、名录库、资格库等非必要条件排除和限制竞争的行为。严格落实《河南省财政厅关于防范供应商串通投标促进政府采购公平竞争的通知》，运用交易</w:t>
      </w:r>
      <w:r>
        <w:rPr>
          <w:rFonts w:ascii="TimesNewRomanPSMT" w:eastAsia="TimesNewRomanPSMT" w:hAnsi="TimesNewRomanPSMT" w:hint="eastAsia"/>
          <w:sz w:val="32"/>
        </w:rPr>
        <w:t>“</w:t>
      </w:r>
      <w:r>
        <w:rPr>
          <w:rFonts w:ascii="仿宋_GB2312" w:eastAsia="仿宋_GB2312" w:hAnsi="仿宋_GB2312" w:hint="eastAsia"/>
          <w:sz w:val="32"/>
        </w:rPr>
        <w:t>大数据</w:t>
      </w:r>
      <w:r>
        <w:rPr>
          <w:rFonts w:ascii="TimesNewRomanPSMT" w:eastAsia="TimesNewRomanPSMT" w:hAnsi="TimesNewRomanPSMT" w:hint="eastAsia"/>
          <w:sz w:val="32"/>
        </w:rPr>
        <w:t>+</w:t>
      </w:r>
      <w:r>
        <w:rPr>
          <w:rFonts w:ascii="仿宋_GB2312" w:eastAsia="仿宋_GB2312" w:hAnsi="仿宋_GB2312" w:hint="eastAsia"/>
          <w:sz w:val="32"/>
        </w:rPr>
        <w:t>联合惩戒</w:t>
      </w:r>
      <w:r>
        <w:rPr>
          <w:rFonts w:ascii="TimesNewRomanPSMT" w:eastAsia="TimesNewRomanPSMT" w:hAnsi="TimesNewRomanPSMT" w:hint="eastAsia"/>
          <w:sz w:val="32"/>
        </w:rPr>
        <w:t>”</w:t>
      </w:r>
      <w:r>
        <w:rPr>
          <w:rFonts w:ascii="仿宋_GB2312" w:eastAsia="仿宋_GB2312" w:hAnsi="仿宋_GB2312" w:hint="eastAsia"/>
          <w:sz w:val="32"/>
        </w:rPr>
        <w:t>模式，加强串通投标预警行为，防范和惩治供应商通过串通投标的方式排挤竞争对手，影响企业公平竞争的行为，促进政府采购公平竞争。完善对未中标（成交）供应商原因告知机制。</w:t>
      </w:r>
    </w:p>
    <w:p w14:paraId="5FE7010A"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责任单位：区财政局、区直各部门</w:t>
      </w:r>
    </w:p>
    <w:p w14:paraId="3C1FB832" w14:textId="77777777" w:rsidR="00C97237" w:rsidRDefault="00000000">
      <w:pPr>
        <w:ind w:firstLineChars="200" w:firstLine="640"/>
        <w:jc w:val="left"/>
        <w:rPr>
          <w:rFonts w:ascii="楷体_GB2312" w:eastAsia="楷体_GB2312" w:hAnsi="楷体_GB2312"/>
          <w:sz w:val="32"/>
        </w:rPr>
      </w:pPr>
      <w:r>
        <w:rPr>
          <w:rFonts w:ascii="楷体_GB2312" w:eastAsia="楷体_GB2312" w:hAnsi="楷体_GB2312" w:hint="eastAsia"/>
          <w:sz w:val="32"/>
        </w:rPr>
        <w:t>（二）快速提升市场服务便利化水平</w:t>
      </w:r>
    </w:p>
    <w:p w14:paraId="27EA2EA8"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主要目标：</w:t>
      </w:r>
      <w:r>
        <w:rPr>
          <w:rFonts w:ascii="TimesNewRomanPSMT" w:eastAsia="TimesNewRomanPSMT" w:hAnsi="TimesNewRomanPSMT" w:hint="eastAsia"/>
          <w:sz w:val="32"/>
        </w:rPr>
        <w:t>2022</w:t>
      </w:r>
      <w:r>
        <w:rPr>
          <w:rFonts w:ascii="仿宋_GB2312" w:eastAsia="仿宋_GB2312" w:hAnsi="仿宋_GB2312" w:hint="eastAsia"/>
          <w:sz w:val="32"/>
        </w:rPr>
        <w:t>年底前，普通高压客户参与用电报装不超</w:t>
      </w:r>
      <w:r>
        <w:rPr>
          <w:rFonts w:ascii="TimesNewRomanPSMT" w:hAnsi="TimesNewRomanPSMT" w:hint="eastAsia"/>
          <w:sz w:val="32"/>
        </w:rPr>
        <w:t>过</w:t>
      </w:r>
      <w:r>
        <w:rPr>
          <w:rFonts w:ascii="TimesNewRomanPSMT" w:eastAsia="TimesNewRomanPSMT" w:hAnsi="TimesNewRomanPSMT" w:hint="eastAsia"/>
          <w:sz w:val="32"/>
        </w:rPr>
        <w:t>4</w:t>
      </w:r>
      <w:r>
        <w:rPr>
          <w:rFonts w:ascii="仿宋_GB2312" w:eastAsia="仿宋_GB2312" w:hAnsi="仿宋_GB2312" w:hint="eastAsia"/>
          <w:sz w:val="32"/>
        </w:rPr>
        <w:t>个环节，用水用气办理时限压缩至</w:t>
      </w:r>
      <w:r>
        <w:rPr>
          <w:rFonts w:ascii="TimesNewRomanPSMT" w:eastAsia="TimesNewRomanPSMT" w:hAnsi="TimesNewRomanPSMT" w:hint="eastAsia"/>
          <w:sz w:val="32"/>
        </w:rPr>
        <w:t>1</w:t>
      </w:r>
      <w:r>
        <w:rPr>
          <w:rFonts w:ascii="仿宋_GB2312" w:eastAsia="仿宋_GB2312" w:hAnsi="仿宋_GB2312" w:hint="eastAsia"/>
          <w:sz w:val="32"/>
        </w:rPr>
        <w:t>个工作日，普惠型小微企业贷款增速不低于各项贷款增速。持续加快出口退</w:t>
      </w:r>
      <w:r>
        <w:rPr>
          <w:rFonts w:ascii="仿宋_GB2312" w:eastAsia="仿宋_GB2312" w:hAnsi="仿宋_GB2312" w:hint="eastAsia"/>
          <w:sz w:val="32"/>
        </w:rPr>
        <w:lastRenderedPageBreak/>
        <w:t>税进度，办理正常出口退税的平均时间压缩至</w:t>
      </w:r>
      <w:r>
        <w:rPr>
          <w:rFonts w:ascii="TimesNewRomanPSMT" w:eastAsia="TimesNewRomanPSMT" w:hAnsi="TimesNewRomanPSMT" w:hint="eastAsia"/>
          <w:sz w:val="32"/>
        </w:rPr>
        <w:t>6</w:t>
      </w:r>
      <w:r>
        <w:rPr>
          <w:rFonts w:ascii="仿宋_GB2312" w:eastAsia="仿宋_GB2312" w:hAnsi="仿宋_GB2312" w:hint="eastAsia"/>
          <w:sz w:val="32"/>
        </w:rPr>
        <w:t>个工作日以内。招投标领域，实现市场主体</w:t>
      </w:r>
      <w:r>
        <w:rPr>
          <w:rFonts w:ascii="TimesNewRomanPSMT" w:eastAsia="TimesNewRomanPSMT" w:hAnsi="TimesNewRomanPSMT" w:hint="eastAsia"/>
          <w:sz w:val="32"/>
        </w:rPr>
        <w:t>“</w:t>
      </w:r>
      <w:r>
        <w:rPr>
          <w:rFonts w:ascii="仿宋_GB2312" w:eastAsia="仿宋_GB2312" w:hAnsi="仿宋_GB2312" w:hint="eastAsia"/>
          <w:sz w:val="32"/>
        </w:rPr>
        <w:t>一处注册、全省通用</w:t>
      </w:r>
      <w:r>
        <w:rPr>
          <w:rFonts w:ascii="TimesNewRomanPSMT" w:eastAsia="TimesNewRomanPSMT" w:hAnsi="TimesNewRomanPSMT" w:hint="eastAsia"/>
          <w:sz w:val="32"/>
        </w:rPr>
        <w:t>”</w:t>
      </w:r>
      <w:r>
        <w:rPr>
          <w:rFonts w:ascii="仿宋_GB2312" w:eastAsia="仿宋_GB2312" w:hAnsi="仿宋_GB2312" w:hint="eastAsia"/>
          <w:sz w:val="32"/>
        </w:rPr>
        <w:t>、远程异地评标常态化，服务和监管成效明显提升。</w:t>
      </w:r>
    </w:p>
    <w:p w14:paraId="5E0CAA5D"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18.</w:t>
      </w:r>
      <w:r>
        <w:rPr>
          <w:rFonts w:ascii="仿宋_GB2312" w:eastAsia="仿宋_GB2312" w:hAnsi="仿宋_GB2312" w:hint="eastAsia"/>
          <w:sz w:val="32"/>
        </w:rPr>
        <w:t>提升办电效率。提升线上用电报装服务，加强政务服务平台线上办电功能集成，实施业扩报装全渠道同质化管理。深化内外部系统数据交叉复用，全面推进</w:t>
      </w:r>
      <w:r>
        <w:rPr>
          <w:rFonts w:ascii="TimesNewRomanPSMT" w:eastAsia="TimesNewRomanPSMT" w:hAnsi="TimesNewRomanPSMT" w:hint="eastAsia"/>
          <w:sz w:val="32"/>
        </w:rPr>
        <w:t>“</w:t>
      </w:r>
      <w:r>
        <w:rPr>
          <w:rFonts w:ascii="仿宋_GB2312" w:eastAsia="仿宋_GB2312" w:hAnsi="仿宋_GB2312" w:hint="eastAsia"/>
          <w:sz w:val="32"/>
        </w:rPr>
        <w:t>阳光业扩</w:t>
      </w:r>
      <w:r>
        <w:rPr>
          <w:rFonts w:ascii="TimesNewRomanPSMT" w:eastAsia="TimesNewRomanPSMT" w:hAnsi="TimesNewRomanPSMT" w:hint="eastAsia"/>
          <w:sz w:val="32"/>
        </w:rPr>
        <w:t>”</w:t>
      </w:r>
      <w:r>
        <w:rPr>
          <w:rFonts w:ascii="仿宋_GB2312" w:eastAsia="仿宋_GB2312" w:hAnsi="仿宋_GB2312" w:hint="eastAsia"/>
          <w:sz w:val="32"/>
        </w:rPr>
        <w:t>一站通平台建设应用。压减用电报装环节，普通高压客户参与用电报装不超过</w:t>
      </w:r>
      <w:r>
        <w:rPr>
          <w:rFonts w:ascii="TimesNewRomanPSMT" w:eastAsia="TimesNewRomanPSMT" w:hAnsi="TimesNewRomanPSMT" w:hint="eastAsia"/>
          <w:sz w:val="32"/>
        </w:rPr>
        <w:t>4</w:t>
      </w:r>
      <w:r>
        <w:rPr>
          <w:rFonts w:ascii="仿宋_GB2312" w:eastAsia="仿宋_GB2312" w:hAnsi="仿宋_GB2312" w:hint="eastAsia"/>
          <w:sz w:val="32"/>
        </w:rPr>
        <w:t>个环节。加快政企协同办电信息共享平台建设应用，实行行政审批申请</w:t>
      </w:r>
      <w:r>
        <w:rPr>
          <w:rFonts w:ascii="TimesNewRomanPSMT" w:eastAsia="TimesNewRomanPSMT" w:hAnsi="TimesNewRomanPSMT" w:hint="eastAsia"/>
          <w:sz w:val="32"/>
        </w:rPr>
        <w:t>“</w:t>
      </w:r>
      <w:r>
        <w:rPr>
          <w:rFonts w:ascii="仿宋_GB2312" w:eastAsia="仿宋_GB2312" w:hAnsi="仿宋_GB2312" w:hint="eastAsia"/>
          <w:sz w:val="32"/>
        </w:rPr>
        <w:t>一窗受理</w:t>
      </w:r>
      <w:r>
        <w:rPr>
          <w:rFonts w:ascii="TimesNewRomanPSMT" w:eastAsia="TimesNewRomanPSMT" w:hAnsi="TimesNewRomanPSMT" w:hint="eastAsia"/>
          <w:sz w:val="32"/>
        </w:rPr>
        <w:t>”</w:t>
      </w:r>
      <w:r>
        <w:rPr>
          <w:rFonts w:ascii="仿宋_GB2312" w:eastAsia="仿宋_GB2312" w:hAnsi="仿宋_GB2312" w:hint="eastAsia"/>
          <w:sz w:val="32"/>
        </w:rPr>
        <w:t>，居民用户</w:t>
      </w:r>
      <w:r>
        <w:rPr>
          <w:rFonts w:ascii="TimesNewRomanPSMT" w:eastAsia="TimesNewRomanPSMT" w:hAnsi="TimesNewRomanPSMT" w:hint="eastAsia"/>
          <w:sz w:val="32"/>
        </w:rPr>
        <w:t>“</w:t>
      </w:r>
      <w:r>
        <w:rPr>
          <w:rFonts w:ascii="仿宋_GB2312" w:eastAsia="仿宋_GB2312" w:hAnsi="仿宋_GB2312" w:hint="eastAsia"/>
          <w:sz w:val="32"/>
        </w:rPr>
        <w:t>刷脸办电</w:t>
      </w:r>
      <w:r>
        <w:rPr>
          <w:rFonts w:ascii="TimesNewRomanPSMT" w:eastAsia="TimesNewRomanPSMT" w:hAnsi="TimesNewRomanPSMT" w:hint="eastAsia"/>
          <w:sz w:val="32"/>
        </w:rPr>
        <w:t>”</w:t>
      </w:r>
      <w:r>
        <w:rPr>
          <w:rFonts w:ascii="仿宋_GB2312" w:eastAsia="仿宋_GB2312" w:hAnsi="仿宋_GB2312" w:hint="eastAsia"/>
          <w:sz w:val="32"/>
        </w:rPr>
        <w:t>、企业用户</w:t>
      </w:r>
      <w:r>
        <w:rPr>
          <w:rFonts w:ascii="TimesNewRomanPSMT" w:eastAsia="TimesNewRomanPSMT" w:hAnsi="TimesNewRomanPSMT" w:hint="eastAsia"/>
          <w:sz w:val="32"/>
        </w:rPr>
        <w:t>“</w:t>
      </w:r>
      <w:r>
        <w:rPr>
          <w:rFonts w:ascii="仿宋_GB2312" w:eastAsia="仿宋_GB2312" w:hAnsi="仿宋_GB2312" w:hint="eastAsia"/>
          <w:sz w:val="32"/>
        </w:rPr>
        <w:t>一证办电</w:t>
      </w:r>
      <w:r>
        <w:rPr>
          <w:rFonts w:ascii="TimesNewRomanPSMT" w:eastAsia="TimesNewRomanPSMT" w:hAnsi="TimesNewRomanPSMT" w:hint="eastAsia"/>
          <w:sz w:val="32"/>
        </w:rPr>
        <w:t>”</w:t>
      </w:r>
      <w:r>
        <w:rPr>
          <w:rFonts w:ascii="仿宋_GB2312" w:eastAsia="仿宋_GB2312" w:hAnsi="仿宋_GB2312" w:hint="eastAsia"/>
          <w:sz w:val="32"/>
        </w:rPr>
        <w:t>、联办部门可推送材料线上免提报。</w:t>
      </w:r>
    </w:p>
    <w:p w14:paraId="26F088A1"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责任单位：区发展改革委、区政务服务和大数据管理局、区市场监管局、洛阳市公安局偃师分局、区住建局、区供电公司按职责分工负责</w:t>
      </w:r>
    </w:p>
    <w:p w14:paraId="74B64FF8"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19.</w:t>
      </w:r>
      <w:r>
        <w:rPr>
          <w:rFonts w:ascii="仿宋_GB2312" w:eastAsia="仿宋_GB2312" w:hAnsi="仿宋_GB2312" w:hint="eastAsia"/>
          <w:sz w:val="32"/>
        </w:rPr>
        <w:t>提升供水供气效率。整合优化水、气报装流程，统一设置为报装开通</w:t>
      </w:r>
      <w:r>
        <w:rPr>
          <w:rFonts w:ascii="TimesNewRomanPSMT" w:eastAsia="TimesNewRomanPSMT" w:hAnsi="TimesNewRomanPSMT" w:hint="eastAsia"/>
          <w:sz w:val="32"/>
        </w:rPr>
        <w:t>1</w:t>
      </w:r>
      <w:r>
        <w:rPr>
          <w:rFonts w:ascii="仿宋_GB2312" w:eastAsia="仿宋_GB2312" w:hAnsi="仿宋_GB2312" w:hint="eastAsia"/>
          <w:sz w:val="32"/>
        </w:rPr>
        <w:t>个环节，压缩办理时间，水、气经营企业内部审批办理时限不得超过</w:t>
      </w:r>
      <w:r>
        <w:rPr>
          <w:rFonts w:ascii="TimesNewRomanPSMT" w:eastAsia="TimesNewRomanPSMT" w:hAnsi="TimesNewRomanPSMT" w:hint="eastAsia"/>
          <w:sz w:val="32"/>
        </w:rPr>
        <w:t>1</w:t>
      </w:r>
      <w:r>
        <w:rPr>
          <w:rFonts w:ascii="仿宋_GB2312" w:eastAsia="仿宋_GB2312" w:hAnsi="仿宋_GB2312" w:hint="eastAsia"/>
          <w:sz w:val="32"/>
        </w:rPr>
        <w:t>个工作日。探索社会投资小型低风险工程建设项目的配套水、气接入工程零审批。建立各项收费及费用分摊相关信息公示制度，对符合政策规定的可保留收费项目，列出清单，实行明码标价，做到清单之外无收费。</w:t>
      </w:r>
    </w:p>
    <w:p w14:paraId="1126C1E0"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责任单位：区城市管理局、区发展改革委、区市场监管局按职责分工负责</w:t>
      </w:r>
    </w:p>
    <w:p w14:paraId="16E86DB1"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lastRenderedPageBreak/>
        <w:t>20.</w:t>
      </w:r>
      <w:r>
        <w:rPr>
          <w:rFonts w:ascii="仿宋_GB2312" w:eastAsia="仿宋_GB2312" w:hAnsi="仿宋_GB2312" w:hint="eastAsia"/>
          <w:sz w:val="32"/>
        </w:rPr>
        <w:t>强化企业信贷支持。加强再贷款再贴现投放力度，落实好两项直达工具的接续转换工作。提高货币政策工具的精准性、普惠性，引导金融机构加大对民营、小微和涉农等重点领域的信贷支持，着力扩大普惠金融覆盖面，确保偃师银行业金融机构</w:t>
      </w:r>
      <w:r>
        <w:rPr>
          <w:rFonts w:ascii="TimesNewRomanPSMT" w:eastAsia="TimesNewRomanPSMT" w:hAnsi="TimesNewRomanPSMT" w:hint="eastAsia"/>
          <w:sz w:val="32"/>
        </w:rPr>
        <w:t>2022</w:t>
      </w:r>
      <w:r>
        <w:rPr>
          <w:rFonts w:ascii="仿宋_GB2312" w:eastAsia="仿宋_GB2312" w:hAnsi="仿宋_GB2312" w:hint="eastAsia"/>
          <w:sz w:val="32"/>
        </w:rPr>
        <w:t>年普惠型小微企业贷款</w:t>
      </w:r>
      <w:r>
        <w:rPr>
          <w:rFonts w:ascii="TimesNewRomanPSMT" w:eastAsia="TimesNewRomanPSMT" w:hAnsi="TimesNewRomanPSMT" w:hint="eastAsia"/>
          <w:sz w:val="32"/>
        </w:rPr>
        <w:t>“</w:t>
      </w:r>
      <w:r>
        <w:rPr>
          <w:rFonts w:ascii="仿宋_GB2312" w:eastAsia="仿宋_GB2312" w:hAnsi="仿宋_GB2312" w:hint="eastAsia"/>
          <w:sz w:val="32"/>
        </w:rPr>
        <w:t>两增</w:t>
      </w:r>
      <w:r>
        <w:rPr>
          <w:rFonts w:ascii="TimesNewRomanPSMT" w:eastAsia="TimesNewRomanPSMT" w:hAnsi="TimesNewRomanPSMT" w:hint="eastAsia"/>
          <w:sz w:val="32"/>
        </w:rPr>
        <w:t>”</w:t>
      </w:r>
      <w:r>
        <w:rPr>
          <w:rFonts w:ascii="仿宋_GB2312" w:eastAsia="仿宋_GB2312" w:hAnsi="仿宋_GB2312" w:hint="eastAsia"/>
          <w:sz w:val="32"/>
        </w:rPr>
        <w:t>。加强信用信息共享应用，推广</w:t>
      </w:r>
      <w:r>
        <w:rPr>
          <w:rFonts w:ascii="TimesNewRomanPSMT" w:eastAsia="TimesNewRomanPSMT" w:hAnsi="TimesNewRomanPSMT" w:hint="eastAsia"/>
          <w:sz w:val="32"/>
        </w:rPr>
        <w:t>“</w:t>
      </w:r>
      <w:r>
        <w:rPr>
          <w:rFonts w:ascii="仿宋_GB2312" w:eastAsia="仿宋_GB2312" w:hAnsi="仿宋_GB2312" w:hint="eastAsia"/>
          <w:sz w:val="32"/>
        </w:rPr>
        <w:t>信易贷</w:t>
      </w:r>
      <w:r>
        <w:rPr>
          <w:rFonts w:ascii="TimesNewRomanPSMT" w:eastAsia="TimesNewRomanPSMT" w:hAnsi="TimesNewRomanPSMT" w:hint="eastAsia"/>
          <w:sz w:val="32"/>
        </w:rPr>
        <w:t>”</w:t>
      </w:r>
      <w:r>
        <w:rPr>
          <w:rFonts w:ascii="仿宋_GB2312" w:eastAsia="仿宋_GB2312" w:hAnsi="仿宋_GB2312" w:hint="eastAsia"/>
          <w:sz w:val="32"/>
        </w:rPr>
        <w:t>融资模式，提高企业贷款可得性和便利度。聚焦全区制造业</w:t>
      </w:r>
      <w:r>
        <w:rPr>
          <w:rFonts w:ascii="Times New Roman" w:eastAsia="仿宋_GB2312" w:hAnsi="Times New Roman" w:cs="Times New Roman" w:hint="eastAsia"/>
          <w:bCs/>
          <w:snapToGrid w:val="0"/>
          <w:kern w:val="0"/>
          <w:sz w:val="32"/>
          <w:szCs w:val="32"/>
          <w:shd w:val="clear" w:color="auto" w:fill="FFFFFF"/>
        </w:rPr>
        <w:t>8</w:t>
      </w:r>
      <w:r>
        <w:rPr>
          <w:rFonts w:ascii="Times New Roman" w:eastAsia="仿宋_GB2312" w:hAnsi="Times New Roman" w:cs="Times New Roman"/>
          <w:bCs/>
          <w:snapToGrid w:val="0"/>
          <w:kern w:val="0"/>
          <w:sz w:val="32"/>
          <w:szCs w:val="32"/>
          <w:shd w:val="clear" w:color="auto" w:fill="FFFFFF"/>
        </w:rPr>
        <w:t>条优势</w:t>
      </w:r>
      <w:r>
        <w:rPr>
          <w:rFonts w:ascii="仿宋_GB2312" w:eastAsia="仿宋_GB2312" w:hAnsi="仿宋_GB2312" w:hint="eastAsia"/>
          <w:sz w:val="32"/>
        </w:rPr>
        <w:t>产业链条，引导银行业机构主动对接服务融资，增加对先进制造业、战略性新兴产业等中长期信贷支持，推动制造业中长期贷款实现稳步增长。</w:t>
      </w:r>
    </w:p>
    <w:p w14:paraId="6DC4E56E"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责任单位：人民银行偃师支行、区发展改革委、区金融工作局、偃师银保监组按职责分工负责</w:t>
      </w:r>
    </w:p>
    <w:p w14:paraId="35A2ADC3"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21.</w:t>
      </w:r>
      <w:r>
        <w:rPr>
          <w:rFonts w:ascii="仿宋_GB2312" w:eastAsia="仿宋_GB2312" w:hAnsi="仿宋_GB2312" w:hint="eastAsia"/>
          <w:sz w:val="32"/>
        </w:rPr>
        <w:t>降低企业融资成本。推动法人金融机构完善内部转移定价机制（</w:t>
      </w:r>
      <w:r>
        <w:rPr>
          <w:rFonts w:ascii="TimesNewRomanPSMT" w:eastAsia="TimesNewRomanPSMT" w:hAnsi="TimesNewRomanPSMT" w:hint="eastAsia"/>
          <w:sz w:val="32"/>
        </w:rPr>
        <w:t>FTP</w:t>
      </w:r>
      <w:r>
        <w:rPr>
          <w:rFonts w:ascii="仿宋_GB2312" w:eastAsia="仿宋_GB2312" w:hAnsi="仿宋_GB2312" w:hint="eastAsia"/>
          <w:sz w:val="32"/>
        </w:rPr>
        <w:t>），将</w:t>
      </w:r>
      <w:r>
        <w:rPr>
          <w:rFonts w:ascii="TimesNewRomanPSMT" w:eastAsia="TimesNewRomanPSMT" w:hAnsi="TimesNewRomanPSMT" w:hint="eastAsia"/>
          <w:sz w:val="32"/>
        </w:rPr>
        <w:t xml:space="preserve">LPR </w:t>
      </w:r>
      <w:r>
        <w:rPr>
          <w:rFonts w:ascii="仿宋_GB2312" w:eastAsia="仿宋_GB2312" w:hAnsi="仿宋_GB2312" w:hint="eastAsia"/>
          <w:sz w:val="32"/>
        </w:rPr>
        <w:t>内嵌到内部价格传导机制，进一步畅通利率传导渠道，巩固实际贷款利率下降成果。指导金融机构严格执行协议存款起存金额和存款期限要求，监督放贷机构按要求明示贷款年化利率，加强对普惠型小微企业贷款利率实时监测。督促各银行业机构按照商业可持续、</w:t>
      </w:r>
      <w:r>
        <w:rPr>
          <w:rFonts w:ascii="TimesNewRomanPSMT" w:eastAsia="TimesNewRomanPSMT" w:hAnsi="TimesNewRomanPSMT" w:hint="eastAsia"/>
          <w:sz w:val="32"/>
        </w:rPr>
        <w:t>“</w:t>
      </w:r>
      <w:r>
        <w:rPr>
          <w:rFonts w:ascii="仿宋_GB2312" w:eastAsia="仿宋_GB2312" w:hAnsi="仿宋_GB2312" w:hint="eastAsia"/>
          <w:sz w:val="32"/>
        </w:rPr>
        <w:t>保本微利</w:t>
      </w:r>
      <w:r>
        <w:rPr>
          <w:rFonts w:ascii="TimesNewRomanPSMT" w:eastAsia="TimesNewRomanPSMT" w:hAnsi="TimesNewRomanPSMT" w:hint="eastAsia"/>
          <w:sz w:val="32"/>
        </w:rPr>
        <w:t>”</w:t>
      </w:r>
      <w:r>
        <w:rPr>
          <w:rFonts w:ascii="仿宋_GB2312" w:eastAsia="仿宋_GB2312" w:hAnsi="仿宋_GB2312" w:hint="eastAsia"/>
          <w:sz w:val="32"/>
        </w:rPr>
        <w:t>原则，合理确定小微企业贷款利率，确保</w:t>
      </w:r>
      <w:r>
        <w:rPr>
          <w:rFonts w:ascii="TimesNewRomanPSMT" w:eastAsia="TimesNewRomanPSMT" w:hAnsi="TimesNewRomanPSMT" w:hint="eastAsia"/>
          <w:sz w:val="32"/>
        </w:rPr>
        <w:t>2022</w:t>
      </w:r>
      <w:r>
        <w:rPr>
          <w:rFonts w:ascii="仿宋_GB2312" w:eastAsia="仿宋_GB2312" w:hAnsi="仿宋_GB2312" w:hint="eastAsia"/>
          <w:sz w:val="32"/>
        </w:rPr>
        <w:t>年普惠型小微企业综合融资成本较年初明显降低。</w:t>
      </w:r>
    </w:p>
    <w:p w14:paraId="3CF0F4F8"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责任单位：人民银行偃师支行、偃师银保监组按职责分工负责</w:t>
      </w:r>
    </w:p>
    <w:p w14:paraId="02F2B3DA"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lastRenderedPageBreak/>
        <w:t>22.</w:t>
      </w:r>
      <w:r>
        <w:rPr>
          <w:rFonts w:ascii="仿宋_GB2312" w:eastAsia="仿宋_GB2312" w:hAnsi="仿宋_GB2312" w:hint="eastAsia"/>
          <w:sz w:val="32"/>
        </w:rPr>
        <w:t>完善政府性融资担保体系。</w:t>
      </w:r>
      <w:r>
        <w:rPr>
          <w:rFonts w:ascii="仿宋" w:eastAsia="仿宋" w:hAnsi="仿宋" w:cs="仿宋" w:hint="eastAsia"/>
          <w:sz w:val="32"/>
          <w:szCs w:val="32"/>
        </w:rPr>
        <w:t>力争通过财政注资、多方参与等方式组建政府性融资担保机构</w:t>
      </w:r>
      <w:r>
        <w:rPr>
          <w:rFonts w:ascii="仿宋_GB2312" w:eastAsia="仿宋_GB2312" w:hAnsi="仿宋_GB2312" w:hint="eastAsia"/>
          <w:sz w:val="32"/>
        </w:rPr>
        <w:t>，</w:t>
      </w:r>
      <w:r>
        <w:rPr>
          <w:rFonts w:ascii="仿宋" w:eastAsia="仿宋" w:hAnsi="仿宋" w:cs="仿宋" w:hint="eastAsia"/>
          <w:sz w:val="32"/>
          <w:szCs w:val="32"/>
        </w:rPr>
        <w:t>缓解小微企业和“三农”等普惠领域融资难融资贵问题。</w:t>
      </w:r>
      <w:r>
        <w:rPr>
          <w:rFonts w:ascii="仿宋_GB2312" w:eastAsia="仿宋_GB2312" w:hAnsi="仿宋_GB2312" w:hint="eastAsia"/>
          <w:sz w:val="32"/>
        </w:rPr>
        <w:t>加大对中小微企业融资支持力度，设立风险缓释基金或风险补偿机制，为中小微企业融资提供贷款贴息，建立完善政府性融资担保体系。</w:t>
      </w:r>
    </w:p>
    <w:p w14:paraId="33EA58EF"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责任单位：区金融工作局、区财政局按职责分工负责</w:t>
      </w:r>
    </w:p>
    <w:p w14:paraId="40629F25"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23.</w:t>
      </w:r>
      <w:r>
        <w:rPr>
          <w:rFonts w:ascii="仿宋_GB2312" w:eastAsia="仿宋_GB2312" w:hAnsi="仿宋_GB2312" w:hint="eastAsia"/>
          <w:sz w:val="32"/>
        </w:rPr>
        <w:t>提升招投标电子化水平。建设完善</w:t>
      </w:r>
      <w:r>
        <w:rPr>
          <w:rFonts w:ascii="TimesNewRomanPSMT" w:eastAsia="TimesNewRomanPSMT" w:hAnsi="TimesNewRomanPSMT" w:hint="eastAsia"/>
          <w:sz w:val="32"/>
        </w:rPr>
        <w:t>“</w:t>
      </w:r>
      <w:r>
        <w:rPr>
          <w:rFonts w:ascii="仿宋_GB2312" w:eastAsia="仿宋_GB2312" w:hAnsi="仿宋_GB2312" w:hint="eastAsia"/>
          <w:sz w:val="32"/>
        </w:rPr>
        <w:t>不见面</w:t>
      </w:r>
      <w:r>
        <w:rPr>
          <w:rFonts w:ascii="TimesNewRomanPSMT" w:eastAsia="TimesNewRomanPSMT" w:hAnsi="TimesNewRomanPSMT" w:hint="eastAsia"/>
          <w:sz w:val="32"/>
        </w:rPr>
        <w:t>”</w:t>
      </w:r>
      <w:r>
        <w:rPr>
          <w:rFonts w:ascii="仿宋_GB2312" w:eastAsia="仿宋_GB2312" w:hAnsi="仿宋_GB2312" w:hint="eastAsia"/>
          <w:sz w:val="32"/>
        </w:rPr>
        <w:t>开标系统应用，实现远程网上不见面开标全覆盖。推动远程异地评标常态化，制定公共资源交易中心远程异地评标工作制度，按照省远程异地评标场地设施标准，完善场地、设施设备。继续优化公共资源交易平台，</w:t>
      </w:r>
      <w:r>
        <w:rPr>
          <w:rFonts w:ascii="仿宋" w:eastAsia="仿宋" w:hAnsi="仿宋" w:hint="eastAsia"/>
          <w:sz w:val="32"/>
        </w:rPr>
        <w:t>建设智慧监测分析系统，</w:t>
      </w:r>
      <w:r>
        <w:rPr>
          <w:rFonts w:ascii="仿宋_GB2312" w:eastAsia="仿宋_GB2312" w:hAnsi="仿宋_GB2312" w:hint="eastAsia"/>
          <w:sz w:val="32"/>
        </w:rPr>
        <w:t>提升公共资源交易全流程网上服务能力以及招投标大数据分析和智能监测能力。积极推进公共资源交易平台与省远程异地评标协调管理系统对接，拓宽远程异地评标合作地区，争取省内合作地区</w:t>
      </w:r>
      <w:r>
        <w:rPr>
          <w:rFonts w:ascii="TimesNewRomanPSMT" w:eastAsia="TimesNewRomanPSMT" w:hAnsi="TimesNewRomanPSMT" w:hint="eastAsia"/>
          <w:sz w:val="32"/>
        </w:rPr>
        <w:t>3</w:t>
      </w:r>
      <w:r>
        <w:rPr>
          <w:rFonts w:ascii="仿宋_GB2312" w:eastAsia="仿宋_GB2312" w:hAnsi="仿宋_GB2312" w:hint="eastAsia"/>
          <w:sz w:val="32"/>
        </w:rPr>
        <w:t>至</w:t>
      </w:r>
      <w:r>
        <w:rPr>
          <w:rFonts w:ascii="TimesNewRomanPSMT" w:eastAsia="TimesNewRomanPSMT" w:hAnsi="TimesNewRomanPSMT" w:hint="eastAsia"/>
          <w:sz w:val="32"/>
        </w:rPr>
        <w:t>5</w:t>
      </w:r>
      <w:r>
        <w:rPr>
          <w:rFonts w:ascii="仿宋_GB2312" w:eastAsia="仿宋_GB2312" w:hAnsi="仿宋_GB2312" w:hint="eastAsia"/>
          <w:sz w:val="32"/>
        </w:rPr>
        <w:t>个，省外合作地区</w:t>
      </w:r>
      <w:r>
        <w:rPr>
          <w:rFonts w:ascii="TimesNewRomanPSMT" w:eastAsia="TimesNewRomanPSMT" w:hAnsi="TimesNewRomanPSMT" w:hint="eastAsia"/>
          <w:sz w:val="32"/>
        </w:rPr>
        <w:t>1</w:t>
      </w:r>
      <w:r>
        <w:rPr>
          <w:rFonts w:ascii="仿宋_GB2312" w:eastAsia="仿宋_GB2312" w:hAnsi="仿宋_GB2312" w:hint="eastAsia"/>
          <w:sz w:val="32"/>
        </w:rPr>
        <w:t>至</w:t>
      </w:r>
      <w:r>
        <w:rPr>
          <w:rFonts w:ascii="TimesNewRomanPSMT" w:eastAsia="TimesNewRomanPSMT" w:hAnsi="TimesNewRomanPSMT" w:hint="eastAsia"/>
          <w:sz w:val="32"/>
        </w:rPr>
        <w:t>2</w:t>
      </w:r>
      <w:r>
        <w:rPr>
          <w:rFonts w:ascii="仿宋_GB2312" w:eastAsia="仿宋_GB2312" w:hAnsi="仿宋_GB2312" w:hint="eastAsia"/>
          <w:sz w:val="32"/>
        </w:rPr>
        <w:t>个。</w:t>
      </w:r>
    </w:p>
    <w:p w14:paraId="22802283"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责任单位：区发展改革委、区住建局、区交通运输局、区水利局、区城市管理局、区公共资源交易中心等按职责分工负责</w:t>
      </w:r>
    </w:p>
    <w:p w14:paraId="28B8CDCA"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24.</w:t>
      </w:r>
      <w:r>
        <w:rPr>
          <w:rFonts w:ascii="仿宋_GB2312" w:eastAsia="仿宋_GB2312" w:hAnsi="仿宋_GB2312" w:hint="eastAsia"/>
          <w:sz w:val="32"/>
        </w:rPr>
        <w:t>加强招投标监管。建立健全招投标协同监管机制，进一步明确重点行业公共资源交易监管权责清单。进一步建立健全在线监管工作机制，依托省公共资源交易在线监管平台，开展</w:t>
      </w:r>
      <w:r>
        <w:rPr>
          <w:rFonts w:ascii="仿宋" w:eastAsia="仿宋" w:hAnsi="仿宋" w:hint="eastAsia"/>
          <w:sz w:val="32"/>
        </w:rPr>
        <w:t>全过程监管</w:t>
      </w:r>
      <w:r>
        <w:rPr>
          <w:rFonts w:ascii="仿宋_GB2312" w:eastAsia="仿宋_GB2312" w:hAnsi="仿宋_GB2312" w:hint="eastAsia"/>
          <w:sz w:val="32"/>
        </w:rPr>
        <w:t>。加强招投标事中事后监管，建立健全</w:t>
      </w:r>
      <w:r>
        <w:rPr>
          <w:rFonts w:ascii="仿宋_GB2312" w:eastAsia="仿宋_GB2312" w:hAnsi="仿宋_GB2312" w:hint="eastAsia"/>
          <w:sz w:val="32"/>
        </w:rPr>
        <w:lastRenderedPageBreak/>
        <w:t>本行业招投标</w:t>
      </w:r>
      <w:r>
        <w:rPr>
          <w:rFonts w:ascii="TimesNewRomanPSMT" w:eastAsia="TimesNewRomanPSMT" w:hAnsi="TimesNewRomanPSMT" w:hint="eastAsia"/>
          <w:sz w:val="32"/>
        </w:rPr>
        <w:t>“</w:t>
      </w:r>
      <w:r>
        <w:rPr>
          <w:rFonts w:ascii="仿宋_GB2312" w:eastAsia="仿宋_GB2312" w:hAnsi="仿宋_GB2312" w:hint="eastAsia"/>
          <w:sz w:val="32"/>
        </w:rPr>
        <w:t>双随机、一公开</w:t>
      </w:r>
      <w:r>
        <w:rPr>
          <w:rFonts w:ascii="TimesNewRomanPSMT" w:eastAsia="TimesNewRomanPSMT" w:hAnsi="TimesNewRomanPSMT" w:hint="eastAsia"/>
          <w:sz w:val="32"/>
        </w:rPr>
        <w:t>”</w:t>
      </w:r>
      <w:r>
        <w:rPr>
          <w:rFonts w:ascii="仿宋_GB2312" w:eastAsia="仿宋_GB2312" w:hAnsi="仿宋_GB2312" w:hint="eastAsia"/>
          <w:sz w:val="32"/>
        </w:rPr>
        <w:t>监管制度。严格落实评标专家日常考评制度，强化评标专家动态管理，加强专家入库、培训考试、日常评价、信用联合奖惩全过程管理。</w:t>
      </w:r>
    </w:p>
    <w:p w14:paraId="54BB7BD3"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责任单位：区发展改革委、区住建局、区交通运输局、区水利局、区城市管理局、区公共资源交易中心等按职责分工负责</w:t>
      </w:r>
    </w:p>
    <w:p w14:paraId="378A2565"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25.</w:t>
      </w:r>
      <w:r>
        <w:rPr>
          <w:rFonts w:ascii="仿宋_GB2312" w:eastAsia="仿宋_GB2312" w:hAnsi="仿宋_GB2312" w:hint="eastAsia"/>
          <w:sz w:val="32"/>
        </w:rPr>
        <w:t>强化企业用工及创业就业保障。健全企业用工服务指导台账，实施企业用工指导计划，加强用工动态检测。继续阶段性降低失业保险费费率，将原定执行至</w:t>
      </w:r>
      <w:r>
        <w:rPr>
          <w:rFonts w:ascii="TimesNewRomanPSMT" w:eastAsia="TimesNewRomanPSMT" w:hAnsi="TimesNewRomanPSMT" w:hint="eastAsia"/>
          <w:sz w:val="32"/>
        </w:rPr>
        <w:t>2021</w:t>
      </w:r>
      <w:r>
        <w:rPr>
          <w:rFonts w:ascii="仿宋_GB2312" w:eastAsia="仿宋_GB2312" w:hAnsi="仿宋_GB2312" w:hint="eastAsia"/>
          <w:sz w:val="32"/>
        </w:rPr>
        <w:t>年</w:t>
      </w:r>
      <w:r>
        <w:rPr>
          <w:rFonts w:ascii="TimesNewRomanPSMT" w:eastAsia="TimesNewRomanPSMT" w:hAnsi="TimesNewRomanPSMT" w:hint="eastAsia"/>
          <w:sz w:val="32"/>
        </w:rPr>
        <w:t>4</w:t>
      </w:r>
      <w:r>
        <w:rPr>
          <w:rFonts w:ascii="仿宋_GB2312" w:eastAsia="仿宋_GB2312" w:hAnsi="仿宋_GB2312" w:hint="eastAsia"/>
          <w:sz w:val="32"/>
        </w:rPr>
        <w:t>月</w:t>
      </w:r>
      <w:r>
        <w:rPr>
          <w:rFonts w:ascii="TimesNewRomanPSMT" w:eastAsia="TimesNewRomanPSMT" w:hAnsi="TimesNewRomanPSMT" w:hint="eastAsia"/>
          <w:sz w:val="32"/>
        </w:rPr>
        <w:t>30</w:t>
      </w:r>
      <w:r>
        <w:rPr>
          <w:rFonts w:ascii="仿宋_GB2312" w:eastAsia="仿宋_GB2312" w:hAnsi="仿宋_GB2312" w:hint="eastAsia"/>
          <w:sz w:val="32"/>
        </w:rPr>
        <w:t>日的失业保险总费率</w:t>
      </w:r>
      <w:r>
        <w:rPr>
          <w:rFonts w:ascii="TimesNewRomanPSMT" w:eastAsia="TimesNewRomanPSMT" w:hAnsi="TimesNewRomanPSMT" w:hint="eastAsia"/>
          <w:sz w:val="32"/>
        </w:rPr>
        <w:t>1%</w:t>
      </w:r>
      <w:r>
        <w:rPr>
          <w:rFonts w:ascii="仿宋_GB2312" w:eastAsia="仿宋_GB2312" w:hAnsi="仿宋_GB2312" w:hint="eastAsia"/>
          <w:sz w:val="32"/>
        </w:rPr>
        <w:t>的政策延长一年。加大创业培训力度，完成全年540人次创业培训任务。做好创业担保贷款精准帮扶，力争全年发放创业担保贷款1.2亿元。加强创业孵化载体建设，组织参加第五届“中国创翼”“豫创天下”“凤归中原”创业大赛洛阳分区赛暨“创响河洛”创业创新大赛，不断提升创业服务质量。组织开展</w:t>
      </w:r>
      <w:r>
        <w:rPr>
          <w:rFonts w:ascii="TimesNewRomanPSMT" w:eastAsia="TimesNewRomanPSMT" w:hAnsi="TimesNewRomanPSMT" w:hint="eastAsia"/>
          <w:sz w:val="32"/>
        </w:rPr>
        <w:t>“</w:t>
      </w:r>
      <w:r>
        <w:rPr>
          <w:rFonts w:ascii="仿宋_GB2312" w:eastAsia="仿宋_GB2312" w:hAnsi="仿宋_GB2312" w:hint="eastAsia"/>
          <w:sz w:val="32"/>
        </w:rPr>
        <w:t>春风行动</w:t>
      </w:r>
      <w:r>
        <w:rPr>
          <w:rFonts w:ascii="TimesNewRomanPSMT" w:eastAsia="TimesNewRomanPSMT" w:hAnsi="TimesNewRomanPSMT" w:hint="eastAsia"/>
          <w:sz w:val="32"/>
        </w:rPr>
        <w:t>”</w:t>
      </w:r>
      <w:r>
        <w:rPr>
          <w:rFonts w:ascii="仿宋_GB2312" w:eastAsia="仿宋_GB2312" w:hAnsi="仿宋_GB2312" w:hint="eastAsia"/>
          <w:sz w:val="32"/>
        </w:rPr>
        <w:t>等专项招聘活动，为农村劳动力提供职业指导、职业介绍和技能培训等就业服务，为农民工和用人单位搭建用工对接平台。</w:t>
      </w:r>
    </w:p>
    <w:p w14:paraId="49C96211"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责任单位：区人力资源和社会保障局、区发展改革委、区科技局、区财政局、区市场监管局、区商务局、区城市管理局、区农业农村局、区乡村振兴局等按职责分工负责</w:t>
      </w:r>
    </w:p>
    <w:p w14:paraId="4DC3FFDD"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26.</w:t>
      </w:r>
      <w:r>
        <w:rPr>
          <w:rFonts w:ascii="仿宋_GB2312" w:eastAsia="仿宋_GB2312" w:hAnsi="仿宋_GB2312" w:hint="eastAsia"/>
          <w:sz w:val="32"/>
        </w:rPr>
        <w:t>加强劳动保障监察。开展人力资源市场秩序专项整顿行动，依法严惩各类以职业介绍为名的严重违法行为。落</w:t>
      </w:r>
      <w:r>
        <w:rPr>
          <w:rFonts w:ascii="仿宋_GB2312" w:eastAsia="仿宋_GB2312" w:hAnsi="仿宋_GB2312" w:hint="eastAsia"/>
          <w:sz w:val="32"/>
        </w:rPr>
        <w:lastRenderedPageBreak/>
        <w:t>实</w:t>
      </w:r>
      <w:r>
        <w:rPr>
          <w:rFonts w:ascii="TimesNewRomanPSMT" w:eastAsia="TimesNewRomanPSMT" w:hAnsi="TimesNewRomanPSMT" w:hint="eastAsia"/>
          <w:sz w:val="32"/>
        </w:rPr>
        <w:t>“</w:t>
      </w:r>
      <w:r>
        <w:rPr>
          <w:rFonts w:ascii="仿宋_GB2312" w:eastAsia="仿宋_GB2312" w:hAnsi="仿宋_GB2312" w:hint="eastAsia"/>
          <w:sz w:val="32"/>
        </w:rPr>
        <w:t>双随机、一公开</w:t>
      </w:r>
      <w:r>
        <w:rPr>
          <w:rFonts w:ascii="TimesNewRomanPSMT" w:eastAsia="TimesNewRomanPSMT" w:hAnsi="TimesNewRomanPSMT" w:hint="eastAsia"/>
          <w:sz w:val="32"/>
        </w:rPr>
        <w:t>”</w:t>
      </w:r>
      <w:r>
        <w:rPr>
          <w:rFonts w:ascii="仿宋_GB2312" w:eastAsia="仿宋_GB2312" w:hAnsi="仿宋_GB2312" w:hint="eastAsia"/>
          <w:sz w:val="32"/>
        </w:rPr>
        <w:t>监管制度，对人力资源服务机构实施双随机抽查，加强事中事后监管。开展企业劳动保障诚信等级评价，落实违法失信人名单管理制度。加强基层调解组织建设，全面提升基层调解能力。建立弱势群体仲裁绿色通道，对低收入群众全面实行免费法律援助制度。到</w:t>
      </w:r>
      <w:r>
        <w:rPr>
          <w:rFonts w:ascii="TimesNewRomanPSMT" w:eastAsia="TimesNewRomanPSMT" w:hAnsi="TimesNewRomanPSMT" w:hint="eastAsia"/>
          <w:sz w:val="32"/>
        </w:rPr>
        <w:t>2022</w:t>
      </w:r>
      <w:r>
        <w:rPr>
          <w:rFonts w:ascii="仿宋_GB2312" w:eastAsia="仿宋_GB2312" w:hAnsi="仿宋_GB2312" w:hint="eastAsia"/>
          <w:sz w:val="32"/>
        </w:rPr>
        <w:t>年底，劳动争议仲裁结案率达到</w:t>
      </w:r>
      <w:r>
        <w:rPr>
          <w:rFonts w:ascii="TimesNewRomanPSMT" w:eastAsia="TimesNewRomanPSMT" w:hAnsi="TimesNewRomanPSMT" w:hint="eastAsia"/>
          <w:sz w:val="32"/>
        </w:rPr>
        <w:t>92%</w:t>
      </w:r>
      <w:r>
        <w:rPr>
          <w:rFonts w:ascii="仿宋_GB2312" w:eastAsia="仿宋_GB2312" w:hAnsi="仿宋_GB2312" w:hint="eastAsia"/>
          <w:sz w:val="32"/>
        </w:rPr>
        <w:t>以上，调解成功率达到</w:t>
      </w:r>
      <w:r>
        <w:rPr>
          <w:rFonts w:ascii="TimesNewRomanPSMT" w:eastAsia="TimesNewRomanPSMT" w:hAnsi="TimesNewRomanPSMT" w:hint="eastAsia"/>
          <w:sz w:val="32"/>
        </w:rPr>
        <w:t>62%</w:t>
      </w:r>
      <w:r>
        <w:rPr>
          <w:rFonts w:ascii="仿宋_GB2312" w:eastAsia="仿宋_GB2312" w:hAnsi="仿宋_GB2312" w:hint="eastAsia"/>
          <w:sz w:val="32"/>
        </w:rPr>
        <w:t>以上。</w:t>
      </w:r>
    </w:p>
    <w:p w14:paraId="733BAB61"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责任单位：区人力资源和社会保障局、区市场监管局、区法院、区总工会、区企业联合会、区企业家协会等按职责分工负责</w:t>
      </w:r>
    </w:p>
    <w:p w14:paraId="532AB03B" w14:textId="77777777" w:rsidR="00C97237" w:rsidRDefault="00000000">
      <w:pPr>
        <w:ind w:firstLineChars="200" w:firstLine="640"/>
        <w:jc w:val="left"/>
        <w:rPr>
          <w:rFonts w:ascii="仿宋_GB2312" w:eastAsia="仿宋_GB2312" w:hAnsi="仿宋_GB2312"/>
          <w:sz w:val="32"/>
        </w:rPr>
      </w:pPr>
      <w:r>
        <w:rPr>
          <w:rFonts w:ascii="楷体_GB2312" w:eastAsia="楷体_GB2312" w:hAnsi="楷体_GB2312" w:hint="eastAsia"/>
          <w:sz w:val="32"/>
        </w:rPr>
        <w:t>（三）着力提升法治服务保障水平</w:t>
      </w:r>
      <w:r>
        <w:rPr>
          <w:rFonts w:ascii="仿宋_GB2312" w:eastAsia="仿宋_GB2312" w:hAnsi="仿宋_GB2312" w:hint="eastAsia"/>
          <w:sz w:val="32"/>
        </w:rPr>
        <w:t>主要目标：</w:t>
      </w:r>
      <w:r>
        <w:rPr>
          <w:rFonts w:ascii="TimesNewRomanPSMT" w:eastAsia="TimesNewRomanPSMT" w:hAnsi="TimesNewRomanPSMT" w:hint="eastAsia"/>
          <w:sz w:val="32"/>
        </w:rPr>
        <w:t>2022</w:t>
      </w:r>
      <w:r>
        <w:rPr>
          <w:rFonts w:ascii="仿宋_GB2312" w:eastAsia="仿宋_GB2312" w:hAnsi="仿宋_GB2312" w:hint="eastAsia"/>
          <w:sz w:val="32"/>
        </w:rPr>
        <w:t>年底前，破产案件收回债务所需时间缩短</w:t>
      </w:r>
      <w:r>
        <w:rPr>
          <w:rFonts w:ascii="仿宋_GB2312" w:eastAsia="仿宋_GB2312" w:hAnsi="仿宋_GB2312" w:hint="eastAsia"/>
          <w:sz w:val="32"/>
          <w:szCs w:val="22"/>
        </w:rPr>
        <w:t>为0.78年</w:t>
      </w:r>
      <w:r>
        <w:rPr>
          <w:rFonts w:ascii="仿宋_GB2312" w:eastAsia="仿宋_GB2312" w:hAnsi="仿宋_GB2312" w:hint="eastAsia"/>
          <w:sz w:val="32"/>
        </w:rPr>
        <w:t>，收回债务所需成本减低至</w:t>
      </w:r>
      <w:r>
        <w:rPr>
          <w:rFonts w:ascii="TimesNewRomanPSMT" w:eastAsia="TimesNewRomanPSMT" w:hAnsi="TimesNewRomanPSMT" w:hint="eastAsia"/>
          <w:sz w:val="32"/>
        </w:rPr>
        <w:t>15%</w:t>
      </w:r>
      <w:r>
        <w:rPr>
          <w:rFonts w:ascii="仿宋_GB2312" w:eastAsia="仿宋_GB2312" w:hAnsi="仿宋_GB2312" w:hint="eastAsia"/>
          <w:sz w:val="32"/>
        </w:rPr>
        <w:t>，债权回收率达到</w:t>
      </w:r>
      <w:r>
        <w:rPr>
          <w:rFonts w:ascii="TimesNewRomanPSMT" w:eastAsia="TimesNewRomanPSMT" w:hAnsi="TimesNewRomanPSMT" w:hint="eastAsia"/>
          <w:sz w:val="32"/>
        </w:rPr>
        <w:t>40%</w:t>
      </w:r>
      <w:r>
        <w:rPr>
          <w:rFonts w:ascii="仿宋_GB2312" w:eastAsia="仿宋_GB2312" w:hAnsi="仿宋_GB2312" w:hint="eastAsia"/>
          <w:sz w:val="32"/>
        </w:rPr>
        <w:t>。市场监管领域</w:t>
      </w:r>
      <w:r>
        <w:rPr>
          <w:rFonts w:ascii="TimesNewRomanPSMT" w:eastAsia="TimesNewRomanPSMT" w:hAnsi="TimesNewRomanPSMT" w:hint="eastAsia"/>
          <w:sz w:val="32"/>
        </w:rPr>
        <w:t>“</w:t>
      </w:r>
      <w:r>
        <w:rPr>
          <w:rFonts w:ascii="仿宋_GB2312" w:eastAsia="仿宋_GB2312" w:hAnsi="仿宋_GB2312" w:hint="eastAsia"/>
          <w:sz w:val="32"/>
        </w:rPr>
        <w:t>双随机、一公开</w:t>
      </w:r>
      <w:r>
        <w:rPr>
          <w:rFonts w:ascii="TimesNewRomanPSMT" w:eastAsia="TimesNewRomanPSMT" w:hAnsi="TimesNewRomanPSMT" w:hint="eastAsia"/>
          <w:sz w:val="32"/>
        </w:rPr>
        <w:t>”</w:t>
      </w:r>
      <w:r>
        <w:rPr>
          <w:rFonts w:ascii="仿宋_GB2312" w:eastAsia="仿宋_GB2312" w:hAnsi="仿宋_GB2312" w:hint="eastAsia"/>
          <w:sz w:val="32"/>
        </w:rPr>
        <w:t>监管覆盖率达到</w:t>
      </w:r>
      <w:r>
        <w:rPr>
          <w:rFonts w:ascii="TimesNewRomanPSMT" w:eastAsia="TimesNewRomanPSMT" w:hAnsi="TimesNewRomanPSMT" w:hint="eastAsia"/>
          <w:sz w:val="32"/>
        </w:rPr>
        <w:t>95%</w:t>
      </w:r>
      <w:r>
        <w:rPr>
          <w:rFonts w:ascii="仿宋_GB2312" w:eastAsia="仿宋_GB2312" w:hAnsi="仿宋_GB2312" w:hint="eastAsia"/>
          <w:sz w:val="32"/>
        </w:rPr>
        <w:t>。</w:t>
      </w:r>
      <w:r>
        <w:rPr>
          <w:rFonts w:ascii="TimesNewRomanPSMT" w:eastAsia="TimesNewRomanPSMT" w:hAnsi="TimesNewRomanPSMT" w:hint="eastAsia"/>
          <w:sz w:val="32"/>
        </w:rPr>
        <w:t>2022</w:t>
      </w:r>
      <w:r>
        <w:rPr>
          <w:rFonts w:ascii="仿宋_GB2312" w:eastAsia="仿宋_GB2312" w:hAnsi="仿宋_GB2312" w:hint="eastAsia"/>
          <w:sz w:val="32"/>
        </w:rPr>
        <w:t>年底，解决商业纠纷平均用时降低到</w:t>
      </w:r>
      <w:r>
        <w:rPr>
          <w:rFonts w:ascii="TimesNewRomanPSMT" w:eastAsia="TimesNewRomanPSMT" w:hAnsi="TimesNewRomanPSMT" w:hint="eastAsia"/>
          <w:sz w:val="32"/>
        </w:rPr>
        <w:t>1</w:t>
      </w:r>
      <w:r>
        <w:rPr>
          <w:rFonts w:ascii="TimesNewRomanPSMT" w:hAnsi="TimesNewRomanPSMT" w:hint="eastAsia"/>
          <w:sz w:val="32"/>
        </w:rPr>
        <w:t>50</w:t>
      </w:r>
      <w:r>
        <w:rPr>
          <w:rFonts w:ascii="仿宋_GB2312" w:eastAsia="仿宋_GB2312" w:hAnsi="仿宋_GB2312" w:hint="eastAsia"/>
          <w:sz w:val="32"/>
        </w:rPr>
        <w:t>天以下，解决商业纠纷成本占索赔额的平均值降低到</w:t>
      </w:r>
      <w:r>
        <w:rPr>
          <w:rFonts w:ascii="TimesNewRomanPSMT" w:eastAsia="TimesNewRomanPSMT" w:hAnsi="TimesNewRomanPSMT" w:hint="eastAsia"/>
          <w:sz w:val="32"/>
        </w:rPr>
        <w:t>1.</w:t>
      </w:r>
      <w:r>
        <w:rPr>
          <w:rFonts w:ascii="TimesNewRomanPSMT" w:hAnsi="TimesNewRomanPSMT" w:hint="eastAsia"/>
          <w:sz w:val="32"/>
        </w:rPr>
        <w:t>5</w:t>
      </w:r>
      <w:r>
        <w:rPr>
          <w:rFonts w:ascii="TimesNewRomanPSMT" w:eastAsia="TimesNewRomanPSMT" w:hAnsi="TimesNewRomanPSMT" w:hint="eastAsia"/>
          <w:sz w:val="32"/>
        </w:rPr>
        <w:t>%</w:t>
      </w:r>
      <w:r>
        <w:rPr>
          <w:rFonts w:ascii="仿宋_GB2312" w:eastAsia="仿宋_GB2312" w:hAnsi="仿宋_GB2312" w:hint="eastAsia"/>
          <w:sz w:val="32"/>
        </w:rPr>
        <w:t>以下。</w:t>
      </w:r>
    </w:p>
    <w:p w14:paraId="27B7BB59"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27.</w:t>
      </w:r>
      <w:r>
        <w:rPr>
          <w:rFonts w:ascii="仿宋_GB2312" w:eastAsia="仿宋_GB2312" w:hAnsi="仿宋_GB2312" w:hint="eastAsia"/>
          <w:sz w:val="32"/>
        </w:rPr>
        <w:t>优化破产启动程序。严格落实企业破产相关法律规定，确保破产立案渠道畅通，坚持破产案件申请形式审查与实质审查相分离，提升受理效率。进一步推动符合条件的执行案件移送破产审查工作，充分发挥破产程序的制度价值，加快推进解决执行难。</w:t>
      </w:r>
    </w:p>
    <w:p w14:paraId="4E9B1F18"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责任单位：区法院</w:t>
      </w:r>
    </w:p>
    <w:p w14:paraId="3004CCC9"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lastRenderedPageBreak/>
        <w:t>28.</w:t>
      </w:r>
      <w:r>
        <w:rPr>
          <w:rFonts w:ascii="仿宋_GB2312" w:eastAsia="仿宋_GB2312" w:hAnsi="仿宋_GB2312" w:hint="eastAsia"/>
          <w:sz w:val="32"/>
        </w:rPr>
        <w:t>提升破产案件审理质效。严格落实破产案件法院内控审限规定，严格落实重大复杂案件</w:t>
      </w:r>
      <w:r>
        <w:rPr>
          <w:rFonts w:ascii="TimesNewRomanPSMT" w:eastAsia="TimesNewRomanPSMT" w:hAnsi="TimesNewRomanPSMT" w:hint="eastAsia"/>
          <w:sz w:val="32"/>
        </w:rPr>
        <w:t>18</w:t>
      </w:r>
      <w:r>
        <w:rPr>
          <w:rFonts w:ascii="仿宋_GB2312" w:eastAsia="仿宋_GB2312" w:hAnsi="仿宋_GB2312" w:hint="eastAsia"/>
          <w:sz w:val="32"/>
        </w:rPr>
        <w:t>个月、普通案件</w:t>
      </w:r>
      <w:r>
        <w:rPr>
          <w:rFonts w:ascii="TimesNewRomanPSMT" w:eastAsia="TimesNewRomanPSMT" w:hAnsi="TimesNewRomanPSMT" w:hint="eastAsia"/>
          <w:sz w:val="32"/>
        </w:rPr>
        <w:t>9</w:t>
      </w:r>
      <w:r>
        <w:rPr>
          <w:rFonts w:ascii="仿宋_GB2312" w:eastAsia="仿宋_GB2312" w:hAnsi="仿宋_GB2312" w:hint="eastAsia"/>
          <w:sz w:val="32"/>
        </w:rPr>
        <w:t>个月、简单案件</w:t>
      </w:r>
      <w:r>
        <w:rPr>
          <w:rFonts w:ascii="TimesNewRomanPSMT" w:eastAsia="TimesNewRomanPSMT" w:hAnsi="TimesNewRomanPSMT" w:hint="eastAsia"/>
          <w:sz w:val="32"/>
        </w:rPr>
        <w:t>6</w:t>
      </w:r>
      <w:r>
        <w:rPr>
          <w:rFonts w:ascii="仿宋_GB2312" w:eastAsia="仿宋_GB2312" w:hAnsi="仿宋_GB2312" w:hint="eastAsia"/>
          <w:sz w:val="32"/>
        </w:rPr>
        <w:t>个月的破产案件内控审限规定。运用督导、通报、约谈等方式对两年以上未结案件逐件督办。健全落实上级法院下沉跟办重点破产案件制度，指导、督促审理法院依法高效推进案件进程。</w:t>
      </w:r>
    </w:p>
    <w:p w14:paraId="43311888"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责任单位：区法院</w:t>
      </w:r>
    </w:p>
    <w:p w14:paraId="4D86E742"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29.</w:t>
      </w:r>
      <w:r>
        <w:rPr>
          <w:rFonts w:ascii="仿宋_GB2312" w:eastAsia="仿宋_GB2312" w:hAnsi="仿宋_GB2312" w:hint="eastAsia"/>
          <w:sz w:val="32"/>
        </w:rPr>
        <w:t>提升商业纠纷解决效率。深入推进民商事案件繁简分流，加强诉讼全流程管理，严控案件审理执行周期，构建集中送达新模式，破解送达难，加大长期未结案件清结力度。完善司法大数据分析平台，加强对商业纠纷案件的深度挖掘分析，提高审判效率。严格执行案件流转时限规定，完善执行工作集约化管理，提升执行工作效率。</w:t>
      </w:r>
    </w:p>
    <w:p w14:paraId="4B629E40"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责任单位：区法院</w:t>
      </w:r>
    </w:p>
    <w:p w14:paraId="215DDDD6"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30.</w:t>
      </w:r>
      <w:r>
        <w:rPr>
          <w:rFonts w:ascii="仿宋_GB2312" w:eastAsia="仿宋_GB2312" w:hAnsi="仿宋_GB2312" w:hint="eastAsia"/>
          <w:sz w:val="32"/>
        </w:rPr>
        <w:t>加强公平竞争审查。全面落实公平竞争审查制度，建立清理存量政策长效机制。提高增量政策审查质量，严格履行审查程序，将涉及市场主体经济活动的规章、规范性文件、其他政策性文件以及</w:t>
      </w:r>
      <w:r>
        <w:rPr>
          <w:rFonts w:ascii="TimesNewRomanPSMT" w:eastAsia="TimesNewRomanPSMT" w:hAnsi="TimesNewRomanPSMT" w:hint="eastAsia"/>
          <w:sz w:val="32"/>
        </w:rPr>
        <w:t>“</w:t>
      </w:r>
      <w:r>
        <w:rPr>
          <w:rFonts w:ascii="仿宋_GB2312" w:eastAsia="仿宋_GB2312" w:hAnsi="仿宋_GB2312" w:hint="eastAsia"/>
          <w:sz w:val="32"/>
        </w:rPr>
        <w:t>一事一议</w:t>
      </w:r>
      <w:r>
        <w:rPr>
          <w:rFonts w:ascii="TimesNewRomanPSMT" w:eastAsia="TimesNewRomanPSMT" w:hAnsi="TimesNewRomanPSMT" w:hint="eastAsia"/>
          <w:sz w:val="32"/>
        </w:rPr>
        <w:t>”</w:t>
      </w:r>
      <w:r>
        <w:rPr>
          <w:rFonts w:ascii="仿宋_GB2312" w:eastAsia="仿宋_GB2312" w:hAnsi="仿宋_GB2312" w:hint="eastAsia"/>
          <w:sz w:val="32"/>
        </w:rPr>
        <w:t>形式的具体政策措施，全部纳入公平竞争审查范围。</w:t>
      </w:r>
    </w:p>
    <w:p w14:paraId="29141364"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责任单位：区市场监管局，区市场监管领域相关部门</w:t>
      </w:r>
    </w:p>
    <w:p w14:paraId="0238A319"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31.</w:t>
      </w:r>
      <w:r>
        <w:rPr>
          <w:rFonts w:ascii="仿宋_GB2312" w:eastAsia="仿宋_GB2312" w:hAnsi="仿宋_GB2312" w:hint="eastAsia"/>
          <w:sz w:val="32"/>
        </w:rPr>
        <w:t>持续提升</w:t>
      </w:r>
      <w:r>
        <w:rPr>
          <w:rFonts w:ascii="TimesNewRomanPS-BoldMT" w:eastAsia="TimesNewRomanPS-BoldMT" w:hAnsi="TimesNewRomanPS-BoldMT" w:hint="eastAsia"/>
          <w:b/>
          <w:sz w:val="32"/>
        </w:rPr>
        <w:t>“</w:t>
      </w:r>
      <w:r>
        <w:rPr>
          <w:rFonts w:ascii="仿宋_GB2312" w:eastAsia="仿宋_GB2312" w:hAnsi="仿宋_GB2312" w:hint="eastAsia"/>
          <w:sz w:val="32"/>
        </w:rPr>
        <w:t>双随机、一公开</w:t>
      </w:r>
      <w:r>
        <w:rPr>
          <w:rFonts w:ascii="TimesNewRomanPS-BoldMT" w:eastAsia="TimesNewRomanPS-BoldMT" w:hAnsi="TimesNewRomanPS-BoldMT" w:hint="eastAsia"/>
          <w:b/>
          <w:sz w:val="32"/>
        </w:rPr>
        <w:t>”</w:t>
      </w:r>
      <w:r>
        <w:rPr>
          <w:rFonts w:ascii="仿宋_GB2312" w:eastAsia="仿宋_GB2312" w:hAnsi="仿宋_GB2312" w:hint="eastAsia"/>
          <w:sz w:val="32"/>
        </w:rPr>
        <w:t>监管覆盖率。各级市场监管领域相关部门统一使用省</w:t>
      </w:r>
      <w:r>
        <w:rPr>
          <w:rFonts w:ascii="TimesNewRomanPSMT" w:eastAsia="TimesNewRomanPSMT" w:hAnsi="TimesNewRomanPSMT" w:hint="eastAsia"/>
          <w:sz w:val="32"/>
        </w:rPr>
        <w:t>“</w:t>
      </w:r>
      <w:r>
        <w:rPr>
          <w:rFonts w:ascii="仿宋_GB2312" w:eastAsia="仿宋_GB2312" w:hAnsi="仿宋_GB2312" w:hint="eastAsia"/>
          <w:sz w:val="32"/>
        </w:rPr>
        <w:t>双随机、一公开</w:t>
      </w:r>
      <w:r>
        <w:rPr>
          <w:rFonts w:ascii="TimesNewRomanPSMT" w:eastAsia="TimesNewRomanPSMT" w:hAnsi="TimesNewRomanPSMT" w:hint="eastAsia"/>
          <w:sz w:val="32"/>
        </w:rPr>
        <w:t>”</w:t>
      </w:r>
      <w:r>
        <w:rPr>
          <w:rFonts w:ascii="仿宋_GB2312" w:eastAsia="仿宋_GB2312" w:hAnsi="仿宋_GB2312" w:hint="eastAsia"/>
          <w:sz w:val="32"/>
        </w:rPr>
        <w:t>监管工作</w:t>
      </w:r>
      <w:r>
        <w:rPr>
          <w:rFonts w:ascii="仿宋_GB2312" w:eastAsia="仿宋_GB2312" w:hAnsi="仿宋_GB2312" w:hint="eastAsia"/>
          <w:sz w:val="32"/>
        </w:rPr>
        <w:lastRenderedPageBreak/>
        <w:t>平台，实现监管全程留痕，确保</w:t>
      </w:r>
      <w:r>
        <w:rPr>
          <w:rFonts w:ascii="TimesNewRomanPSMT" w:eastAsia="TimesNewRomanPSMT" w:hAnsi="TimesNewRomanPSMT" w:hint="eastAsia"/>
          <w:sz w:val="32"/>
        </w:rPr>
        <w:t>“</w:t>
      </w:r>
      <w:r>
        <w:rPr>
          <w:rFonts w:ascii="仿宋_GB2312" w:eastAsia="仿宋_GB2312" w:hAnsi="仿宋_GB2312" w:hint="eastAsia"/>
          <w:sz w:val="32"/>
        </w:rPr>
        <w:t>双随机、一公开</w:t>
      </w:r>
      <w:r>
        <w:rPr>
          <w:rFonts w:ascii="TimesNewRomanPSMT" w:eastAsia="TimesNewRomanPSMT" w:hAnsi="TimesNewRomanPSMT" w:hint="eastAsia"/>
          <w:sz w:val="32"/>
        </w:rPr>
        <w:t>”</w:t>
      </w:r>
      <w:r>
        <w:rPr>
          <w:rFonts w:ascii="仿宋_GB2312" w:eastAsia="仿宋_GB2312" w:hAnsi="仿宋_GB2312" w:hint="eastAsia"/>
          <w:sz w:val="32"/>
        </w:rPr>
        <w:t>监管覆盖率达到</w:t>
      </w:r>
      <w:r>
        <w:rPr>
          <w:rFonts w:ascii="TimesNewRomanPSMT" w:eastAsia="TimesNewRomanPSMT" w:hAnsi="TimesNewRomanPSMT" w:hint="eastAsia"/>
          <w:sz w:val="32"/>
        </w:rPr>
        <w:t>95%</w:t>
      </w:r>
      <w:r>
        <w:rPr>
          <w:rFonts w:ascii="仿宋_GB2312" w:eastAsia="仿宋_GB2312" w:hAnsi="仿宋_GB2312" w:hint="eastAsia"/>
          <w:sz w:val="32"/>
        </w:rPr>
        <w:t>。</w:t>
      </w:r>
    </w:p>
    <w:p w14:paraId="51D5994C"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责任单位：区市场监管局，区市场监管领域相关部门</w:t>
      </w:r>
    </w:p>
    <w:p w14:paraId="0A66E0B1"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32.</w:t>
      </w:r>
      <w:r>
        <w:rPr>
          <w:rFonts w:ascii="仿宋_GB2312" w:eastAsia="仿宋_GB2312" w:hAnsi="仿宋_GB2312" w:hint="eastAsia"/>
          <w:sz w:val="32"/>
        </w:rPr>
        <w:t>落实包容审慎监管。建立市场监管系统免罚清单，对符合条件的企业免除处罚或减轻处罚，以教育与处罚相结合的原则，对违法行为轻微、主动及时纠正违法行为实施容错机制，贯彻包容审慎监管原则，向市场主体释放善意，确保依法行政、合理行政。</w:t>
      </w:r>
    </w:p>
    <w:p w14:paraId="27C695E2"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责任单位：区市场监管局，区市场监管领域相关部门</w:t>
      </w:r>
    </w:p>
    <w:p w14:paraId="0870BFB2"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33.</w:t>
      </w:r>
      <w:r>
        <w:rPr>
          <w:rFonts w:ascii="仿宋_GB2312" w:eastAsia="仿宋_GB2312" w:hAnsi="仿宋_GB2312" w:hint="eastAsia"/>
          <w:sz w:val="32"/>
        </w:rPr>
        <w:t>加强知识产权保护。完善知识产权多元化纠纷解决与侵权惩戒机制，深化跨区域、部门间执法协作，推进知识产权纠纷人民调解组织建设。推动知识产权保护平台建设，深入开展知识产权侵权信息监测预警工作。持续开展知识产权保护专项行动，做好专利、商标、地理标志的行政执法保护工作。</w:t>
      </w:r>
    </w:p>
    <w:p w14:paraId="6876B2CE"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责任单位：区市场监管局及各相关部门按职责分工负责</w:t>
      </w:r>
    </w:p>
    <w:p w14:paraId="2CB669F2" w14:textId="77777777" w:rsidR="00C97237" w:rsidRDefault="00000000">
      <w:pPr>
        <w:ind w:firstLineChars="200" w:firstLine="640"/>
        <w:jc w:val="left"/>
        <w:rPr>
          <w:rFonts w:ascii="楷体_GB2312" w:eastAsia="楷体_GB2312" w:hAnsi="楷体_GB2312"/>
          <w:sz w:val="32"/>
        </w:rPr>
      </w:pPr>
      <w:r>
        <w:rPr>
          <w:rFonts w:ascii="楷体_GB2312" w:eastAsia="楷体_GB2312" w:hAnsi="楷体_GB2312" w:hint="eastAsia"/>
          <w:sz w:val="32"/>
        </w:rPr>
        <w:t>（四）持续提升宜居宜业基础能力</w:t>
      </w:r>
    </w:p>
    <w:p w14:paraId="6D0B2BF9"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主要目标：</w:t>
      </w:r>
      <w:r>
        <w:rPr>
          <w:rFonts w:ascii="TimesNewRomanPSMT" w:eastAsia="TimesNewRomanPSMT" w:hAnsi="TimesNewRomanPSMT" w:hint="eastAsia"/>
          <w:sz w:val="32"/>
        </w:rPr>
        <w:t>2022</w:t>
      </w:r>
      <w:r>
        <w:rPr>
          <w:rFonts w:ascii="仿宋_GB2312" w:eastAsia="仿宋_GB2312" w:hAnsi="仿宋_GB2312" w:hint="eastAsia"/>
          <w:sz w:val="32"/>
        </w:rPr>
        <w:t>年底，</w:t>
      </w:r>
      <w:r>
        <w:rPr>
          <w:rFonts w:ascii="仿宋" w:eastAsia="仿宋" w:hAnsi="仿宋" w:cs="仿宋" w:hint="eastAsia"/>
          <w:color w:val="000000"/>
          <w:kern w:val="0"/>
          <w:sz w:val="32"/>
          <w:szCs w:val="32"/>
          <w:lang w:bidi="ar"/>
        </w:rPr>
        <w:t>向上级推荐国家高新技术企业20家以上，备案国家科技型中小企业100家以上</w:t>
      </w:r>
      <w:r>
        <w:rPr>
          <w:rFonts w:ascii="仿宋_GB2312" w:eastAsia="仿宋_GB2312" w:hAnsi="仿宋_GB2312" w:hint="eastAsia"/>
          <w:sz w:val="32"/>
        </w:rPr>
        <w:t>。</w:t>
      </w:r>
      <w:r>
        <w:rPr>
          <w:rFonts w:ascii="TimesNewRomanPSMT" w:eastAsia="TimesNewRomanPSMT" w:hAnsi="TimesNewRomanPSMT" w:hint="eastAsia"/>
          <w:sz w:val="32"/>
        </w:rPr>
        <w:t>“</w:t>
      </w:r>
      <w:r>
        <w:rPr>
          <w:rFonts w:ascii="仿宋_GB2312" w:eastAsia="仿宋_GB2312" w:hAnsi="仿宋_GB2312" w:hint="eastAsia"/>
          <w:sz w:val="32"/>
        </w:rPr>
        <w:t>科技贷</w:t>
      </w:r>
      <w:r>
        <w:rPr>
          <w:rFonts w:ascii="TimesNewRomanPSMT" w:eastAsia="TimesNewRomanPSMT" w:hAnsi="TimesNewRomanPSMT" w:hint="eastAsia"/>
          <w:sz w:val="32"/>
        </w:rPr>
        <w:t>”</w:t>
      </w:r>
      <w:r>
        <w:rPr>
          <w:rFonts w:ascii="仿宋_GB2312" w:eastAsia="仿宋_GB2312" w:hAnsi="仿宋_GB2312" w:hint="eastAsia"/>
          <w:sz w:val="32"/>
        </w:rPr>
        <w:t>力争覆盖</w:t>
      </w:r>
      <w:r>
        <w:rPr>
          <w:rFonts w:ascii="TimesNewRomanPSMT" w:eastAsia="宋体" w:hAnsi="TimesNewRomanPSMT" w:hint="eastAsia"/>
          <w:sz w:val="32"/>
          <w:highlight w:val="yellow"/>
        </w:rPr>
        <w:t>8</w:t>
      </w:r>
      <w:r>
        <w:rPr>
          <w:rFonts w:ascii="仿宋_GB2312" w:eastAsia="仿宋_GB2312" w:hAnsi="仿宋_GB2312" w:hint="eastAsia"/>
          <w:sz w:val="32"/>
        </w:rPr>
        <w:t>家科技企业，贷款额度达到</w:t>
      </w:r>
      <w:r>
        <w:rPr>
          <w:rFonts w:ascii="TimesNewRomanPSMT" w:eastAsia="宋体" w:hAnsi="TimesNewRomanPSMT" w:hint="eastAsia"/>
          <w:sz w:val="32"/>
          <w:highlight w:val="yellow"/>
        </w:rPr>
        <w:t>3500</w:t>
      </w:r>
      <w:r>
        <w:rPr>
          <w:rFonts w:ascii="TimesNewRomanPSMT" w:eastAsia="宋体" w:hAnsi="TimesNewRomanPSMT" w:hint="eastAsia"/>
          <w:sz w:val="32"/>
          <w:highlight w:val="yellow"/>
        </w:rPr>
        <w:t>万</w:t>
      </w:r>
      <w:r>
        <w:rPr>
          <w:rFonts w:ascii="仿宋_GB2312" w:eastAsia="仿宋_GB2312" w:hAnsi="仿宋_GB2312" w:hint="eastAsia"/>
          <w:sz w:val="32"/>
        </w:rPr>
        <w:t>元。全区技术合同成交额完成1亿元。新增技能人才8000人，新培养高技能人才2000人。2022年，完成国土绿化面积3000亩，</w:t>
      </w:r>
      <w:r>
        <w:rPr>
          <w:rFonts w:ascii="仿宋_GB2312" w:eastAsia="仿宋_GB2312" w:hAnsi="仿宋_GB2312" w:hint="eastAsia"/>
          <w:sz w:val="32"/>
        </w:rPr>
        <w:lastRenderedPageBreak/>
        <w:t>新增城市绿地面积</w:t>
      </w:r>
      <w:r>
        <w:rPr>
          <w:rFonts w:ascii="TimesNewRomanPSMT" w:eastAsia="宋体" w:hAnsi="TimesNewRomanPSMT" w:hint="eastAsia"/>
          <w:sz w:val="32"/>
          <w:highlight w:val="yellow"/>
        </w:rPr>
        <w:t>9</w:t>
      </w:r>
      <w:r>
        <w:rPr>
          <w:rFonts w:ascii="仿宋_GB2312" w:eastAsia="仿宋_GB2312" w:hAnsi="仿宋_GB2312" w:hint="eastAsia"/>
          <w:sz w:val="32"/>
        </w:rPr>
        <w:t>公顷。</w:t>
      </w:r>
    </w:p>
    <w:p w14:paraId="60A2DF19"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34.</w:t>
      </w:r>
      <w:r>
        <w:rPr>
          <w:rFonts w:ascii="仿宋_GB2312" w:eastAsia="仿宋_GB2312" w:hAnsi="仿宋_GB2312" w:hint="eastAsia"/>
          <w:sz w:val="32"/>
        </w:rPr>
        <w:t>打赢蓝天保卫战。以石化、化工、涂装、医药、包装印刷和油品储运销等行业领域为重点，深化</w:t>
      </w:r>
      <w:r>
        <w:rPr>
          <w:rFonts w:ascii="TimesNewRomanPSMT" w:eastAsia="TimesNewRomanPSMT" w:hAnsi="TimesNewRomanPSMT" w:hint="eastAsia"/>
          <w:sz w:val="32"/>
        </w:rPr>
        <w:t xml:space="preserve">VOCs </w:t>
      </w:r>
      <w:r>
        <w:rPr>
          <w:rFonts w:ascii="仿宋_GB2312" w:eastAsia="仿宋_GB2312" w:hAnsi="仿宋_GB2312" w:hint="eastAsia"/>
          <w:sz w:val="32"/>
        </w:rPr>
        <w:t>综合治理。落实河南省焦化行业超低排放改造实施方案要求。严格扬尘污染管控、秸秆禁烧和烟花爆竹禁放管理。深入推进碳达峰行动，控制重点领域二氧化碳排放，按照上级部署推进</w:t>
      </w:r>
      <w:r>
        <w:rPr>
          <w:rFonts w:ascii="TimesNewRomanPSMT" w:eastAsia="TimesNewRomanPSMT" w:hAnsi="TimesNewRomanPSMT" w:hint="eastAsia"/>
          <w:sz w:val="32"/>
        </w:rPr>
        <w:t>“</w:t>
      </w:r>
      <w:r>
        <w:rPr>
          <w:rFonts w:ascii="仿宋_GB2312" w:eastAsia="仿宋_GB2312" w:hAnsi="仿宋_GB2312" w:hint="eastAsia"/>
          <w:sz w:val="32"/>
        </w:rPr>
        <w:t>十四五</w:t>
      </w:r>
      <w:r>
        <w:rPr>
          <w:rFonts w:ascii="TimesNewRomanPSMT" w:eastAsia="TimesNewRomanPSMT" w:hAnsi="TimesNewRomanPSMT" w:hint="eastAsia"/>
          <w:sz w:val="32"/>
        </w:rPr>
        <w:t>”</w:t>
      </w:r>
      <w:r>
        <w:rPr>
          <w:rFonts w:ascii="仿宋_GB2312" w:eastAsia="仿宋_GB2312" w:hAnsi="仿宋_GB2312" w:hint="eastAsia"/>
          <w:sz w:val="32"/>
        </w:rPr>
        <w:t>应对气候变化专项规划编制，推进低碳试点建设。</w:t>
      </w:r>
    </w:p>
    <w:p w14:paraId="6355B4CC"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责任单位：洛阳市生态环境局偃师分局、区住建局、区农业农村局、洛阳市公安局偃师分局、区发展改革委等按职责分工负责</w:t>
      </w:r>
    </w:p>
    <w:p w14:paraId="6A05D378"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35.</w:t>
      </w:r>
      <w:r>
        <w:rPr>
          <w:rFonts w:ascii="仿宋_GB2312" w:eastAsia="仿宋_GB2312" w:hAnsi="仿宋_GB2312" w:hint="eastAsia"/>
          <w:sz w:val="32"/>
        </w:rPr>
        <w:t>打好碧水保卫战。以污染相对较重河流和不能稳定达标断面河流为重点，开展</w:t>
      </w:r>
      <w:r>
        <w:rPr>
          <w:rFonts w:ascii="TimesNewRomanPSMT" w:eastAsia="TimesNewRomanPSMT" w:hAnsi="TimesNewRomanPSMT" w:hint="eastAsia"/>
          <w:sz w:val="32"/>
        </w:rPr>
        <w:t>“</w:t>
      </w:r>
      <w:r>
        <w:rPr>
          <w:rFonts w:ascii="仿宋_GB2312" w:eastAsia="仿宋_GB2312" w:hAnsi="仿宋_GB2312" w:hint="eastAsia"/>
          <w:sz w:val="32"/>
        </w:rPr>
        <w:t>一河一策</w:t>
      </w:r>
      <w:r>
        <w:rPr>
          <w:rFonts w:ascii="TimesNewRomanPSMT" w:eastAsia="TimesNewRomanPSMT" w:hAnsi="TimesNewRomanPSMT" w:hint="eastAsia"/>
          <w:sz w:val="32"/>
        </w:rPr>
        <w:t>”</w:t>
      </w:r>
      <w:r>
        <w:rPr>
          <w:rFonts w:ascii="仿宋_GB2312" w:eastAsia="仿宋_GB2312" w:hAnsi="仿宋_GB2312" w:hint="eastAsia"/>
          <w:sz w:val="32"/>
        </w:rPr>
        <w:t>综合治理。推进</w:t>
      </w:r>
      <w:r>
        <w:rPr>
          <w:rFonts w:ascii="TimesNewRomanPSMT" w:eastAsia="TimesNewRomanPSMT" w:hAnsi="TimesNewRomanPSMT" w:hint="eastAsia"/>
          <w:sz w:val="32"/>
        </w:rPr>
        <w:t>“</w:t>
      </w:r>
      <w:r>
        <w:rPr>
          <w:rFonts w:ascii="仿宋_GB2312" w:eastAsia="仿宋_GB2312" w:hAnsi="仿宋_GB2312" w:hint="eastAsia"/>
          <w:sz w:val="32"/>
        </w:rPr>
        <w:t>美丽河湖</w:t>
      </w:r>
      <w:r>
        <w:rPr>
          <w:rFonts w:ascii="TimesNewRomanPSMT" w:eastAsia="TimesNewRomanPSMT" w:hAnsi="TimesNewRomanPSMT" w:hint="eastAsia"/>
          <w:sz w:val="32"/>
        </w:rPr>
        <w:t>”</w:t>
      </w:r>
      <w:r>
        <w:rPr>
          <w:rFonts w:ascii="仿宋_GB2312" w:eastAsia="仿宋_GB2312" w:hAnsi="仿宋_GB2312" w:hint="eastAsia"/>
          <w:sz w:val="32"/>
        </w:rPr>
        <w:t>创建，努力打造一批河畅、湖清、岸绿、景美的河湖。</w:t>
      </w:r>
      <w:r>
        <w:rPr>
          <w:rFonts w:ascii="TimesNewRomanPSMT" w:eastAsia="TimesNewRomanPSMT" w:hAnsi="TimesNewRomanPSMT" w:hint="eastAsia"/>
          <w:sz w:val="32"/>
        </w:rPr>
        <w:t>2022</w:t>
      </w:r>
      <w:r>
        <w:rPr>
          <w:rFonts w:ascii="仿宋_GB2312" w:eastAsia="仿宋_GB2312" w:hAnsi="仿宋_GB2312" w:hint="eastAsia"/>
          <w:sz w:val="32"/>
        </w:rPr>
        <w:t>年底前，完成传染病医疗机构、二级及以上医疗机构污水处理设施建设改造任务。开展城镇和产业集聚区（园区）污水处理厂专项执法检查，完善河流上、下游政府及相关部门之间的联防联控、信息共享、闸坝调度机制。</w:t>
      </w:r>
    </w:p>
    <w:p w14:paraId="7C8E88DE"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责任单位：洛阳市生态环境局偃师分局、区水利局、区住建局、区卫健委、区城市管理局按职责分工负责</w:t>
      </w:r>
    </w:p>
    <w:p w14:paraId="0325AA88" w14:textId="77777777" w:rsidR="00C97237" w:rsidRDefault="00000000">
      <w:pPr>
        <w:jc w:val="left"/>
        <w:rPr>
          <w:rFonts w:ascii="仿宋_GB2312" w:eastAsia="仿宋_GB2312" w:hAnsi="仿宋_GB2312"/>
          <w:sz w:val="32"/>
        </w:rPr>
      </w:pPr>
      <w:r>
        <w:rPr>
          <w:rFonts w:ascii="TimesNewRomanPS-BoldMT" w:eastAsia="TimesNewRomanPS-BoldMT" w:hAnsi="TimesNewRomanPS-BoldMT" w:hint="eastAsia"/>
          <w:b/>
          <w:sz w:val="32"/>
        </w:rPr>
        <w:t xml:space="preserve">   36.</w:t>
      </w:r>
      <w:r>
        <w:rPr>
          <w:rFonts w:ascii="仿宋_GB2312" w:eastAsia="仿宋_GB2312" w:hAnsi="仿宋_GB2312" w:hint="eastAsia"/>
          <w:sz w:val="32"/>
        </w:rPr>
        <w:t>开展净土保卫战。巩固农用地安全利用成效，严格建设用地准入管理，落实土壤污染风险管控和修复名录制度。科学治理农村生活污水、稳步整治农村黑臭水体，不断提升</w:t>
      </w:r>
      <w:r>
        <w:rPr>
          <w:rFonts w:ascii="仿宋_GB2312" w:eastAsia="仿宋_GB2312" w:hAnsi="仿宋_GB2312" w:hint="eastAsia"/>
          <w:sz w:val="32"/>
        </w:rPr>
        <w:lastRenderedPageBreak/>
        <w:t>农村环境综合整治成效，确保</w:t>
      </w:r>
      <w:r>
        <w:rPr>
          <w:rFonts w:ascii="TimesNewRomanPSMT" w:eastAsia="TimesNewRomanPSMT" w:hAnsi="TimesNewRomanPSMT" w:hint="eastAsia"/>
          <w:sz w:val="32"/>
        </w:rPr>
        <w:t>2022</w:t>
      </w:r>
      <w:r>
        <w:rPr>
          <w:rFonts w:ascii="仿宋_GB2312" w:eastAsia="仿宋_GB2312" w:hAnsi="仿宋_GB2312" w:hint="eastAsia"/>
          <w:sz w:val="32"/>
        </w:rPr>
        <w:t>年底，新增完成农村环境整治行政村9个。加强地下水污染源头预防，强化地下水污染风险管控。</w:t>
      </w:r>
    </w:p>
    <w:p w14:paraId="570BDCE0"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责任单位：洛阳市生态环境局偃师分局、区农业农村局、区水利局、区住建局、市自然资源和规划局偃师分局按职责分工负责</w:t>
      </w:r>
    </w:p>
    <w:p w14:paraId="7D25636D"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37.</w:t>
      </w:r>
      <w:r>
        <w:rPr>
          <w:rFonts w:ascii="仿宋_GB2312" w:eastAsia="仿宋_GB2312" w:hAnsi="仿宋_GB2312" w:hint="eastAsia"/>
          <w:sz w:val="32"/>
        </w:rPr>
        <w:t>持续推进城乡绿化建设。开展科学绿化试点示范，</w:t>
      </w:r>
      <w:r>
        <w:rPr>
          <w:rFonts w:ascii="TimesNewRomanPSMT" w:eastAsia="TimesNewRomanPSMT" w:hAnsi="TimesNewRomanPSMT" w:hint="eastAsia"/>
          <w:sz w:val="32"/>
        </w:rPr>
        <w:t>2022</w:t>
      </w:r>
      <w:r>
        <w:rPr>
          <w:rFonts w:ascii="仿宋_GB2312" w:eastAsia="仿宋_GB2312" w:hAnsi="仿宋_GB2312" w:hint="eastAsia"/>
          <w:sz w:val="32"/>
        </w:rPr>
        <w:t>年完成国土绿化面积3000亩，森林抚育面积2000亩，森林覆盖率10.91%。 强化城市绿化建设，建设一批街头绿地、小微游园，全区新增城市绿地面积</w:t>
      </w:r>
      <w:r>
        <w:rPr>
          <w:rFonts w:ascii="TimesNewRomanPSMT" w:eastAsia="宋体" w:hAnsi="TimesNewRomanPSMT" w:hint="eastAsia"/>
          <w:sz w:val="32"/>
          <w:highlight w:val="yellow"/>
        </w:rPr>
        <w:t>9</w:t>
      </w:r>
      <w:r>
        <w:rPr>
          <w:rFonts w:ascii="仿宋_GB2312" w:eastAsia="仿宋_GB2312" w:hAnsi="仿宋_GB2312" w:hint="eastAsia"/>
          <w:sz w:val="32"/>
        </w:rPr>
        <w:t>公顷。巩固国家园林城市和国家园林县城全覆盖成果。</w:t>
      </w:r>
    </w:p>
    <w:p w14:paraId="1E644C94"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责任单位：区林业局、区城市管理局按职责分工负责</w:t>
      </w:r>
    </w:p>
    <w:p w14:paraId="08DA8689"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38.</w:t>
      </w:r>
      <w:r>
        <w:rPr>
          <w:rFonts w:ascii="仿宋_GB2312" w:eastAsia="仿宋_GB2312" w:hAnsi="仿宋_GB2312" w:hint="eastAsia"/>
          <w:sz w:val="32"/>
        </w:rPr>
        <w:t>加强人才服务支撑。深化人才评价机制改革，健全科学的人才分类评价体系，改进和创新人才评价方式。深化职称制度改革，扩大职称自主评审范围，有序下放职称评审权限。深化人才发展体制机制改革，向用人主体充分授权，完善人才管理制度。全面推进人才服务数字化改革，打造集人才政策、人才业务办理的一站式网络人才服务平台。</w:t>
      </w:r>
    </w:p>
    <w:p w14:paraId="4267F529"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责任单位：区人力资源和社会保障局、区委组织部、区委编办、区教体局、区政务服务和大数据管理局按职责分工负责</w:t>
      </w:r>
    </w:p>
    <w:p w14:paraId="2934F2FF"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39.</w:t>
      </w:r>
      <w:r>
        <w:rPr>
          <w:rFonts w:ascii="仿宋_GB2312" w:eastAsia="仿宋_GB2312" w:hAnsi="仿宋_GB2312" w:hint="eastAsia"/>
          <w:sz w:val="32"/>
        </w:rPr>
        <w:t>畅通人才流通渠道。支持和鼓励事业单位科研人员</w:t>
      </w:r>
      <w:r>
        <w:rPr>
          <w:rFonts w:ascii="仿宋_GB2312" w:eastAsia="仿宋_GB2312" w:hAnsi="仿宋_GB2312" w:hint="eastAsia"/>
          <w:sz w:val="32"/>
        </w:rPr>
        <w:lastRenderedPageBreak/>
        <w:t>按规定兼职创新、在职创办企业、离岗创办企业，到企业工作或参与项目合作。推进</w:t>
      </w:r>
      <w:r>
        <w:rPr>
          <w:rFonts w:ascii="TimesNewRomanPSMT" w:eastAsia="TimesNewRomanPSMT" w:hAnsi="TimesNewRomanPSMT" w:hint="eastAsia"/>
          <w:sz w:val="32"/>
        </w:rPr>
        <w:t>“</w:t>
      </w:r>
      <w:r>
        <w:rPr>
          <w:rFonts w:ascii="仿宋_GB2312" w:eastAsia="仿宋_GB2312" w:hAnsi="仿宋_GB2312" w:hint="eastAsia"/>
          <w:sz w:val="32"/>
        </w:rPr>
        <w:t>人人持证、技能洛阳</w:t>
      </w:r>
      <w:r>
        <w:rPr>
          <w:rFonts w:ascii="TimesNewRomanPSMT" w:eastAsia="TimesNewRomanPSMT" w:hAnsi="TimesNewRomanPSMT" w:hint="eastAsia"/>
          <w:sz w:val="32"/>
        </w:rPr>
        <w:t>”</w:t>
      </w:r>
      <w:r>
        <w:rPr>
          <w:rFonts w:ascii="仿宋_GB2312" w:eastAsia="仿宋_GB2312" w:hAnsi="仿宋_GB2312" w:hint="eastAsia"/>
          <w:sz w:val="32"/>
        </w:rPr>
        <w:t>建设，大规模开展职业技能培训和评价取证工作。持续办好中国</w:t>
      </w:r>
      <w:r>
        <w:rPr>
          <w:rFonts w:ascii="TimesNewRomanPSMT" w:eastAsia="TimesNewRomanPSMT" w:hAnsi="TimesNewRomanPSMT" w:hint="eastAsia"/>
          <w:sz w:val="32"/>
        </w:rPr>
        <w:t>·</w:t>
      </w:r>
      <w:r>
        <w:rPr>
          <w:rFonts w:ascii="仿宋_GB2312" w:eastAsia="仿宋_GB2312" w:hAnsi="仿宋_GB2312" w:hint="eastAsia"/>
          <w:sz w:val="32"/>
        </w:rPr>
        <w:t>河南招才引智创新发展大会，面向海内外引进高层次、创新性、引领性人才（团队）和合作项目。</w:t>
      </w:r>
    </w:p>
    <w:p w14:paraId="6F5AF6F4"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责任单位：区人力资源和社会保障局、区委组织部、区委编办等按职责分工负责</w:t>
      </w:r>
    </w:p>
    <w:p w14:paraId="0FC0D213"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40.</w:t>
      </w:r>
      <w:r>
        <w:rPr>
          <w:rFonts w:ascii="仿宋_GB2312" w:eastAsia="仿宋_GB2312" w:hAnsi="仿宋_GB2312" w:hint="eastAsia"/>
          <w:sz w:val="32"/>
        </w:rPr>
        <w:t>畅通人才引进渠道。动态调整《洛阳市偃师区急需紧缺人才需求目录》。采取</w:t>
      </w:r>
      <w:r>
        <w:rPr>
          <w:rFonts w:ascii="TimesNewRomanPSMT" w:eastAsia="TimesNewRomanPSMT" w:hAnsi="TimesNewRomanPSMT" w:hint="eastAsia"/>
          <w:sz w:val="32"/>
        </w:rPr>
        <w:t>“</w:t>
      </w:r>
      <w:r>
        <w:rPr>
          <w:rFonts w:ascii="仿宋_GB2312" w:eastAsia="仿宋_GB2312" w:hAnsi="仿宋_GB2312" w:hint="eastAsia"/>
          <w:sz w:val="32"/>
        </w:rPr>
        <w:t>项目</w:t>
      </w:r>
      <w:r>
        <w:rPr>
          <w:rFonts w:ascii="TimesNewRomanPSMT" w:eastAsia="TimesNewRomanPSMT" w:hAnsi="TimesNewRomanPSMT" w:hint="eastAsia"/>
          <w:sz w:val="32"/>
        </w:rPr>
        <w:t>+</w:t>
      </w:r>
      <w:r>
        <w:rPr>
          <w:rFonts w:ascii="仿宋_GB2312" w:eastAsia="仿宋_GB2312" w:hAnsi="仿宋_GB2312" w:hint="eastAsia"/>
          <w:sz w:val="32"/>
        </w:rPr>
        <w:t>平台</w:t>
      </w:r>
      <w:r>
        <w:rPr>
          <w:rFonts w:ascii="TimesNewRomanPSMT" w:eastAsia="TimesNewRomanPSMT" w:hAnsi="TimesNewRomanPSMT" w:hint="eastAsia"/>
          <w:sz w:val="32"/>
        </w:rPr>
        <w:t>+</w:t>
      </w:r>
      <w:r>
        <w:rPr>
          <w:rFonts w:ascii="仿宋_GB2312" w:eastAsia="仿宋_GB2312" w:hAnsi="仿宋_GB2312" w:hint="eastAsia"/>
          <w:sz w:val="32"/>
        </w:rPr>
        <w:t>人才</w:t>
      </w:r>
      <w:r>
        <w:rPr>
          <w:rFonts w:ascii="TimesNewRomanPSMT" w:eastAsia="TimesNewRomanPSMT" w:hAnsi="TimesNewRomanPSMT" w:hint="eastAsia"/>
          <w:sz w:val="32"/>
        </w:rPr>
        <w:t>”</w:t>
      </w:r>
      <w:r>
        <w:rPr>
          <w:rFonts w:ascii="仿宋_GB2312" w:eastAsia="仿宋_GB2312" w:hAnsi="仿宋_GB2312" w:hint="eastAsia"/>
          <w:sz w:val="32"/>
        </w:rPr>
        <w:t>模式，有计划地引进急需紧缺创新创业人才及团队、科技创业投资人等。支持、鼓励高校和科研院所科研人员以挂职、参与项目合作、兼职等方式从事科技创新或离岗创业，</w:t>
      </w:r>
      <w:r>
        <w:rPr>
          <w:rFonts w:ascii="TimesNewRomanPSMT" w:eastAsia="TimesNewRomanPSMT" w:hAnsi="TimesNewRomanPSMT" w:hint="eastAsia"/>
          <w:sz w:val="32"/>
        </w:rPr>
        <w:t>5</w:t>
      </w:r>
      <w:r>
        <w:rPr>
          <w:rFonts w:ascii="仿宋_GB2312" w:eastAsia="仿宋_GB2312" w:hAnsi="仿宋_GB2312" w:hint="eastAsia"/>
          <w:sz w:val="32"/>
        </w:rPr>
        <w:t>年内保留人事关系和基本工资，并享有参加职称评审、岗位等级晋升、社会保险等方面的权利。</w:t>
      </w:r>
    </w:p>
    <w:p w14:paraId="7347D7E0"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责任单位：区人力资源和社会保障局、区委组织部、区委编办、区科技局按职责分工负责</w:t>
      </w:r>
    </w:p>
    <w:p w14:paraId="26319653" w14:textId="77777777" w:rsidR="00C97237" w:rsidRDefault="00000000">
      <w:pPr>
        <w:spacing w:line="580" w:lineRule="exact"/>
        <w:ind w:firstLineChars="200" w:firstLine="643"/>
        <w:rPr>
          <w:rFonts w:ascii="仿宋" w:eastAsia="仿宋" w:hAnsi="仿宋" w:cs="仿宋"/>
          <w:sz w:val="32"/>
          <w:szCs w:val="32"/>
        </w:rPr>
      </w:pPr>
      <w:r>
        <w:rPr>
          <w:rFonts w:ascii="TimesNewRomanPS-BoldMT" w:eastAsia="TimesNewRomanPS-BoldMT" w:hAnsi="TimesNewRomanPS-BoldMT" w:hint="eastAsia"/>
          <w:b/>
          <w:sz w:val="32"/>
        </w:rPr>
        <w:t>41.</w:t>
      </w:r>
      <w:r>
        <w:rPr>
          <w:rFonts w:ascii="仿宋_GB2312" w:eastAsia="仿宋_GB2312" w:hAnsi="仿宋_GB2312" w:hint="eastAsia"/>
          <w:sz w:val="32"/>
        </w:rPr>
        <w:t>提升公共服务能力。到</w:t>
      </w:r>
      <w:r>
        <w:rPr>
          <w:rFonts w:ascii="TimesNewRomanPSMT" w:eastAsia="TimesNewRomanPSMT" w:hAnsi="TimesNewRomanPSMT" w:hint="eastAsia"/>
          <w:sz w:val="32"/>
        </w:rPr>
        <w:t>2022</w:t>
      </w:r>
      <w:r>
        <w:rPr>
          <w:rFonts w:ascii="仿宋_GB2312" w:eastAsia="仿宋_GB2312" w:hAnsi="仿宋_GB2312" w:hint="eastAsia"/>
          <w:sz w:val="32"/>
        </w:rPr>
        <w:t>年底，基本公共服务水平显著提升，全区现有城市书房服务效能更加完善，实现公共文化设施网络化的有效覆盖，打通公共文化服务的最后一公里；加大力度建设群众身边的体育健身场地，2022年举办“全民健身月”“全民健身日”等系列活动赛事，举办各类区级及以上群众喜闻乐见的体育赛事活动；学前教育普惠性</w:t>
      </w:r>
      <w:r>
        <w:rPr>
          <w:rFonts w:ascii="仿宋_GB2312" w:eastAsia="仿宋_GB2312" w:hAnsi="仿宋_GB2312" w:hint="eastAsia"/>
          <w:sz w:val="32"/>
        </w:rPr>
        <w:lastRenderedPageBreak/>
        <w:t>幼儿园覆盖率稳定在</w:t>
      </w:r>
      <w:r>
        <w:rPr>
          <w:rFonts w:ascii="仿宋_GB2312" w:eastAsia="仿宋_GB2312" w:hAnsi="仿宋_GB2312" w:hint="eastAsia"/>
          <w:sz w:val="32"/>
          <w:szCs w:val="22"/>
        </w:rPr>
        <w:t>85%以上</w:t>
      </w:r>
      <w:r>
        <w:rPr>
          <w:rFonts w:ascii="仿宋_GB2312" w:eastAsia="仿宋_GB2312" w:hAnsi="仿宋_GB2312" w:hint="eastAsia"/>
          <w:sz w:val="32"/>
        </w:rPr>
        <w:t>，义务教育阶段基本消除</w:t>
      </w:r>
      <w:r>
        <w:rPr>
          <w:rFonts w:ascii="TimesNewRomanPSMT" w:eastAsia="TimesNewRomanPSMT" w:hAnsi="TimesNewRomanPSMT" w:hint="eastAsia"/>
          <w:sz w:val="32"/>
        </w:rPr>
        <w:t>56</w:t>
      </w:r>
      <w:r>
        <w:rPr>
          <w:rFonts w:ascii="仿宋_GB2312" w:eastAsia="仿宋_GB2312" w:hAnsi="仿宋_GB2312" w:hint="eastAsia"/>
          <w:sz w:val="32"/>
        </w:rPr>
        <w:t>人以上大班额（含超大班额），全面消除</w:t>
      </w:r>
      <w:r>
        <w:rPr>
          <w:rFonts w:ascii="TimesNewRomanPSMT" w:eastAsia="TimesNewRomanPSMT" w:hAnsi="TimesNewRomanPSMT" w:hint="eastAsia"/>
          <w:sz w:val="32"/>
        </w:rPr>
        <w:t>66</w:t>
      </w:r>
      <w:r>
        <w:rPr>
          <w:rFonts w:ascii="仿宋_GB2312" w:eastAsia="仿宋_GB2312" w:hAnsi="仿宋_GB2312" w:hint="eastAsia"/>
          <w:sz w:val="32"/>
        </w:rPr>
        <w:t>人以上超大班额；加快构建</w:t>
      </w:r>
      <w:r>
        <w:rPr>
          <w:rFonts w:ascii="TimesNewRomanPSMT" w:eastAsia="TimesNewRomanPSMT" w:hAnsi="TimesNewRomanPSMT" w:hint="eastAsia"/>
          <w:sz w:val="32"/>
        </w:rPr>
        <w:t>“</w:t>
      </w:r>
      <w:r>
        <w:rPr>
          <w:rFonts w:ascii="仿宋_GB2312" w:eastAsia="仿宋_GB2312" w:hAnsi="仿宋_GB2312" w:hint="eastAsia"/>
          <w:sz w:val="32"/>
        </w:rPr>
        <w:t>五级四类</w:t>
      </w:r>
      <w:r>
        <w:rPr>
          <w:rFonts w:ascii="TimesNewRomanPSMT" w:eastAsia="TimesNewRomanPSMT" w:hAnsi="TimesNewRomanPSMT" w:hint="eastAsia"/>
          <w:sz w:val="32"/>
        </w:rPr>
        <w:t>”</w:t>
      </w:r>
      <w:r>
        <w:rPr>
          <w:rFonts w:ascii="仿宋_GB2312" w:eastAsia="仿宋_GB2312" w:hAnsi="仿宋_GB2312" w:hint="eastAsia"/>
          <w:sz w:val="32"/>
        </w:rPr>
        <w:t>城乡养老服务体系，实现每个街道有</w:t>
      </w:r>
      <w:r>
        <w:rPr>
          <w:rFonts w:ascii="TimesNewRomanPSMT" w:eastAsia="TimesNewRomanPSMT" w:hAnsi="TimesNewRomanPSMT" w:hint="eastAsia"/>
          <w:sz w:val="32"/>
        </w:rPr>
        <w:t>1</w:t>
      </w:r>
      <w:r>
        <w:rPr>
          <w:rFonts w:ascii="仿宋_GB2312" w:eastAsia="仿宋_GB2312" w:hAnsi="仿宋_GB2312" w:hint="eastAsia"/>
          <w:sz w:val="32"/>
        </w:rPr>
        <w:t>处综合养老服务中心，</w:t>
      </w:r>
      <w:r>
        <w:rPr>
          <w:rFonts w:ascii="仿宋_GB2312" w:eastAsia="仿宋_GB2312" w:hAnsi="仿宋_GB2312" w:hint="eastAsia"/>
          <w:sz w:val="32"/>
          <w:szCs w:val="22"/>
        </w:rPr>
        <w:t>每个社区有1处养老服务设施；</w:t>
      </w:r>
      <w:r>
        <w:rPr>
          <w:rFonts w:ascii="仿宋" w:eastAsia="仿宋" w:hAnsi="仿宋" w:cs="仿宋" w:hint="eastAsia"/>
          <w:sz w:val="32"/>
          <w:szCs w:val="32"/>
        </w:rPr>
        <w:t>区域内每十万人拥有医院数达到1.4所，每千人拥有医疗卫生机构床位数达到6.51张，每千常住人口执业（助理）医师数达到2.86人，每千常住人口执业注册护士数达到3.4人。二级以上综合医院设老年医学科比例达到50%及以上，三级中医医院设置康复科比例达到100%，80%以上的医疗机构达到老年友善医疗机构标准；推行区域点数法总额预算和按病种分值付费相结合的医保支付方式改革，确保全区二级以上医疗机构全覆盖。</w:t>
      </w:r>
    </w:p>
    <w:p w14:paraId="5760C1FF"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责任单位：区文化广电和旅游局、区教体局、区民政局、区卫健委、区医疗保障局按职责分工负责</w:t>
      </w:r>
    </w:p>
    <w:p w14:paraId="35FF374B" w14:textId="77777777" w:rsidR="00C97237" w:rsidRDefault="00000000">
      <w:pPr>
        <w:ind w:firstLineChars="200" w:firstLine="643"/>
        <w:jc w:val="left"/>
        <w:rPr>
          <w:rFonts w:ascii="仿宋_GB2312" w:eastAsia="仿宋" w:hAnsi="仿宋_GB2312"/>
          <w:sz w:val="32"/>
          <w:highlight w:val="yellow"/>
        </w:rPr>
      </w:pPr>
      <w:r>
        <w:rPr>
          <w:rFonts w:ascii="TimesNewRomanPS-BoldMT" w:eastAsia="TimesNewRomanPS-BoldMT" w:hAnsi="TimesNewRomanPS-BoldMT" w:hint="eastAsia"/>
          <w:b/>
          <w:sz w:val="32"/>
        </w:rPr>
        <w:t>42.</w:t>
      </w:r>
      <w:r>
        <w:rPr>
          <w:rFonts w:ascii="仿宋_GB2312" w:eastAsia="仿宋_GB2312" w:hAnsi="仿宋_GB2312" w:hint="eastAsia"/>
          <w:sz w:val="32"/>
        </w:rPr>
        <w:t>提升综合交通服务能力。</w:t>
      </w:r>
      <w:r>
        <w:rPr>
          <w:rFonts w:ascii="仿宋" w:eastAsia="仿宋" w:hAnsi="仿宋" w:cs="仿宋" w:hint="eastAsia"/>
          <w:sz w:val="32"/>
          <w:szCs w:val="32"/>
        </w:rPr>
        <w:t>持续提升改善农村公路形象，不断提升农村公路质量，进一步优化道路“毛细血管网”，2022年计划提升改建农村公路约6.84公里。</w:t>
      </w:r>
    </w:p>
    <w:p w14:paraId="1AF9020E"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责任单位：区交通运输局</w:t>
      </w:r>
    </w:p>
    <w:p w14:paraId="5DD08357"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43.</w:t>
      </w:r>
      <w:r>
        <w:rPr>
          <w:rFonts w:ascii="仿宋_GB2312" w:eastAsia="仿宋_GB2312" w:hAnsi="仿宋_GB2312" w:hint="eastAsia"/>
          <w:sz w:val="32"/>
        </w:rPr>
        <w:t>提升公共交通服务品质。加快城市公交停车场、首末站、充电站等基础设施建设，进一步完善公交智能化系统建设，通过大数据分析指导公交企业开通、优化公交线路，进一步加强城市公共交通对周边地区的辐射力度。开发乘车</w:t>
      </w:r>
      <w:r>
        <w:rPr>
          <w:rFonts w:ascii="TimesNewRomanPSMT" w:eastAsia="TimesNewRomanPSMT" w:hAnsi="TimesNewRomanPSMT" w:hint="eastAsia"/>
          <w:sz w:val="32"/>
        </w:rPr>
        <w:t>“</w:t>
      </w:r>
      <w:r>
        <w:rPr>
          <w:rFonts w:ascii="仿宋_GB2312" w:eastAsia="仿宋_GB2312" w:hAnsi="仿宋_GB2312" w:hint="eastAsia"/>
          <w:sz w:val="32"/>
        </w:rPr>
        <w:t>一码通行</w:t>
      </w:r>
      <w:r>
        <w:rPr>
          <w:rFonts w:ascii="TimesNewRomanPSMT" w:eastAsia="TimesNewRomanPSMT" w:hAnsi="TimesNewRomanPSMT" w:hint="eastAsia"/>
          <w:sz w:val="32"/>
        </w:rPr>
        <w:t>”</w:t>
      </w:r>
      <w:r>
        <w:rPr>
          <w:rFonts w:ascii="仿宋_GB2312" w:eastAsia="仿宋_GB2312" w:hAnsi="仿宋_GB2312" w:hint="eastAsia"/>
          <w:sz w:val="32"/>
        </w:rPr>
        <w:t>功能，强化公共交通出行政策与疫情防控政策的</w:t>
      </w:r>
      <w:r>
        <w:rPr>
          <w:rFonts w:ascii="仿宋_GB2312" w:eastAsia="仿宋_GB2312" w:hAnsi="仿宋_GB2312" w:hint="eastAsia"/>
          <w:sz w:val="32"/>
        </w:rPr>
        <w:lastRenderedPageBreak/>
        <w:t>一致性。开通偃师至山化7个行政村公交化客运班线。按照运力需求新购置运营车辆，新增和更新的新能源公交车比例达到</w:t>
      </w:r>
      <w:r>
        <w:rPr>
          <w:rFonts w:ascii="TimesNewRomanPSMT" w:eastAsia="TimesNewRomanPSMT" w:hAnsi="TimesNewRomanPSMT" w:hint="eastAsia"/>
          <w:sz w:val="32"/>
        </w:rPr>
        <w:t>100%</w:t>
      </w:r>
      <w:r>
        <w:rPr>
          <w:rFonts w:ascii="仿宋_GB2312" w:eastAsia="仿宋_GB2312" w:hAnsi="仿宋_GB2312" w:hint="eastAsia"/>
          <w:sz w:val="32"/>
        </w:rPr>
        <w:t>。</w:t>
      </w:r>
    </w:p>
    <w:p w14:paraId="234B798C"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责任单位：区交通运输局</w:t>
      </w:r>
    </w:p>
    <w:p w14:paraId="2182BAA4"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44.</w:t>
      </w:r>
      <w:r>
        <w:rPr>
          <w:rFonts w:ascii="仿宋_GB2312" w:eastAsia="仿宋_GB2312" w:hAnsi="仿宋_GB2312" w:hint="eastAsia"/>
          <w:sz w:val="32"/>
        </w:rPr>
        <w:t>着力实施高新技术企业倍增。开展规上工业企业研发活动全覆盖，加强科技型中小企业培育，重建重塑高新技术企业培育库，做强高新技术企业培育</w:t>
      </w:r>
      <w:r>
        <w:rPr>
          <w:rFonts w:ascii="TimesNewRomanPSMT" w:eastAsia="TimesNewRomanPSMT" w:hAnsi="TimesNewRomanPSMT" w:hint="eastAsia"/>
          <w:sz w:val="32"/>
        </w:rPr>
        <w:t>“</w:t>
      </w:r>
      <w:r>
        <w:rPr>
          <w:rFonts w:ascii="仿宋_GB2312" w:eastAsia="仿宋_GB2312" w:hAnsi="仿宋_GB2312" w:hint="eastAsia"/>
          <w:sz w:val="32"/>
        </w:rPr>
        <w:t>蓄水池</w:t>
      </w:r>
      <w:r>
        <w:rPr>
          <w:rFonts w:ascii="TimesNewRomanPSMT" w:eastAsia="TimesNewRomanPSMT" w:hAnsi="TimesNewRomanPSMT" w:hint="eastAsia"/>
          <w:sz w:val="32"/>
        </w:rPr>
        <w:t>”</w:t>
      </w:r>
      <w:r>
        <w:rPr>
          <w:rFonts w:ascii="仿宋_GB2312" w:eastAsia="仿宋_GB2312" w:hAnsi="仿宋_GB2312" w:hint="eastAsia"/>
          <w:sz w:val="32"/>
        </w:rPr>
        <w:t>，持续落实高新技术企业财税政策，全年向上级推荐国家级高新技术企业20家以上。实施创新型企业树标引领行动，培育创新龙头企业、瞪羚企业。</w:t>
      </w:r>
    </w:p>
    <w:p w14:paraId="2F3EE3B2"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责任单位：区科技局牵头，区发展改革委、区工信局、区财政局、区统计局、区商务局、区金融工作局、区住建局、区税务局、区国资公司，各镇办按职责分工负责</w:t>
      </w:r>
    </w:p>
    <w:p w14:paraId="1AB1ED65" w14:textId="77777777" w:rsidR="00C97237" w:rsidRDefault="00000000">
      <w:pPr>
        <w:ind w:firstLineChars="200" w:firstLine="643"/>
        <w:jc w:val="left"/>
        <w:rPr>
          <w:rFonts w:ascii="仿宋_GB2312" w:eastAsia="仿宋_GB2312" w:hAnsi="仿宋_GB2312"/>
          <w:sz w:val="32"/>
          <w:szCs w:val="22"/>
        </w:rPr>
      </w:pPr>
      <w:r>
        <w:rPr>
          <w:rFonts w:ascii="TimesNewRomanPS-BoldMT" w:eastAsia="TimesNewRomanPS-BoldMT" w:hAnsi="TimesNewRomanPS-BoldMT" w:hint="eastAsia"/>
          <w:b/>
          <w:sz w:val="32"/>
        </w:rPr>
        <w:t>45.</w:t>
      </w:r>
      <w:r>
        <w:rPr>
          <w:rFonts w:ascii="仿宋_GB2312" w:eastAsia="仿宋_GB2312" w:hAnsi="仿宋_GB2312" w:hint="eastAsia"/>
          <w:sz w:val="32"/>
          <w:szCs w:val="22"/>
        </w:rPr>
        <w:t>着力打造高能级创新平台矩阵。科学编制产业发展规划，新增市级以上创新平台15家以上。充分发挥我区产业集聚度高的优势，鼓励重点企业加快省级研发平台建设进度，促进优势产业高质量发展。</w:t>
      </w:r>
    </w:p>
    <w:p w14:paraId="36ED0B57"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责任单位：区科技局、区发展改革委牵头，区工信局、市自然资源和规划局偃师分局按职责分工负责</w:t>
      </w:r>
    </w:p>
    <w:p w14:paraId="3ED8E5AB"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46.</w:t>
      </w:r>
      <w:r>
        <w:rPr>
          <w:rFonts w:ascii="仿宋_GB2312" w:eastAsia="仿宋_GB2312" w:hAnsi="仿宋_GB2312" w:hint="eastAsia"/>
          <w:sz w:val="32"/>
        </w:rPr>
        <w:t>着力促进科技成果转化应用。持续深化技术转移体系构建，积极培育各级各类技术转移示范机构，壮大技术转移专业人才队伍，打通技术转移和成果转化通道。2022年全</w:t>
      </w:r>
      <w:r>
        <w:rPr>
          <w:rFonts w:ascii="仿宋_GB2312" w:eastAsia="仿宋_GB2312" w:hAnsi="仿宋_GB2312" w:hint="eastAsia"/>
          <w:sz w:val="32"/>
        </w:rPr>
        <w:lastRenderedPageBreak/>
        <w:t>区技术合同成交额完成1亿元。</w:t>
      </w:r>
    </w:p>
    <w:p w14:paraId="21EF9B87"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责任单位：区科技局牵头，区直各单位，各镇办按职责分工负责</w:t>
      </w:r>
    </w:p>
    <w:p w14:paraId="002E4BAF"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47.</w:t>
      </w:r>
      <w:r>
        <w:rPr>
          <w:rFonts w:ascii="仿宋_GB2312" w:eastAsia="仿宋_GB2312" w:hAnsi="仿宋_GB2312" w:hint="eastAsia"/>
          <w:sz w:val="32"/>
        </w:rPr>
        <w:t>多措并举促进开放招商。借助牡丹文化节和河洛文化旅游节等重大节会，积极组织参加牡丹文化节投资贸易洽谈会和中国河南国际投资贸易洽谈会洛阳分会场，出彩办好第十届中国（偃师）三轮车新能源车行业发展高峰论坛暨第三届外贸出口洽谈会、第十一届中国布鞋之都·偃师2023年春夏产销对接会等，探索市场化办会展，充分利用好国家、省级各类节会平台，打造具有偃师特色的宣传推介活动。强化网络招商、委托招商、以商招商和小分队招商等多种方式，加大对知名跨国公司、港澳台企业、境外上市企业招商引资力度，力争新签约落地一批外资项目。充分掌握现有外资企业增资、新上项目、境外借款、购买设备等情况，对经营效益较好的外资企业，进一步了解其发展思路，鼓励其进行增资扩产，引导企业争取境外资金用于企业发展和新上项目建设，力争实际利用外资突破26593万美元。</w:t>
      </w:r>
    </w:p>
    <w:p w14:paraId="0B1A308D"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责任单位：区投促中心牵头，区直相关部门按职责分工负责</w:t>
      </w:r>
    </w:p>
    <w:p w14:paraId="06C538A4"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48.</w:t>
      </w:r>
      <w:r>
        <w:rPr>
          <w:rFonts w:ascii="楷体_GB2312" w:eastAsia="楷体_GB2312" w:hAnsi="楷体_GB2312" w:hint="eastAsia"/>
          <w:sz w:val="32"/>
        </w:rPr>
        <w:t>强化产业集群发展。</w:t>
      </w:r>
      <w:r>
        <w:rPr>
          <w:rFonts w:ascii="Times New Roman" w:eastAsia="仿宋_GB2312" w:hAnsi="Times New Roman" w:cs="仿宋" w:hint="eastAsia"/>
          <w:kern w:val="0"/>
          <w:sz w:val="32"/>
          <w:szCs w:val="32"/>
        </w:rPr>
        <w:t>聚焦八大优势产业集群，研究制定绿色智造、新材料</w:t>
      </w:r>
      <w:r>
        <w:rPr>
          <w:rFonts w:ascii="Times New Roman" w:eastAsia="仿宋_GB2312" w:hAnsi="Times New Roman" w:cs="仿宋" w:hint="eastAsia"/>
          <w:kern w:val="0"/>
          <w:sz w:val="32"/>
          <w:szCs w:val="32"/>
        </w:rPr>
        <w:t>2</w:t>
      </w:r>
      <w:r>
        <w:rPr>
          <w:rFonts w:ascii="Times New Roman" w:eastAsia="仿宋_GB2312" w:hAnsi="Times New Roman" w:cs="仿宋" w:hint="eastAsia"/>
          <w:kern w:val="0"/>
          <w:sz w:val="32"/>
          <w:szCs w:val="32"/>
        </w:rPr>
        <w:t>个主导产业和电线电缆、针织、制鞋、耐火材料、新型包装材料、特色家居制造等</w:t>
      </w:r>
      <w:r>
        <w:rPr>
          <w:rFonts w:ascii="Times New Roman" w:eastAsia="仿宋_GB2312" w:hAnsi="Times New Roman" w:cs="仿宋" w:hint="eastAsia"/>
          <w:kern w:val="0"/>
          <w:sz w:val="32"/>
          <w:szCs w:val="32"/>
        </w:rPr>
        <w:t>6</w:t>
      </w:r>
      <w:r>
        <w:rPr>
          <w:rFonts w:ascii="Times New Roman" w:eastAsia="仿宋_GB2312" w:hAnsi="Times New Roman" w:cs="仿宋" w:hint="eastAsia"/>
          <w:kern w:val="0"/>
          <w:sz w:val="32"/>
          <w:szCs w:val="32"/>
        </w:rPr>
        <w:t>个特色产</w:t>
      </w:r>
      <w:r>
        <w:rPr>
          <w:rFonts w:ascii="Times New Roman" w:eastAsia="仿宋_GB2312" w:hAnsi="Times New Roman" w:cs="仿宋" w:hint="eastAsia"/>
          <w:kern w:val="0"/>
          <w:sz w:val="32"/>
          <w:szCs w:val="32"/>
        </w:rPr>
        <w:lastRenderedPageBreak/>
        <w:t>业发展实施方案和支持政策，明确产业链图谱、产业创</w:t>
      </w:r>
      <w:r>
        <w:rPr>
          <w:rFonts w:ascii="仿宋_GB2312" w:eastAsia="仿宋_GB2312" w:hAnsi="仿宋_GB2312" w:hint="eastAsia"/>
          <w:sz w:val="32"/>
        </w:rPr>
        <w:t>新平台、重点提升企业、重点在建项目、重点产业园区和重点招商清单，为产业发展提供政策支撑，推动优势产业集群发展壮大。</w:t>
      </w:r>
    </w:p>
    <w:p w14:paraId="571A9BE5"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责任单位：区工信局、区发展改革委、区科技局，区委军民融合办，各相关单位，各镇办按职责分工负责</w:t>
      </w:r>
    </w:p>
    <w:p w14:paraId="32DB9735"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49.</w:t>
      </w:r>
      <w:r>
        <w:rPr>
          <w:rFonts w:ascii="楷体_GB2312" w:eastAsia="楷体_GB2312" w:hAnsi="楷体_GB2312" w:hint="eastAsia"/>
          <w:sz w:val="32"/>
        </w:rPr>
        <w:t>推动重点项目建设高质量发展。</w:t>
      </w:r>
      <w:r>
        <w:rPr>
          <w:rFonts w:ascii="仿宋_GB2312" w:eastAsia="仿宋_GB2312" w:hAnsi="仿宋_GB2312" w:hint="eastAsia"/>
          <w:sz w:val="32"/>
        </w:rPr>
        <w:t>坚持</w:t>
      </w:r>
      <w:r>
        <w:rPr>
          <w:rFonts w:ascii="TimesNewRomanPSMT" w:eastAsia="TimesNewRomanPSMT" w:hAnsi="TimesNewRomanPSMT" w:hint="eastAsia"/>
          <w:sz w:val="32"/>
        </w:rPr>
        <w:t>“</w:t>
      </w:r>
      <w:r>
        <w:rPr>
          <w:rFonts w:ascii="仿宋_GB2312" w:eastAsia="仿宋_GB2312" w:hAnsi="仿宋_GB2312" w:hint="eastAsia"/>
          <w:sz w:val="32"/>
        </w:rPr>
        <w:t>项目为王</w:t>
      </w:r>
      <w:r>
        <w:rPr>
          <w:rFonts w:ascii="TimesNewRomanPSMT" w:eastAsia="TimesNewRomanPSMT" w:hAnsi="TimesNewRomanPSMT" w:hint="eastAsia"/>
          <w:sz w:val="32"/>
        </w:rPr>
        <w:t>”</w:t>
      </w:r>
      <w:r>
        <w:rPr>
          <w:rFonts w:ascii="仿宋_GB2312" w:eastAsia="仿宋_GB2312" w:hAnsi="仿宋_GB2312" w:hint="eastAsia"/>
          <w:sz w:val="32"/>
        </w:rPr>
        <w:t>，滚动开展</w:t>
      </w:r>
      <w:r>
        <w:rPr>
          <w:rFonts w:ascii="TimesNewRomanPSMT" w:eastAsia="TimesNewRomanPSMT" w:hAnsi="TimesNewRomanPSMT" w:hint="eastAsia"/>
          <w:sz w:val="32"/>
        </w:rPr>
        <w:t>“</w:t>
      </w:r>
      <w:r>
        <w:rPr>
          <w:rFonts w:ascii="仿宋_GB2312" w:eastAsia="仿宋_GB2312" w:hAnsi="仿宋_GB2312" w:hint="eastAsia"/>
          <w:sz w:val="32"/>
        </w:rPr>
        <w:t>三个一批</w:t>
      </w:r>
      <w:r>
        <w:rPr>
          <w:rFonts w:ascii="TimesNewRomanPSMT" w:eastAsia="TimesNewRomanPSMT" w:hAnsi="TimesNewRomanPSMT" w:hint="eastAsia"/>
          <w:sz w:val="32"/>
        </w:rPr>
        <w:t>”</w:t>
      </w:r>
      <w:r>
        <w:rPr>
          <w:rFonts w:ascii="仿宋_GB2312" w:eastAsia="仿宋_GB2312" w:hAnsi="仿宋_GB2312" w:hint="eastAsia"/>
          <w:sz w:val="32"/>
        </w:rPr>
        <w:t>活动，聚焦风口突破，坚持</w:t>
      </w:r>
      <w:r>
        <w:rPr>
          <w:rFonts w:ascii="TimesNewRomanPSMT" w:eastAsia="TimesNewRomanPSMT" w:hAnsi="TimesNewRomanPSMT" w:hint="eastAsia"/>
          <w:sz w:val="32"/>
        </w:rPr>
        <w:t>“</w:t>
      </w:r>
      <w:r>
        <w:rPr>
          <w:rFonts w:ascii="仿宋_GB2312" w:eastAsia="仿宋_GB2312" w:hAnsi="仿宋_GB2312" w:hint="eastAsia"/>
          <w:sz w:val="32"/>
        </w:rPr>
        <w:t>六新</w:t>
      </w:r>
      <w:r>
        <w:rPr>
          <w:rFonts w:ascii="TimesNewRomanPSMT" w:eastAsia="TimesNewRomanPSMT" w:hAnsi="TimesNewRomanPSMT" w:hint="eastAsia"/>
          <w:sz w:val="32"/>
        </w:rPr>
        <w:t>”</w:t>
      </w:r>
      <w:r>
        <w:rPr>
          <w:rFonts w:ascii="仿宋_GB2312" w:eastAsia="仿宋_GB2312" w:hAnsi="仿宋_GB2312" w:hint="eastAsia"/>
          <w:sz w:val="32"/>
        </w:rPr>
        <w:t>并重，谋划储备智能装备、信息技术、生物制药、新材料、新能源、数字经济等风口产业项目，坚持机制、要素、服务、政策跟着项目走理念，实施全流程、精准化服务，保障项目加快建设，为加快“</w:t>
      </w:r>
      <w:r>
        <w:rPr>
          <w:rFonts w:ascii="TimesNewRomanPSMT" w:hAnsi="TimesNewRomanPSMT" w:hint="eastAsia"/>
          <w:sz w:val="32"/>
        </w:rPr>
        <w:t>融入</w:t>
      </w:r>
      <w:r>
        <w:rPr>
          <w:rFonts w:ascii="仿宋_GB2312" w:eastAsia="仿宋_GB2312" w:hAnsi="仿宋_GB2312" w:hint="eastAsia"/>
          <w:sz w:val="32"/>
        </w:rPr>
        <w:t>副中心、形成增长极</w:t>
      </w:r>
      <w:r>
        <w:rPr>
          <w:rFonts w:ascii="TimesNewRomanPSMT" w:eastAsia="TimesNewRomanPSMT" w:hAnsi="TimesNewRomanPSMT" w:hint="eastAsia"/>
          <w:sz w:val="32"/>
        </w:rPr>
        <w:t>”</w:t>
      </w:r>
      <w:r>
        <w:rPr>
          <w:rFonts w:ascii="仿宋_GB2312" w:eastAsia="仿宋_GB2312" w:hAnsi="仿宋_GB2312" w:hint="eastAsia"/>
          <w:sz w:val="32"/>
        </w:rPr>
        <w:t>提供强有力支撑。</w:t>
      </w:r>
    </w:p>
    <w:p w14:paraId="2D44983C"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责任单位：区发展改革委牵头，各相关单位，各镇办按职责分工负责</w:t>
      </w:r>
    </w:p>
    <w:p w14:paraId="3B90F051"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50.</w:t>
      </w:r>
      <w:r>
        <w:rPr>
          <w:rFonts w:ascii="楷体_GB2312" w:eastAsia="楷体_GB2312" w:hAnsi="楷体_GB2312" w:hint="eastAsia"/>
          <w:sz w:val="32"/>
        </w:rPr>
        <w:t>聚焦企业权益保护。</w:t>
      </w:r>
      <w:r>
        <w:rPr>
          <w:rFonts w:ascii="仿宋_GB2312" w:eastAsia="仿宋_GB2312" w:hAnsi="仿宋_GB2312" w:hint="eastAsia"/>
          <w:sz w:val="32"/>
        </w:rPr>
        <w:t>严厉打击影响企业生产经营的犯罪行为，重点打击黑社会性质组织和恶势力犯罪团伙以暴力、胁迫等方式向企业收取</w:t>
      </w:r>
      <w:r>
        <w:rPr>
          <w:rFonts w:ascii="TimesNewRomanPSMT" w:eastAsia="TimesNewRomanPSMT" w:hAnsi="TimesNewRomanPSMT" w:hint="eastAsia"/>
          <w:sz w:val="32"/>
        </w:rPr>
        <w:t>“</w:t>
      </w:r>
      <w:r>
        <w:rPr>
          <w:rFonts w:ascii="仿宋_GB2312" w:eastAsia="仿宋_GB2312" w:hAnsi="仿宋_GB2312" w:hint="eastAsia"/>
          <w:sz w:val="32"/>
        </w:rPr>
        <w:t>保护费</w:t>
      </w:r>
      <w:r>
        <w:rPr>
          <w:rFonts w:ascii="TimesNewRomanPSMT" w:eastAsia="TimesNewRomanPSMT" w:hAnsi="TimesNewRomanPSMT" w:hint="eastAsia"/>
          <w:sz w:val="32"/>
        </w:rPr>
        <w:t>”</w:t>
      </w:r>
      <w:r>
        <w:rPr>
          <w:rFonts w:ascii="仿宋_GB2312" w:eastAsia="仿宋_GB2312" w:hAnsi="仿宋_GB2312" w:hint="eastAsia"/>
          <w:sz w:val="32"/>
        </w:rPr>
        <w:t>，欺行霸市、强揽工程、强迫交易、哄抬价格、阻扰施工、暴力威胁等影响企业正常生产经营的的犯罪行为。坚持</w:t>
      </w:r>
      <w:r>
        <w:rPr>
          <w:rFonts w:ascii="TimesNewRomanPSMT" w:eastAsia="TimesNewRomanPSMT" w:hAnsi="TimesNewRomanPSMT" w:hint="eastAsia"/>
          <w:sz w:val="32"/>
        </w:rPr>
        <w:t>“</w:t>
      </w:r>
      <w:r>
        <w:rPr>
          <w:rFonts w:ascii="仿宋_GB2312" w:eastAsia="仿宋_GB2312" w:hAnsi="仿宋_GB2312" w:hint="eastAsia"/>
          <w:sz w:val="32"/>
        </w:rPr>
        <w:t>少捕慎诉慎押</w:t>
      </w:r>
      <w:r>
        <w:rPr>
          <w:rFonts w:ascii="TimesNewRomanPSMT" w:eastAsia="TimesNewRomanPSMT" w:hAnsi="TimesNewRomanPSMT" w:hint="eastAsia"/>
          <w:sz w:val="32"/>
        </w:rPr>
        <w:t>”</w:t>
      </w:r>
      <w:r>
        <w:rPr>
          <w:rFonts w:ascii="仿宋_GB2312" w:eastAsia="仿宋_GB2312" w:hAnsi="仿宋_GB2312" w:hint="eastAsia"/>
          <w:sz w:val="32"/>
        </w:rPr>
        <w:t>。严格适用财产强制措施，坚决防止</w:t>
      </w:r>
      <w:r>
        <w:rPr>
          <w:rFonts w:ascii="TimesNewRomanPSMT" w:eastAsia="TimesNewRomanPSMT" w:hAnsi="TimesNewRomanPSMT" w:hint="eastAsia"/>
          <w:sz w:val="32"/>
        </w:rPr>
        <w:t>“</w:t>
      </w:r>
      <w:r>
        <w:rPr>
          <w:rFonts w:ascii="仿宋_GB2312" w:eastAsia="仿宋_GB2312" w:hAnsi="仿宋_GB2312" w:hint="eastAsia"/>
          <w:sz w:val="32"/>
        </w:rPr>
        <w:t>一刀切</w:t>
      </w:r>
      <w:r>
        <w:rPr>
          <w:rFonts w:ascii="TimesNewRomanPSMT" w:eastAsia="TimesNewRomanPSMT" w:hAnsi="TimesNewRomanPSMT" w:hint="eastAsia"/>
          <w:sz w:val="32"/>
        </w:rPr>
        <w:t>”</w:t>
      </w:r>
      <w:r>
        <w:rPr>
          <w:rFonts w:ascii="仿宋_GB2312" w:eastAsia="仿宋_GB2312" w:hAnsi="仿宋_GB2312" w:hint="eastAsia"/>
          <w:sz w:val="32"/>
        </w:rPr>
        <w:t>。完善涉营商环境案件</w:t>
      </w:r>
      <w:r>
        <w:rPr>
          <w:rFonts w:ascii="TimesNewRomanPSMT" w:eastAsia="TimesNewRomanPSMT" w:hAnsi="TimesNewRomanPSMT" w:hint="eastAsia"/>
          <w:sz w:val="32"/>
        </w:rPr>
        <w:t>“</w:t>
      </w:r>
      <w:r>
        <w:rPr>
          <w:rFonts w:ascii="仿宋_GB2312" w:eastAsia="仿宋_GB2312" w:hAnsi="仿宋_GB2312" w:hint="eastAsia"/>
          <w:sz w:val="32"/>
        </w:rPr>
        <w:t>绿标签</w:t>
      </w:r>
      <w:r>
        <w:rPr>
          <w:rFonts w:ascii="TimesNewRomanPSMT" w:eastAsia="TimesNewRomanPSMT" w:hAnsi="TimesNewRomanPSMT" w:hint="eastAsia"/>
          <w:sz w:val="32"/>
        </w:rPr>
        <w:t>”</w:t>
      </w:r>
      <w:r>
        <w:rPr>
          <w:rFonts w:ascii="仿宋_GB2312" w:eastAsia="仿宋_GB2312" w:hAnsi="仿宋_GB2312" w:hint="eastAsia"/>
          <w:sz w:val="32"/>
        </w:rPr>
        <w:t>制度，深入推进民商事案件繁简分流，提高诉讼效率。深入推进综合治理解决执行难，保障各类市场主体及时实现胜</w:t>
      </w:r>
      <w:r>
        <w:rPr>
          <w:rFonts w:ascii="仿宋_GB2312" w:eastAsia="仿宋_GB2312" w:hAnsi="仿宋_GB2312" w:hint="eastAsia"/>
          <w:sz w:val="32"/>
        </w:rPr>
        <w:lastRenderedPageBreak/>
        <w:t>诉权益。建成</w:t>
      </w:r>
      <w:r>
        <w:rPr>
          <w:rFonts w:ascii="TimesNewRomanPSMT" w:eastAsia="TimesNewRomanPSMT" w:hAnsi="TimesNewRomanPSMT" w:hint="eastAsia"/>
          <w:sz w:val="32"/>
        </w:rPr>
        <w:t>“</w:t>
      </w:r>
      <w:r>
        <w:rPr>
          <w:rFonts w:ascii="仿宋_GB2312" w:eastAsia="仿宋_GB2312" w:hAnsi="仿宋_GB2312" w:hint="eastAsia"/>
          <w:sz w:val="32"/>
        </w:rPr>
        <w:t>标准化、精准化、便捷化</w:t>
      </w:r>
      <w:r>
        <w:rPr>
          <w:rFonts w:ascii="TimesNewRomanPSMT" w:eastAsia="TimesNewRomanPSMT" w:hAnsi="TimesNewRomanPSMT" w:hint="eastAsia"/>
          <w:sz w:val="32"/>
        </w:rPr>
        <w:t>”</w:t>
      </w:r>
      <w:r>
        <w:rPr>
          <w:rFonts w:ascii="仿宋_GB2312" w:eastAsia="仿宋_GB2312" w:hAnsi="仿宋_GB2312" w:hint="eastAsia"/>
          <w:sz w:val="32"/>
        </w:rPr>
        <w:t>的公共法律服务平台，精准服务营商环境。持续开展中小企业款项清理行动。</w:t>
      </w:r>
    </w:p>
    <w:p w14:paraId="426027F2"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责任单位：区委政法委、市公安局偃师分局、区检察院、区法院、区工信局按职责分工负责</w:t>
      </w:r>
    </w:p>
    <w:p w14:paraId="7DE9448E" w14:textId="77777777" w:rsidR="00C97237" w:rsidRDefault="00000000">
      <w:pPr>
        <w:ind w:firstLineChars="200" w:firstLine="643"/>
        <w:jc w:val="left"/>
        <w:rPr>
          <w:rFonts w:ascii="仿宋_GB2312" w:eastAsia="仿宋_GB2312" w:hAnsi="仿宋_GB2312"/>
          <w:sz w:val="32"/>
        </w:rPr>
      </w:pPr>
      <w:r>
        <w:rPr>
          <w:rFonts w:ascii="TimesNewRomanPS-BoldMT" w:eastAsia="TimesNewRomanPS-BoldMT" w:hAnsi="TimesNewRomanPS-BoldMT" w:hint="eastAsia"/>
          <w:b/>
          <w:sz w:val="32"/>
        </w:rPr>
        <w:t>51.</w:t>
      </w:r>
      <w:r>
        <w:rPr>
          <w:rFonts w:ascii="仿宋_GB2312" w:eastAsia="仿宋_GB2312" w:hAnsi="仿宋_GB2312" w:hint="eastAsia"/>
          <w:sz w:val="32"/>
        </w:rPr>
        <w:t>营造良好信用环境。聚焦市场主体需求关切，发挥信用正向激励和负面惩戒作用，以信用监管、信用服务、诚信文化建设为抓手，推进政务诚信、商务诚信、社会诚信、司法公信等为重点的社会信用体系建设，降低市场主体交易成本，推进市场主体倍增质升，助力创建全国第四批社会信用体系建设示范区。</w:t>
      </w:r>
    </w:p>
    <w:p w14:paraId="78F7ED06" w14:textId="77777777" w:rsidR="00C97237" w:rsidRDefault="00000000">
      <w:pPr>
        <w:ind w:firstLineChars="200" w:firstLine="640"/>
        <w:jc w:val="left"/>
        <w:rPr>
          <w:rFonts w:ascii="仿宋_GB2312" w:eastAsia="仿宋_GB2312" w:hAnsi="仿宋_GB2312"/>
          <w:sz w:val="32"/>
        </w:rPr>
      </w:pPr>
      <w:r>
        <w:rPr>
          <w:rFonts w:ascii="仿宋_GB2312" w:eastAsia="仿宋_GB2312" w:hAnsi="仿宋_GB2312" w:hint="eastAsia"/>
          <w:sz w:val="32"/>
        </w:rPr>
        <w:t>责任单位：区发展改革委牵头，区社会信用体系建设工作领导小组各成员单位按职责分工负责</w:t>
      </w:r>
    </w:p>
    <w:p w14:paraId="5A4CFFAE" w14:textId="77777777" w:rsidR="00C97237" w:rsidRDefault="00000000">
      <w:pPr>
        <w:ind w:firstLineChars="200" w:firstLine="640"/>
        <w:jc w:val="left"/>
        <w:rPr>
          <w:rFonts w:ascii="黑体" w:eastAsia="黑体" w:hAnsi="黑体"/>
          <w:sz w:val="32"/>
        </w:rPr>
      </w:pPr>
      <w:r>
        <w:rPr>
          <w:rFonts w:ascii="黑体" w:eastAsia="黑体" w:hAnsi="黑体" w:hint="eastAsia"/>
          <w:sz w:val="32"/>
        </w:rPr>
        <w:t>四、组织实施</w:t>
      </w:r>
    </w:p>
    <w:p w14:paraId="56F9A3D4" w14:textId="77777777" w:rsidR="00C97237" w:rsidRDefault="00000000">
      <w:pPr>
        <w:ind w:firstLineChars="200" w:firstLine="640"/>
        <w:jc w:val="left"/>
        <w:rPr>
          <w:rFonts w:ascii="仿宋_GB2312" w:eastAsia="仿宋_GB2312" w:hAnsi="仿宋_GB2312"/>
          <w:sz w:val="32"/>
        </w:rPr>
      </w:pPr>
      <w:r>
        <w:rPr>
          <w:rFonts w:ascii="楷体_GB2312" w:eastAsia="楷体_GB2312" w:hAnsi="楷体_GB2312" w:hint="eastAsia"/>
          <w:sz w:val="32"/>
        </w:rPr>
        <w:t>（一）加强组织领导。</w:t>
      </w:r>
      <w:r>
        <w:rPr>
          <w:rFonts w:ascii="仿宋_GB2312" w:eastAsia="仿宋_GB2312" w:hAnsi="仿宋_GB2312" w:hint="eastAsia"/>
          <w:sz w:val="32"/>
        </w:rPr>
        <w:t>各镇办，各部门要严格落实</w:t>
      </w:r>
      <w:r>
        <w:rPr>
          <w:rFonts w:ascii="TimesNewRomanPSMT" w:eastAsia="TimesNewRomanPSMT" w:hAnsi="TimesNewRomanPSMT" w:hint="eastAsia"/>
          <w:sz w:val="32"/>
        </w:rPr>
        <w:t>“</w:t>
      </w:r>
      <w:r>
        <w:rPr>
          <w:rFonts w:ascii="仿宋_GB2312" w:eastAsia="仿宋_GB2312" w:hAnsi="仿宋_GB2312" w:hint="eastAsia"/>
          <w:sz w:val="32"/>
        </w:rPr>
        <w:t>一把手</w:t>
      </w:r>
      <w:r>
        <w:rPr>
          <w:rFonts w:ascii="TimesNewRomanPSMT" w:eastAsia="TimesNewRomanPSMT" w:hAnsi="TimesNewRomanPSMT" w:hint="eastAsia"/>
          <w:sz w:val="32"/>
        </w:rPr>
        <w:t>”</w:t>
      </w:r>
      <w:r>
        <w:rPr>
          <w:rFonts w:ascii="仿宋_GB2312" w:eastAsia="仿宋_GB2312" w:hAnsi="仿宋_GB2312" w:hint="eastAsia"/>
          <w:sz w:val="32"/>
        </w:rPr>
        <w:t>负责制，以政策升级为契机，完善工作机制，细化工作举措，明确工作责任，严格按照本方案的规定，建立工作台账，按照时间节点高质量落实各项举措，确保各项目标任务按时高效完成。</w:t>
      </w:r>
    </w:p>
    <w:p w14:paraId="420EF241" w14:textId="77777777" w:rsidR="00C97237" w:rsidRDefault="00000000">
      <w:pPr>
        <w:ind w:firstLineChars="200" w:firstLine="640"/>
        <w:jc w:val="left"/>
        <w:rPr>
          <w:rFonts w:ascii="仿宋_GB2312" w:eastAsia="仿宋_GB2312" w:hAnsi="仿宋_GB2312"/>
          <w:sz w:val="32"/>
        </w:rPr>
      </w:pPr>
      <w:r>
        <w:rPr>
          <w:rFonts w:ascii="楷体_GB2312" w:eastAsia="楷体_GB2312" w:hAnsi="楷体_GB2312" w:hint="eastAsia"/>
          <w:sz w:val="32"/>
        </w:rPr>
        <w:t>（二）强化协调联动。</w:t>
      </w:r>
      <w:r>
        <w:rPr>
          <w:rFonts w:ascii="仿宋_GB2312" w:eastAsia="仿宋_GB2312" w:hAnsi="仿宋_GB2312" w:hint="eastAsia"/>
          <w:sz w:val="32"/>
        </w:rPr>
        <w:t>营商环境建设主管部门要主动作为，强化与各配合部门的沟通配合，全面掌握各项工作进度，协调解决重大问题。各方案牵头部门要充分发挥区领导分包营商环境重点领域机制作用，强化担当意识，担负起本领域</w:t>
      </w:r>
      <w:r>
        <w:rPr>
          <w:rFonts w:ascii="仿宋_GB2312" w:eastAsia="仿宋_GB2312" w:hAnsi="仿宋_GB2312" w:hint="eastAsia"/>
          <w:sz w:val="32"/>
        </w:rPr>
        <w:lastRenderedPageBreak/>
        <w:t>各项重点任务的协调推进，创新优化指标政策举措，确保各项举措落地见效。各配合部门要积极主动，对职责范围内任务进行深入研究，坚决贯彻方案内容，形成工作合力。</w:t>
      </w:r>
    </w:p>
    <w:p w14:paraId="52707337" w14:textId="77777777" w:rsidR="00C97237" w:rsidRDefault="00000000">
      <w:pPr>
        <w:ind w:firstLineChars="200" w:firstLine="640"/>
        <w:jc w:val="left"/>
        <w:rPr>
          <w:rFonts w:ascii="仿宋_GB2312" w:eastAsia="仿宋_GB2312" w:hAnsi="仿宋_GB2312"/>
          <w:sz w:val="32"/>
        </w:rPr>
      </w:pPr>
      <w:r>
        <w:rPr>
          <w:rFonts w:ascii="楷体_GB2312" w:eastAsia="楷体_GB2312" w:hAnsi="楷体_GB2312" w:hint="eastAsia"/>
          <w:sz w:val="32"/>
        </w:rPr>
        <w:t>（三）强化督查考核。</w:t>
      </w:r>
      <w:r>
        <w:rPr>
          <w:rFonts w:ascii="仿宋_GB2312" w:eastAsia="仿宋_GB2312" w:hAnsi="仿宋_GB2312" w:hint="eastAsia"/>
          <w:sz w:val="32"/>
        </w:rPr>
        <w:t>继续将专项提升工作落实情况列入区委、区政府和工作专班的重点督查事项，不定期开展</w:t>
      </w:r>
      <w:r>
        <w:rPr>
          <w:rFonts w:ascii="TimesNewRomanPSMT" w:eastAsia="TimesNewRomanPSMT" w:hAnsi="TimesNewRomanPSMT" w:hint="eastAsia"/>
          <w:sz w:val="32"/>
        </w:rPr>
        <w:t>“</w:t>
      </w:r>
      <w:r>
        <w:rPr>
          <w:rFonts w:ascii="仿宋_GB2312" w:eastAsia="仿宋_GB2312" w:hAnsi="仿宋_GB2312" w:hint="eastAsia"/>
          <w:sz w:val="32"/>
        </w:rPr>
        <w:t>回头看</w:t>
      </w:r>
      <w:r>
        <w:rPr>
          <w:rFonts w:ascii="TimesNewRomanPSMT" w:eastAsia="TimesNewRomanPSMT" w:hAnsi="TimesNewRomanPSMT" w:hint="eastAsia"/>
          <w:sz w:val="32"/>
        </w:rPr>
        <w:t>”</w:t>
      </w:r>
      <w:r>
        <w:rPr>
          <w:rFonts w:ascii="仿宋_GB2312" w:eastAsia="仿宋_GB2312" w:hAnsi="仿宋_GB2312" w:hint="eastAsia"/>
          <w:sz w:val="32"/>
        </w:rPr>
        <w:t>专项督察。对关键环节和重点任务进行专项督查，确保各项工作有序推进。对落实不利、进展缓慢的约谈通报，及时调整部署；对工作积极主动、成效显著的予以宣传表扬，持续强化巩固，提高整体实效。</w:t>
      </w:r>
    </w:p>
    <w:p w14:paraId="3F00E962" w14:textId="77777777" w:rsidR="00C97237" w:rsidRDefault="00000000">
      <w:pPr>
        <w:ind w:firstLineChars="200" w:firstLine="640"/>
        <w:jc w:val="left"/>
      </w:pPr>
      <w:r>
        <w:rPr>
          <w:rFonts w:ascii="楷体_GB2312" w:eastAsia="楷体_GB2312" w:hAnsi="楷体_GB2312" w:hint="eastAsia"/>
          <w:sz w:val="32"/>
        </w:rPr>
        <w:t>（四）营造良好氛围。</w:t>
      </w:r>
      <w:r>
        <w:rPr>
          <w:rFonts w:ascii="仿宋_GB2312" w:eastAsia="仿宋_GB2312" w:hAnsi="仿宋_GB2312" w:hint="eastAsia"/>
          <w:sz w:val="32"/>
        </w:rPr>
        <w:t>各镇办，各相关单位要充分发挥新闻媒体作用，通过新闻发布、专题采访、追踪报道、开辟专栏等方式，广泛宣传优化营商环境政策措施和先进典型，要加强政企沟通，主动听取市场主体、专业机构以及行业协会商会的建议，营造全社会参与的良好营商舆论氛围。</w:t>
      </w:r>
    </w:p>
    <w:p w14:paraId="21063DBA" w14:textId="77777777" w:rsidR="00C97237" w:rsidRDefault="00C97237">
      <w:pPr>
        <w:spacing w:line="580" w:lineRule="exact"/>
        <w:jc w:val="center"/>
        <w:rPr>
          <w:rFonts w:ascii="黑体" w:eastAsia="黑体" w:hAnsi="黑体" w:cs="黑体"/>
          <w:sz w:val="44"/>
          <w:szCs w:val="44"/>
        </w:rPr>
      </w:pPr>
    </w:p>
    <w:p w14:paraId="077ADC58" w14:textId="77777777" w:rsidR="00C97237" w:rsidRDefault="00C97237">
      <w:pPr>
        <w:spacing w:line="580" w:lineRule="exact"/>
        <w:jc w:val="center"/>
        <w:rPr>
          <w:rFonts w:ascii="黑体" w:eastAsia="黑体" w:hAnsi="黑体" w:cs="黑体"/>
          <w:sz w:val="44"/>
          <w:szCs w:val="44"/>
        </w:rPr>
      </w:pPr>
    </w:p>
    <w:p w14:paraId="0F63D24C" w14:textId="77777777" w:rsidR="00C97237" w:rsidRDefault="00C97237">
      <w:pPr>
        <w:pStyle w:val="Default"/>
        <w:rPr>
          <w:rFonts w:ascii="黑体" w:eastAsia="黑体" w:hAnsi="黑体" w:cs="黑体"/>
          <w:sz w:val="44"/>
          <w:szCs w:val="44"/>
        </w:rPr>
      </w:pPr>
    </w:p>
    <w:p w14:paraId="0387552D" w14:textId="77777777" w:rsidR="00C97237" w:rsidRDefault="00C97237">
      <w:pPr>
        <w:pStyle w:val="a9"/>
      </w:pPr>
    </w:p>
    <w:p w14:paraId="79DB4F39" w14:textId="77777777" w:rsidR="00C97237" w:rsidRDefault="00C97237">
      <w:pPr>
        <w:spacing w:line="580" w:lineRule="exact"/>
        <w:jc w:val="left"/>
        <w:rPr>
          <w:rFonts w:ascii="黑体" w:eastAsia="黑体" w:hAnsi="黑体" w:cs="黑体"/>
          <w:sz w:val="44"/>
          <w:szCs w:val="44"/>
        </w:rPr>
      </w:pPr>
    </w:p>
    <w:p w14:paraId="6D7B4088" w14:textId="77777777" w:rsidR="00C97237" w:rsidRDefault="00C97237">
      <w:pPr>
        <w:spacing w:line="580" w:lineRule="exact"/>
        <w:jc w:val="left"/>
        <w:rPr>
          <w:rFonts w:ascii="黑体" w:eastAsia="黑体" w:hAnsi="黑体" w:cs="黑体"/>
          <w:sz w:val="44"/>
          <w:szCs w:val="44"/>
        </w:rPr>
      </w:pPr>
    </w:p>
    <w:p w14:paraId="2C6780F1" w14:textId="77777777" w:rsidR="00C97237" w:rsidRDefault="00C97237">
      <w:pPr>
        <w:spacing w:line="580" w:lineRule="exact"/>
        <w:jc w:val="left"/>
        <w:rPr>
          <w:rFonts w:ascii="黑体" w:eastAsia="黑体" w:hAnsi="黑体" w:cs="黑体"/>
          <w:sz w:val="44"/>
          <w:szCs w:val="44"/>
        </w:rPr>
      </w:pPr>
    </w:p>
    <w:p w14:paraId="19CA67CF" w14:textId="77777777" w:rsidR="00C97237" w:rsidRDefault="00000000">
      <w:pPr>
        <w:spacing w:line="580" w:lineRule="exact"/>
        <w:jc w:val="left"/>
        <w:rPr>
          <w:rFonts w:ascii="黑体" w:eastAsia="黑体" w:hAnsi="黑体" w:cs="黑体"/>
          <w:sz w:val="44"/>
          <w:szCs w:val="44"/>
        </w:rPr>
      </w:pPr>
      <w:r>
        <w:rPr>
          <w:rFonts w:ascii="黑体" w:eastAsia="黑体" w:hAnsi="黑体" w:cs="黑体" w:hint="eastAsia"/>
          <w:sz w:val="44"/>
          <w:szCs w:val="44"/>
        </w:rPr>
        <w:t>附件2</w:t>
      </w:r>
    </w:p>
    <w:p w14:paraId="04FD23E7"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t>偃师区偃师区企业开办提升专项</w:t>
      </w:r>
    </w:p>
    <w:p w14:paraId="7E571521"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lastRenderedPageBreak/>
        <w:t>行动方案</w:t>
      </w:r>
    </w:p>
    <w:p w14:paraId="6DD2866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落实党中央、国务院关于进一步优化营商环境的决策部署，按照省委省政府、市委市政府、区委区政府优化营商环境综合改革的工作要求，大幅提升企业和群众对企业开办便利化的满意度和获得感，助力我区优化营商环境示范城市建设，结合我区实际，制定本行动方案。</w:t>
      </w:r>
    </w:p>
    <w:p w14:paraId="407A0696"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 xml:space="preserve">一、总体要求 </w:t>
      </w:r>
    </w:p>
    <w:p w14:paraId="245B901F" w14:textId="77777777" w:rsidR="00C97237" w:rsidRDefault="00000000">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以习近平新时代中国特色社会主义思想为指导，认真贯彻落实党中央、国务院和省委、省政府决策部署，全面深化“放管服” 改革，以推行“企业开办+N 项服务”，依托偃师区自建的“一网通办”升级版平台为抓手，坚持问题导向，强化标杆引领，进一步提升企业开办 的便利化、集成化和便民化服务水平，营造市场化、法治化、国际化企业开办营商环境，切实增强人民群众的获得感、幸福感和满意度。         </w:t>
      </w:r>
    </w:p>
    <w:p w14:paraId="67B4B0C1" w14:textId="77777777" w:rsidR="00C97237" w:rsidRDefault="00000000">
      <w:pPr>
        <w:spacing w:line="58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 xml:space="preserve">二、工作目标 </w:t>
      </w:r>
    </w:p>
    <w:p w14:paraId="19EDBE7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再造企业开办流程，集成更多企业开办事项，持续优化提升企业开办效能，依托偃师区自建企业开办“一网通办”升级版平台，推行“企业开办+N项服务”，将涉及企业开办的企业登记、印章刻制、申领发票、员工参保登记、公积金缴存、银行开户等事项均纳入平台，真正实现各部门数据实时交互共享利用、推进各环节同步并联办理，为市场主体创业创新营造更加便利、高效、优质的企业开办环境，切实实现我区企业开办“一网办、并联办、零收费、一日办结”的目标。同时依托偃师区建立的企业电子印章发放和使用系</w:t>
      </w:r>
      <w:r>
        <w:rPr>
          <w:rFonts w:ascii="仿宋" w:eastAsia="仿宋" w:hAnsi="仿宋" w:cs="仿宋" w:hint="eastAsia"/>
          <w:sz w:val="32"/>
          <w:szCs w:val="32"/>
        </w:rPr>
        <w:lastRenderedPageBreak/>
        <w:t xml:space="preserve">统，为企业免费提供电子印章，全面推进企业电子营业执照、电子印章在政务服务领域跨行业、跨区域、跨层级应用。到2022年底，全区企业开办“一日办结”，网上办理占比超过 95%，努力打造“全省最优、全国一流”的洛阳企业开办营商环境。 </w:t>
      </w:r>
    </w:p>
    <w:p w14:paraId="50B1D492"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 xml:space="preserve">三、主要举措 </w:t>
      </w:r>
    </w:p>
    <w:p w14:paraId="5134B4F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一）依托洛阳自建企业开办“一网通办”升级版平台，加强政银企战略合作，结合洛阳实际，利用偃师区企业开办“一网通办”升级版平台，实现数据共享，形成部门涉企数据适时交互机制。区市场监管局负责“一网通办”平台的开发、运行及维护，区政务服务和大数据管理局负责“一网通办”平台所需政务云平台资源配置及保障；企业开办各相关部门做好业务系统与企业开办平台的对接工作：区公安分局负责印章刻制企业系统对接，区税务局负责申领发票业务办理，区公积金中心负责公积金缴存系统对接，区社保中心负责社保系统对接，人民银行偃师支行负责各商业银行对接，并实时将办件结果反馈至“一网通办”平台，确保数据实时共享、全程留痕，实现企业开办事项全流程网上闭环管理。</w:t>
      </w:r>
    </w:p>
    <w:p w14:paraId="6E10207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时间节点：2022年6月 </w:t>
      </w:r>
    </w:p>
    <w:p w14:paraId="7BBAEEF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责任单位：区市场监管局、区政务服务和大数据管理局、区公安分局、区税务局、区社保中心、区公积金管理中心、人民银行偃师支行 </w:t>
      </w:r>
    </w:p>
    <w:p w14:paraId="4D6E634E" w14:textId="77777777" w:rsidR="00C97237" w:rsidRDefault="00000000">
      <w:pPr>
        <w:numPr>
          <w:ilvl w:val="0"/>
          <w:numId w:val="1"/>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推行“企业开办＋N 项服务”。在已纳入企业设立登记 （合并社保登记）、公章刻制、申领发票和税控设</w:t>
      </w:r>
      <w:r>
        <w:rPr>
          <w:rFonts w:ascii="仿宋" w:eastAsia="仿宋" w:hAnsi="仿宋" w:cs="仿宋" w:hint="eastAsia"/>
          <w:sz w:val="32"/>
          <w:szCs w:val="32"/>
        </w:rPr>
        <w:lastRenderedPageBreak/>
        <w:t xml:space="preserve">备等事项基础上，将员工参保登记、住房公积金企业缴存登记、银行预约开户等事项进一步纳入企业开办“一网通办”平台。探索将获得电力、投资项目备案等更多事项纳入覆盖范围，实行集成、并联办理，最大化释放改革红利。 </w:t>
      </w:r>
    </w:p>
    <w:p w14:paraId="1EE47EA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 年 6 月 </w:t>
      </w:r>
    </w:p>
    <w:p w14:paraId="3EDAB16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责任单位：区市场监管局、区公安分局、区社保中心、区公积金管理中心、区税务局、人民银行偃师支行、区政务服务和大数据管理局、区发展改革委、偃师供电公司 </w:t>
      </w:r>
    </w:p>
    <w:p w14:paraId="66D521E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三）提供企业开办个性化套餐式服务。结合企业开办实际情况，针对不同的开办需求，提供个性化企业开办套餐，提升企业开办效能。A套餐（企业登记、印章刻制）、B套餐（企业登记、印章刻制、银行预约开户）、C套餐（企业登记、印章刻制、申领发票）、D套餐（企业登记、印章刻制、申领发票、员工社保登记、住房公积金开户登记、银行预约开户）等四个套餐，实施规范化、标准化、精准化、贴心化服务，满足企业开办的差异化需求。</w:t>
      </w:r>
    </w:p>
    <w:p w14:paraId="1983429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 年 6 月 </w:t>
      </w:r>
    </w:p>
    <w:p w14:paraId="5B9E44E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责任单位：区市场监管局、区公安分局、区社保中心、区公积金管理中心、区税务局、人民银行偃师支行、区政务服务和大数据管理局 </w:t>
      </w:r>
    </w:p>
    <w:p w14:paraId="61C5B4D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实施企业开办信息“一次采集”。进一步梳理企业开办所需材料，实现企业开办各环节信息一次采集、在线填报，身份信息“一次验证”，各事项信息实时共享。对于前期采集并经过实名验证的身份信息，各相关部门通过数据</w:t>
      </w:r>
      <w:r>
        <w:rPr>
          <w:rFonts w:ascii="仿宋" w:eastAsia="仿宋" w:hAnsi="仿宋" w:cs="仿宋" w:hint="eastAsia"/>
          <w:sz w:val="32"/>
          <w:szCs w:val="32"/>
        </w:rPr>
        <w:lastRenderedPageBreak/>
        <w:t xml:space="preserve">共享，实现结果互认，不再重复采集。 </w:t>
      </w:r>
    </w:p>
    <w:p w14:paraId="78B7B063" w14:textId="77777777" w:rsidR="00C97237" w:rsidRDefault="00000000">
      <w:pPr>
        <w:spacing w:line="580" w:lineRule="exact"/>
        <w:ind w:leftChars="200" w:left="420" w:firstLineChars="100" w:firstLine="320"/>
        <w:rPr>
          <w:rFonts w:ascii="仿宋" w:eastAsia="仿宋" w:hAnsi="仿宋" w:cs="仿宋"/>
          <w:sz w:val="32"/>
          <w:szCs w:val="32"/>
        </w:rPr>
      </w:pPr>
      <w:r>
        <w:rPr>
          <w:rFonts w:ascii="仿宋" w:eastAsia="仿宋" w:hAnsi="仿宋" w:cs="仿宋" w:hint="eastAsia"/>
          <w:sz w:val="32"/>
          <w:szCs w:val="32"/>
        </w:rPr>
        <w:t xml:space="preserve">时间节点：2022年9月 </w:t>
      </w:r>
    </w:p>
    <w:p w14:paraId="39F6B1B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责任单位：区市场监管局、区政务服务和大数据管理局、区公安分局、区税务局、区社保中心、区公积金管理中心、人民银行偃师支行 </w:t>
      </w:r>
    </w:p>
    <w:p w14:paraId="480C74C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五）探索实行银行开户预约模式。经企业授权同意并自愿填写银行开户信息后，通过“一网通办”平台将企业相关信息实时推送给企业选定的开户银行，开户银行生成企业账户预约账号，通过平台推送给社保、公积金管理中心等部门。后续开户银行根据预约需求，按规定为企业开立账户，并将办件结果反馈“一网通办”平台；若不符合开户要求、未成功开立银行账户，银行将前期所生成的企业账户预约账号作废，并通过“一网通办”平台及时将相关信息推送至相关部门。 </w:t>
      </w:r>
    </w:p>
    <w:p w14:paraId="20E7B73A" w14:textId="77777777" w:rsidR="00C97237" w:rsidRDefault="00000000">
      <w:pPr>
        <w:spacing w:line="580" w:lineRule="exact"/>
        <w:ind w:leftChars="200" w:left="420" w:firstLineChars="100" w:firstLine="320"/>
        <w:rPr>
          <w:rFonts w:ascii="仿宋" w:eastAsia="仿宋" w:hAnsi="仿宋" w:cs="仿宋"/>
          <w:sz w:val="32"/>
          <w:szCs w:val="32"/>
        </w:rPr>
      </w:pPr>
      <w:r>
        <w:rPr>
          <w:rFonts w:ascii="仿宋" w:eastAsia="仿宋" w:hAnsi="仿宋" w:cs="仿宋" w:hint="eastAsia"/>
          <w:sz w:val="32"/>
          <w:szCs w:val="32"/>
        </w:rPr>
        <w:t xml:space="preserve">时间节点：2022 年 9 月 </w:t>
      </w:r>
    </w:p>
    <w:p w14:paraId="746CFED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责任单位：人民银行偃师支行、区市场监管局、区社保中心、区公积金管理中心、区税务局、区政务服务和大数据管理局</w:t>
      </w:r>
    </w:p>
    <w:p w14:paraId="147A597A"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六）免费为新开办企业提供电子印章。依托偃师区企业电子印章管理服务系统，并提供系统技术支持和运维服务保障。为我区新开办企业免费刻制实体印章的同时发放电子印章。企业办理开办业务时可通过“一网通办”平台自主选择电子印章免费服务套餐，或在政务服务中心企业开办综合窗口免费申领电子印章，并免费应用电子印章系统签章服</w:t>
      </w:r>
      <w:r>
        <w:rPr>
          <w:rFonts w:ascii="仿宋" w:eastAsia="仿宋" w:hAnsi="仿宋" w:cs="仿宋" w:hint="eastAsia"/>
          <w:sz w:val="32"/>
          <w:szCs w:val="32"/>
        </w:rPr>
        <w:lastRenderedPageBreak/>
        <w:t xml:space="preserve">务。 </w:t>
      </w:r>
    </w:p>
    <w:p w14:paraId="34C75418" w14:textId="77777777" w:rsidR="00C97237" w:rsidRDefault="00000000">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时间节点：2022 年 12 月 </w:t>
      </w:r>
    </w:p>
    <w:p w14:paraId="5DF1EE17" w14:textId="77777777" w:rsidR="00C97237" w:rsidRDefault="00000000">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责任单位：区市场监管局、区政务服务和大数据管理局、区公安分局</w:t>
      </w:r>
    </w:p>
    <w:p w14:paraId="2547CC3D" w14:textId="77777777" w:rsidR="00C97237" w:rsidRDefault="00000000">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加快推进电子营业执照和电子印章联合应用。以电子营业执照为依托，以电子认证服务为支撑，构建统一的电子营业执照和企业电子印章同步制作、发放、使用服务体系，推动实现电子营业执照和企业电子印章同步发放、跨地区跨部门互信互认。拓展电子营业执照、电子签名和电子印章在涉企服务领域应用，在我区政务服务和公共服务领域全面实现电子营业执照、电子印章应用，实现使用电子营业执照作为主体身份信息核验或电子签名工具，也可使用电子印章作为电子签名工具，全流程办结相关业务。对于通过“洛阳政务服务网”办理的政务服务事项，凡可以使用电子材料的，均应当提供电子版式；公积金、不动产等自建系统通过与省电子营业执照库、市企业电子印章系统对接，实现集中、批量、自动化的签章、验章使用需求。通过在线填报、在线核验、在线签章等方式，不断提升用户体验感，持续提高办 事材料线上线下共享复用水平。</w:t>
      </w:r>
    </w:p>
    <w:p w14:paraId="4E72F881" w14:textId="77777777" w:rsidR="00C97237" w:rsidRDefault="00000000">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时间节点：2022 年 12 月 </w:t>
      </w:r>
    </w:p>
    <w:p w14:paraId="2BB45D7B" w14:textId="77777777" w:rsidR="00C97237" w:rsidRDefault="00000000">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责任单位：区政务服务和大数据管理局、区市场监管局、各涉企服务相关单位 </w:t>
      </w:r>
    </w:p>
    <w:p w14:paraId="417311BF" w14:textId="77777777" w:rsidR="00C97237" w:rsidRDefault="00000000">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（八）统筹推进相关改革举措。进一步完善企业名称自主申报、住所承诺制、经营范围登记规范化等商事登记便利</w:t>
      </w:r>
      <w:r>
        <w:rPr>
          <w:rFonts w:ascii="仿宋" w:eastAsia="仿宋" w:hAnsi="仿宋" w:cs="仿宋" w:hint="eastAsia"/>
          <w:sz w:val="32"/>
          <w:szCs w:val="32"/>
        </w:rPr>
        <w:lastRenderedPageBreak/>
        <w:t>化改革举措，深入实施“证照分离”“多证合一”“多证集成、一照通行”“一址 多照、一照多址”等证照领域改革，加强企业开办与各项改革的有机衔接和协同共进，形成优化营商环境、激发市场活力的有效 合力。</w:t>
      </w:r>
    </w:p>
    <w:p w14:paraId="767CB2F6"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时间节点：2022 年 12 月</w:t>
      </w:r>
    </w:p>
    <w:p w14:paraId="28EA7AC2"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 xml:space="preserve">责任单位：区市场监管局、各涉企服务相关单位 </w:t>
      </w:r>
    </w:p>
    <w:p w14:paraId="467433D3" w14:textId="77777777" w:rsidR="00C97237" w:rsidRDefault="00000000">
      <w:pPr>
        <w:numPr>
          <w:ilvl w:val="0"/>
          <w:numId w:val="2"/>
        </w:numPr>
        <w:spacing w:line="580" w:lineRule="exact"/>
        <w:rPr>
          <w:rFonts w:ascii="仿宋" w:eastAsia="仿宋" w:hAnsi="仿宋" w:cs="仿宋"/>
          <w:b/>
          <w:bCs/>
          <w:sz w:val="32"/>
          <w:szCs w:val="32"/>
        </w:rPr>
      </w:pPr>
      <w:r>
        <w:rPr>
          <w:rFonts w:ascii="仿宋" w:eastAsia="仿宋" w:hAnsi="仿宋" w:cs="仿宋" w:hint="eastAsia"/>
          <w:b/>
          <w:bCs/>
          <w:sz w:val="32"/>
          <w:szCs w:val="32"/>
        </w:rPr>
        <w:t>指标对比</w:t>
      </w:r>
    </w:p>
    <w:tbl>
      <w:tblPr>
        <w:tblStyle w:val="ac"/>
        <w:tblpPr w:leftFromText="180" w:rightFromText="180" w:vertAnchor="text" w:horzAnchor="page" w:tblpX="1875" w:tblpY="97"/>
        <w:tblOverlap w:val="never"/>
        <w:tblW w:w="8890" w:type="dxa"/>
        <w:tblLayout w:type="fixed"/>
        <w:tblLook w:val="04A0" w:firstRow="1" w:lastRow="0" w:firstColumn="1" w:lastColumn="0" w:noHBand="0" w:noVBand="1"/>
      </w:tblPr>
      <w:tblGrid>
        <w:gridCol w:w="745"/>
        <w:gridCol w:w="735"/>
        <w:gridCol w:w="1500"/>
        <w:gridCol w:w="2985"/>
        <w:gridCol w:w="960"/>
        <w:gridCol w:w="915"/>
        <w:gridCol w:w="1050"/>
      </w:tblGrid>
      <w:tr w:rsidR="00C97237" w14:paraId="407BE494" w14:textId="77777777">
        <w:trPr>
          <w:trHeight w:val="2145"/>
        </w:trPr>
        <w:tc>
          <w:tcPr>
            <w:tcW w:w="745" w:type="dxa"/>
          </w:tcPr>
          <w:p w14:paraId="72F50D33" w14:textId="77777777" w:rsidR="00C97237" w:rsidRDefault="00000000">
            <w:pPr>
              <w:spacing w:line="580" w:lineRule="exact"/>
              <w:rPr>
                <w:rFonts w:ascii="仿宋" w:eastAsia="仿宋" w:hAnsi="仿宋" w:cs="仿宋"/>
                <w:b/>
                <w:bCs/>
                <w:sz w:val="28"/>
                <w:szCs w:val="28"/>
              </w:rPr>
            </w:pPr>
            <w:r>
              <w:rPr>
                <w:rFonts w:ascii="仿宋" w:eastAsia="仿宋" w:hAnsi="仿宋" w:cs="仿宋" w:hint="eastAsia"/>
                <w:b/>
                <w:bCs/>
                <w:sz w:val="28"/>
                <w:szCs w:val="28"/>
              </w:rPr>
              <w:t>指标项目</w:t>
            </w:r>
          </w:p>
        </w:tc>
        <w:tc>
          <w:tcPr>
            <w:tcW w:w="735" w:type="dxa"/>
          </w:tcPr>
          <w:p w14:paraId="3E085EC7" w14:textId="77777777" w:rsidR="00C97237" w:rsidRDefault="00000000">
            <w:pPr>
              <w:spacing w:line="580" w:lineRule="exact"/>
              <w:rPr>
                <w:rFonts w:ascii="仿宋" w:eastAsia="仿宋" w:hAnsi="仿宋" w:cs="仿宋"/>
                <w:b/>
                <w:bCs/>
                <w:sz w:val="28"/>
                <w:szCs w:val="28"/>
              </w:rPr>
            </w:pPr>
            <w:r>
              <w:rPr>
                <w:rFonts w:ascii="仿宋" w:eastAsia="仿宋" w:hAnsi="仿宋" w:cs="仿宋" w:hint="eastAsia"/>
                <w:b/>
                <w:bCs/>
                <w:sz w:val="28"/>
                <w:szCs w:val="28"/>
              </w:rPr>
              <w:t>现状水平</w:t>
            </w:r>
          </w:p>
        </w:tc>
        <w:tc>
          <w:tcPr>
            <w:tcW w:w="1500" w:type="dxa"/>
          </w:tcPr>
          <w:p w14:paraId="6228DEDE" w14:textId="77777777" w:rsidR="00C97237" w:rsidRDefault="00000000">
            <w:pPr>
              <w:spacing w:line="580" w:lineRule="exact"/>
              <w:rPr>
                <w:rFonts w:ascii="仿宋" w:eastAsia="仿宋" w:hAnsi="仿宋" w:cs="仿宋"/>
                <w:b/>
                <w:bCs/>
                <w:sz w:val="28"/>
                <w:szCs w:val="28"/>
              </w:rPr>
            </w:pPr>
            <w:r>
              <w:rPr>
                <w:rFonts w:ascii="仿宋" w:eastAsia="仿宋" w:hAnsi="仿宋" w:cs="仿宋" w:hint="eastAsia"/>
                <w:b/>
                <w:bCs/>
                <w:sz w:val="28"/>
                <w:szCs w:val="28"/>
              </w:rPr>
              <w:t>省目标</w:t>
            </w:r>
          </w:p>
        </w:tc>
        <w:tc>
          <w:tcPr>
            <w:tcW w:w="2985" w:type="dxa"/>
          </w:tcPr>
          <w:p w14:paraId="54FADE09" w14:textId="77777777" w:rsidR="00C97237" w:rsidRDefault="00000000">
            <w:pPr>
              <w:spacing w:line="580" w:lineRule="exact"/>
              <w:rPr>
                <w:rFonts w:ascii="仿宋" w:eastAsia="仿宋" w:hAnsi="仿宋" w:cs="仿宋"/>
                <w:b/>
                <w:bCs/>
                <w:sz w:val="28"/>
                <w:szCs w:val="28"/>
              </w:rPr>
            </w:pPr>
            <w:r>
              <w:rPr>
                <w:rFonts w:ascii="仿宋" w:eastAsia="仿宋" w:hAnsi="仿宋" w:cs="仿宋" w:hint="eastAsia"/>
                <w:b/>
                <w:bCs/>
                <w:sz w:val="28"/>
                <w:szCs w:val="28"/>
              </w:rPr>
              <w:t>2022年12月市目标</w:t>
            </w:r>
          </w:p>
        </w:tc>
        <w:tc>
          <w:tcPr>
            <w:tcW w:w="960" w:type="dxa"/>
          </w:tcPr>
          <w:p w14:paraId="3724F4FC" w14:textId="77777777" w:rsidR="00C97237" w:rsidRDefault="00000000">
            <w:pPr>
              <w:spacing w:line="580" w:lineRule="exact"/>
              <w:rPr>
                <w:rFonts w:ascii="仿宋" w:eastAsia="仿宋" w:hAnsi="仿宋" w:cs="仿宋"/>
                <w:b/>
                <w:bCs/>
                <w:sz w:val="28"/>
                <w:szCs w:val="28"/>
              </w:rPr>
            </w:pPr>
            <w:r>
              <w:rPr>
                <w:rFonts w:ascii="仿宋" w:eastAsia="仿宋" w:hAnsi="仿宋" w:cs="仿宋" w:hint="eastAsia"/>
                <w:b/>
                <w:bCs/>
                <w:sz w:val="28"/>
                <w:szCs w:val="28"/>
              </w:rPr>
              <w:t>区目标</w:t>
            </w:r>
          </w:p>
        </w:tc>
        <w:tc>
          <w:tcPr>
            <w:tcW w:w="915" w:type="dxa"/>
          </w:tcPr>
          <w:p w14:paraId="1FD728BD" w14:textId="77777777" w:rsidR="00C97237" w:rsidRDefault="00000000">
            <w:pPr>
              <w:spacing w:line="580" w:lineRule="exact"/>
              <w:rPr>
                <w:rFonts w:ascii="仿宋" w:eastAsia="仿宋" w:hAnsi="仿宋" w:cs="仿宋"/>
                <w:b/>
                <w:bCs/>
                <w:sz w:val="28"/>
                <w:szCs w:val="28"/>
              </w:rPr>
            </w:pPr>
            <w:r>
              <w:rPr>
                <w:rFonts w:ascii="仿宋" w:eastAsia="仿宋" w:hAnsi="仿宋" w:cs="仿宋" w:hint="eastAsia"/>
                <w:b/>
                <w:bCs/>
                <w:sz w:val="28"/>
                <w:szCs w:val="28"/>
              </w:rPr>
              <w:t>国内前沿水平</w:t>
            </w:r>
          </w:p>
        </w:tc>
        <w:tc>
          <w:tcPr>
            <w:tcW w:w="1050" w:type="dxa"/>
          </w:tcPr>
          <w:p w14:paraId="1C428F30" w14:textId="77777777" w:rsidR="00C97237" w:rsidRDefault="00000000">
            <w:pPr>
              <w:spacing w:line="580" w:lineRule="exact"/>
              <w:rPr>
                <w:rFonts w:ascii="仿宋" w:eastAsia="仿宋" w:hAnsi="仿宋" w:cs="仿宋"/>
                <w:b/>
                <w:bCs/>
                <w:sz w:val="28"/>
                <w:szCs w:val="28"/>
              </w:rPr>
            </w:pPr>
            <w:r>
              <w:rPr>
                <w:rFonts w:ascii="仿宋" w:eastAsia="仿宋" w:hAnsi="仿宋" w:cs="仿宋" w:hint="eastAsia"/>
                <w:b/>
                <w:bCs/>
                <w:sz w:val="28"/>
                <w:szCs w:val="28"/>
              </w:rPr>
              <w:t>完成时限</w:t>
            </w:r>
          </w:p>
        </w:tc>
      </w:tr>
      <w:tr w:rsidR="00C97237" w14:paraId="32DCF454" w14:textId="77777777">
        <w:tc>
          <w:tcPr>
            <w:tcW w:w="745" w:type="dxa"/>
          </w:tcPr>
          <w:p w14:paraId="6BFCC7D2"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办理环节</w:t>
            </w:r>
          </w:p>
        </w:tc>
        <w:tc>
          <w:tcPr>
            <w:tcW w:w="735" w:type="dxa"/>
          </w:tcPr>
          <w:p w14:paraId="5B8ABD1F"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2</w:t>
            </w:r>
          </w:p>
        </w:tc>
        <w:tc>
          <w:tcPr>
            <w:tcW w:w="1500" w:type="dxa"/>
          </w:tcPr>
          <w:p w14:paraId="74863596" w14:textId="77777777" w:rsidR="00C97237" w:rsidRDefault="00000000">
            <w:pPr>
              <w:widowControl/>
              <w:spacing w:line="58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扩大“企业开办+N项服务”覆盖面，将员工参保登记、住房公积金企业缴存登记、银行预约开户等事项进一步纳入企业开</w:t>
            </w:r>
            <w:r>
              <w:rPr>
                <w:rFonts w:ascii="仿宋" w:eastAsia="仿宋" w:hAnsi="仿宋" w:cs="仿宋" w:hint="eastAsia"/>
                <w:color w:val="000000"/>
                <w:kern w:val="0"/>
                <w:sz w:val="28"/>
                <w:szCs w:val="28"/>
                <w:lang w:bidi="ar"/>
              </w:rPr>
              <w:lastRenderedPageBreak/>
              <w:t>办“一网通办”平台。</w:t>
            </w:r>
          </w:p>
          <w:p w14:paraId="5BC2A7D6" w14:textId="77777777" w:rsidR="00C97237" w:rsidRDefault="00C97237">
            <w:pPr>
              <w:spacing w:line="580" w:lineRule="exact"/>
              <w:rPr>
                <w:rFonts w:ascii="仿宋" w:eastAsia="仿宋" w:hAnsi="仿宋" w:cs="仿宋"/>
                <w:sz w:val="28"/>
                <w:szCs w:val="28"/>
              </w:rPr>
            </w:pPr>
          </w:p>
        </w:tc>
        <w:tc>
          <w:tcPr>
            <w:tcW w:w="2985" w:type="dxa"/>
          </w:tcPr>
          <w:p w14:paraId="55ADAFC2" w14:textId="77777777" w:rsidR="00C97237" w:rsidRDefault="00000000">
            <w:pPr>
              <w:spacing w:line="580" w:lineRule="exact"/>
              <w:rPr>
                <w:rFonts w:ascii="仿宋" w:eastAsia="仿宋" w:hAnsi="仿宋" w:cs="仿宋"/>
                <w:sz w:val="28"/>
                <w:szCs w:val="28"/>
              </w:rPr>
            </w:pPr>
            <w:r>
              <w:rPr>
                <w:rFonts w:ascii="仿宋" w:eastAsia="仿宋" w:hAnsi="仿宋" w:cs="仿宋" w:hint="eastAsia"/>
                <w:color w:val="000000"/>
                <w:kern w:val="0"/>
                <w:sz w:val="28"/>
                <w:szCs w:val="28"/>
                <w:lang w:bidi="ar"/>
              </w:rPr>
              <w:lastRenderedPageBreak/>
              <w:t>探索将获得电力、投资项目备案等更多事项纳入覆盖范围。探索开发企业变更、备案等业务涉及事项的“一网通办”，进一步完善企业注销“一网通办”，为企业打造全生命周期的“一网通办”服务，同时将企业变更、备案、注销相关信息向税务、社保等相关部门实</w:t>
            </w:r>
            <w:r>
              <w:rPr>
                <w:rFonts w:ascii="仿宋" w:eastAsia="仿宋" w:hAnsi="仿宋" w:cs="仿宋" w:hint="eastAsia"/>
                <w:color w:val="000000"/>
                <w:kern w:val="0"/>
                <w:sz w:val="28"/>
                <w:szCs w:val="28"/>
                <w:lang w:bidi="ar"/>
              </w:rPr>
              <w:lastRenderedPageBreak/>
              <w:t>时共享，税务、社保等相关部门实时将办件结果反馈至“一网通办” 平台。</w:t>
            </w:r>
          </w:p>
        </w:tc>
        <w:tc>
          <w:tcPr>
            <w:tcW w:w="960" w:type="dxa"/>
          </w:tcPr>
          <w:p w14:paraId="033C785A"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lastRenderedPageBreak/>
              <w:t>整合各涉企单位到企业开办专区，初步形成协同共进合力。</w:t>
            </w:r>
          </w:p>
        </w:tc>
        <w:tc>
          <w:tcPr>
            <w:tcW w:w="915" w:type="dxa"/>
          </w:tcPr>
          <w:p w14:paraId="41E1C420"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2</w:t>
            </w:r>
          </w:p>
        </w:tc>
        <w:tc>
          <w:tcPr>
            <w:tcW w:w="1050" w:type="dxa"/>
          </w:tcPr>
          <w:p w14:paraId="0D2DD8A5"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2022年12月</w:t>
            </w:r>
          </w:p>
        </w:tc>
      </w:tr>
      <w:tr w:rsidR="00C97237" w14:paraId="73F2F67B" w14:textId="77777777">
        <w:trPr>
          <w:trHeight w:val="3350"/>
        </w:trPr>
        <w:tc>
          <w:tcPr>
            <w:tcW w:w="745" w:type="dxa"/>
          </w:tcPr>
          <w:p w14:paraId="619611CE"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电子化办理率</w:t>
            </w:r>
          </w:p>
        </w:tc>
        <w:tc>
          <w:tcPr>
            <w:tcW w:w="735" w:type="dxa"/>
          </w:tcPr>
          <w:p w14:paraId="5535FD20"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87%</w:t>
            </w:r>
          </w:p>
        </w:tc>
        <w:tc>
          <w:tcPr>
            <w:tcW w:w="1500" w:type="dxa"/>
          </w:tcPr>
          <w:p w14:paraId="133CA70B"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90%</w:t>
            </w:r>
          </w:p>
        </w:tc>
        <w:tc>
          <w:tcPr>
            <w:tcW w:w="2985" w:type="dxa"/>
          </w:tcPr>
          <w:p w14:paraId="18E1127C"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95%</w:t>
            </w:r>
          </w:p>
        </w:tc>
        <w:tc>
          <w:tcPr>
            <w:tcW w:w="960" w:type="dxa"/>
          </w:tcPr>
          <w:p w14:paraId="0D8EEF73"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95%</w:t>
            </w:r>
          </w:p>
        </w:tc>
        <w:tc>
          <w:tcPr>
            <w:tcW w:w="915" w:type="dxa"/>
          </w:tcPr>
          <w:p w14:paraId="3F84BE6F"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90%</w:t>
            </w:r>
          </w:p>
        </w:tc>
        <w:tc>
          <w:tcPr>
            <w:tcW w:w="1050" w:type="dxa"/>
          </w:tcPr>
          <w:p w14:paraId="628A6FE1"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2022年12月</w:t>
            </w:r>
          </w:p>
        </w:tc>
      </w:tr>
      <w:tr w:rsidR="00C97237" w14:paraId="5660856A" w14:textId="77777777">
        <w:tc>
          <w:tcPr>
            <w:tcW w:w="745" w:type="dxa"/>
          </w:tcPr>
          <w:p w14:paraId="4AE6D487"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电子营业执照电子印章应用</w:t>
            </w:r>
          </w:p>
        </w:tc>
        <w:tc>
          <w:tcPr>
            <w:tcW w:w="735" w:type="dxa"/>
          </w:tcPr>
          <w:p w14:paraId="14742506"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t>免费发放电子营业执照</w:t>
            </w:r>
          </w:p>
        </w:tc>
        <w:tc>
          <w:tcPr>
            <w:tcW w:w="1500" w:type="dxa"/>
          </w:tcPr>
          <w:p w14:paraId="46BD12D3" w14:textId="77777777" w:rsidR="00C97237" w:rsidRDefault="00000000">
            <w:pPr>
              <w:widowControl/>
              <w:spacing w:line="58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自建电子印章管理系统，免费为企业发放电子印章</w:t>
            </w:r>
          </w:p>
          <w:p w14:paraId="5E87F29B" w14:textId="77777777" w:rsidR="00C97237" w:rsidRDefault="00C97237">
            <w:pPr>
              <w:spacing w:line="580" w:lineRule="exact"/>
              <w:rPr>
                <w:rFonts w:ascii="仿宋" w:eastAsia="仿宋" w:hAnsi="仿宋" w:cs="仿宋"/>
                <w:sz w:val="28"/>
                <w:szCs w:val="28"/>
              </w:rPr>
            </w:pPr>
          </w:p>
        </w:tc>
        <w:tc>
          <w:tcPr>
            <w:tcW w:w="2985" w:type="dxa"/>
          </w:tcPr>
          <w:p w14:paraId="207308DD" w14:textId="77777777" w:rsidR="00C97237" w:rsidRDefault="00000000">
            <w:pPr>
              <w:widowControl/>
              <w:spacing w:line="58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拓展电子营业执照、电子签名和电子印章在涉企服务领域应用，在我市政务服务和公共服务领域全面实现电子营业执电子印章应用。</w:t>
            </w:r>
          </w:p>
          <w:p w14:paraId="7827D6FB" w14:textId="77777777" w:rsidR="00C97237" w:rsidRDefault="00C97237">
            <w:pPr>
              <w:spacing w:line="580" w:lineRule="exact"/>
              <w:rPr>
                <w:rFonts w:ascii="仿宋" w:eastAsia="仿宋" w:hAnsi="仿宋" w:cs="仿宋"/>
                <w:sz w:val="28"/>
                <w:szCs w:val="28"/>
              </w:rPr>
            </w:pPr>
          </w:p>
        </w:tc>
        <w:tc>
          <w:tcPr>
            <w:tcW w:w="960" w:type="dxa"/>
          </w:tcPr>
          <w:p w14:paraId="2B6F4D14" w14:textId="77777777" w:rsidR="00C97237" w:rsidRDefault="00000000">
            <w:pPr>
              <w:widowControl/>
              <w:spacing w:line="580" w:lineRule="exact"/>
              <w:jc w:val="left"/>
              <w:rPr>
                <w:rFonts w:ascii="仿宋" w:eastAsia="仿宋" w:hAnsi="仿宋" w:cs="仿宋"/>
                <w:sz w:val="28"/>
                <w:szCs w:val="28"/>
              </w:rPr>
            </w:pPr>
            <w:r>
              <w:rPr>
                <w:rFonts w:ascii="仿宋" w:eastAsia="仿宋" w:hAnsi="仿宋" w:cs="仿宋" w:hint="eastAsia"/>
                <w:sz w:val="28"/>
                <w:szCs w:val="28"/>
              </w:rPr>
              <w:t>加大宣传，全面实现</w:t>
            </w:r>
            <w:r>
              <w:rPr>
                <w:rFonts w:ascii="仿宋" w:eastAsia="仿宋" w:hAnsi="仿宋" w:cs="仿宋" w:hint="eastAsia"/>
                <w:color w:val="000000"/>
                <w:kern w:val="0"/>
                <w:sz w:val="28"/>
                <w:szCs w:val="28"/>
                <w:lang w:bidi="ar"/>
              </w:rPr>
              <w:t>政务服务和公共服务领域电子营业执电子</w:t>
            </w:r>
            <w:r>
              <w:rPr>
                <w:rFonts w:ascii="仿宋" w:eastAsia="仿宋" w:hAnsi="仿宋" w:cs="仿宋" w:hint="eastAsia"/>
                <w:color w:val="000000"/>
                <w:kern w:val="0"/>
                <w:sz w:val="28"/>
                <w:szCs w:val="28"/>
                <w:lang w:bidi="ar"/>
              </w:rPr>
              <w:lastRenderedPageBreak/>
              <w:t>印章应用。</w:t>
            </w:r>
          </w:p>
          <w:p w14:paraId="67ECAF56" w14:textId="77777777" w:rsidR="00C97237" w:rsidRDefault="00C97237">
            <w:pPr>
              <w:spacing w:line="580" w:lineRule="exact"/>
              <w:rPr>
                <w:rFonts w:ascii="仿宋" w:eastAsia="仿宋" w:hAnsi="仿宋" w:cs="仿宋"/>
                <w:sz w:val="28"/>
                <w:szCs w:val="28"/>
              </w:rPr>
            </w:pPr>
          </w:p>
        </w:tc>
        <w:tc>
          <w:tcPr>
            <w:tcW w:w="915" w:type="dxa"/>
          </w:tcPr>
          <w:p w14:paraId="7E0F637C" w14:textId="77777777" w:rsidR="00C97237" w:rsidRDefault="00000000">
            <w:pPr>
              <w:widowControl/>
              <w:spacing w:line="58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lastRenderedPageBreak/>
              <w:t xml:space="preserve">可在不动产登记、住房公积 </w:t>
            </w:r>
          </w:p>
          <w:p w14:paraId="2F6885CF" w14:textId="77777777" w:rsidR="00C97237" w:rsidRDefault="00000000">
            <w:pPr>
              <w:widowControl/>
              <w:spacing w:line="58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 xml:space="preserve">金、招标投标等领域率全流 </w:t>
            </w:r>
          </w:p>
          <w:p w14:paraId="57E2101E" w14:textId="77777777" w:rsidR="00C97237" w:rsidRDefault="00000000">
            <w:pPr>
              <w:widowControl/>
              <w:spacing w:line="580" w:lineRule="exact"/>
              <w:jc w:val="left"/>
              <w:rPr>
                <w:rFonts w:ascii="仿宋" w:eastAsia="仿宋" w:hAnsi="仿宋" w:cs="仿宋"/>
                <w:sz w:val="28"/>
                <w:szCs w:val="28"/>
              </w:rPr>
            </w:pPr>
            <w:r>
              <w:rPr>
                <w:rFonts w:ascii="仿宋" w:eastAsia="仿宋" w:hAnsi="仿宋" w:cs="仿宋" w:hint="eastAsia"/>
                <w:color w:val="000000"/>
                <w:kern w:val="0"/>
                <w:sz w:val="28"/>
                <w:szCs w:val="28"/>
                <w:lang w:bidi="ar"/>
              </w:rPr>
              <w:t>程办</w:t>
            </w:r>
            <w:r>
              <w:rPr>
                <w:rFonts w:ascii="仿宋" w:eastAsia="仿宋" w:hAnsi="仿宋" w:cs="仿宋" w:hint="eastAsia"/>
                <w:color w:val="000000"/>
                <w:kern w:val="0"/>
                <w:sz w:val="28"/>
                <w:szCs w:val="28"/>
                <w:lang w:bidi="ar"/>
              </w:rPr>
              <w:lastRenderedPageBreak/>
              <w:t>理相关业务。</w:t>
            </w:r>
          </w:p>
          <w:p w14:paraId="16913866" w14:textId="77777777" w:rsidR="00C97237" w:rsidRDefault="00C97237">
            <w:pPr>
              <w:spacing w:line="580" w:lineRule="exact"/>
              <w:rPr>
                <w:rFonts w:ascii="仿宋" w:eastAsia="仿宋" w:hAnsi="仿宋" w:cs="仿宋"/>
                <w:sz w:val="28"/>
                <w:szCs w:val="28"/>
              </w:rPr>
            </w:pPr>
          </w:p>
        </w:tc>
        <w:tc>
          <w:tcPr>
            <w:tcW w:w="1050" w:type="dxa"/>
          </w:tcPr>
          <w:p w14:paraId="5C2D714D" w14:textId="77777777" w:rsidR="00C97237" w:rsidRDefault="00000000">
            <w:pPr>
              <w:spacing w:line="580" w:lineRule="exact"/>
              <w:rPr>
                <w:rFonts w:ascii="仿宋" w:eastAsia="仿宋" w:hAnsi="仿宋" w:cs="仿宋"/>
                <w:sz w:val="28"/>
                <w:szCs w:val="28"/>
              </w:rPr>
            </w:pPr>
            <w:r>
              <w:rPr>
                <w:rFonts w:ascii="仿宋" w:eastAsia="仿宋" w:hAnsi="仿宋" w:cs="仿宋" w:hint="eastAsia"/>
                <w:sz w:val="28"/>
                <w:szCs w:val="28"/>
              </w:rPr>
              <w:lastRenderedPageBreak/>
              <w:t>2022年12月</w:t>
            </w:r>
          </w:p>
        </w:tc>
      </w:tr>
    </w:tbl>
    <w:p w14:paraId="4FEB29AB" w14:textId="77777777" w:rsidR="00C97237" w:rsidRDefault="00000000">
      <w:pPr>
        <w:spacing w:line="580" w:lineRule="exact"/>
        <w:rPr>
          <w:rFonts w:ascii="仿宋" w:eastAsia="仿宋" w:hAnsi="仿宋" w:cs="仿宋"/>
          <w:b/>
          <w:bCs/>
          <w:sz w:val="32"/>
          <w:szCs w:val="32"/>
        </w:rPr>
      </w:pPr>
      <w:r>
        <w:rPr>
          <w:rFonts w:ascii="仿宋" w:eastAsia="仿宋" w:hAnsi="仿宋" w:cs="仿宋" w:hint="eastAsia"/>
          <w:b/>
          <w:bCs/>
          <w:sz w:val="32"/>
          <w:szCs w:val="32"/>
        </w:rPr>
        <w:t xml:space="preserve">五、保障措施 </w:t>
      </w:r>
    </w:p>
    <w:p w14:paraId="0BAA701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一）加强组织领导。企业开办工作在区政府统一领导下，实行区市场监管局总体牵头协调、各相关部门协同配合、各街道乡镇政府推动落实的工作机制。要充分认识企业开办工作的系统性、集成性、复杂性，积极应对面临的新形势、新任务、新要求，切实加强组织领导，明确职责分工，确保各项任务按时保质落实到位。 </w:t>
      </w:r>
    </w:p>
    <w:p w14:paraId="249C176D" w14:textId="77777777" w:rsidR="00C97237" w:rsidRDefault="00000000">
      <w:pPr>
        <w:numPr>
          <w:ilvl w:val="0"/>
          <w:numId w:val="3"/>
        </w:num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加强宣传培训。要通过多种方式和途径，全方位、多角度宣传企业开办政策举措，及时解答热点、难点问题，营造良好社会氛围。要加大培训力度，及时宣讲各项政策要求，进一步扩大培训覆盖面，力争培训到岗、到人、到一线，为提升企业开办服务水平提供可靠的能力素质保障。 </w:t>
      </w:r>
    </w:p>
    <w:p w14:paraId="133B72FD" w14:textId="77777777" w:rsidR="00C97237" w:rsidRDefault="00C97237">
      <w:pPr>
        <w:autoSpaceDN w:val="0"/>
        <w:spacing w:line="580" w:lineRule="exact"/>
        <w:jc w:val="center"/>
        <w:rPr>
          <w:rFonts w:ascii="仿宋" w:eastAsia="仿宋" w:hAnsi="仿宋" w:cs="仿宋"/>
          <w:color w:val="000000"/>
          <w:sz w:val="32"/>
          <w:szCs w:val="32"/>
        </w:rPr>
      </w:pPr>
    </w:p>
    <w:p w14:paraId="6AB704D6" w14:textId="77777777" w:rsidR="00C97237" w:rsidRDefault="00C97237">
      <w:pPr>
        <w:autoSpaceDN w:val="0"/>
        <w:spacing w:line="580" w:lineRule="exact"/>
        <w:jc w:val="center"/>
        <w:rPr>
          <w:rFonts w:ascii="黑体" w:eastAsia="黑体" w:hAnsi="黑体" w:cs="黑体"/>
          <w:color w:val="000000"/>
          <w:sz w:val="44"/>
          <w:szCs w:val="44"/>
        </w:rPr>
      </w:pPr>
    </w:p>
    <w:p w14:paraId="0A41770A" w14:textId="77777777" w:rsidR="00C97237" w:rsidRDefault="00C97237">
      <w:pPr>
        <w:autoSpaceDN w:val="0"/>
        <w:spacing w:line="580" w:lineRule="exact"/>
        <w:jc w:val="center"/>
        <w:rPr>
          <w:rFonts w:ascii="黑体" w:eastAsia="黑体" w:hAnsi="黑体" w:cs="黑体"/>
          <w:color w:val="000000"/>
          <w:sz w:val="44"/>
          <w:szCs w:val="44"/>
        </w:rPr>
      </w:pPr>
    </w:p>
    <w:p w14:paraId="0C806053" w14:textId="77777777" w:rsidR="00C97237" w:rsidRDefault="00C97237">
      <w:pPr>
        <w:autoSpaceDN w:val="0"/>
        <w:spacing w:line="580" w:lineRule="exact"/>
        <w:jc w:val="center"/>
        <w:rPr>
          <w:rFonts w:ascii="黑体" w:eastAsia="黑体" w:hAnsi="黑体" w:cs="黑体"/>
          <w:color w:val="000000"/>
          <w:sz w:val="44"/>
          <w:szCs w:val="44"/>
        </w:rPr>
      </w:pPr>
    </w:p>
    <w:p w14:paraId="33FC11A4" w14:textId="77777777" w:rsidR="00C97237" w:rsidRDefault="00C97237">
      <w:pPr>
        <w:autoSpaceDN w:val="0"/>
        <w:spacing w:line="580" w:lineRule="exact"/>
        <w:jc w:val="center"/>
        <w:rPr>
          <w:rFonts w:ascii="黑体" w:eastAsia="黑体" w:hAnsi="黑体" w:cs="黑体"/>
          <w:color w:val="000000"/>
          <w:sz w:val="44"/>
          <w:szCs w:val="44"/>
        </w:rPr>
      </w:pPr>
    </w:p>
    <w:p w14:paraId="683D90F9" w14:textId="77777777" w:rsidR="00C97237" w:rsidRDefault="00C97237">
      <w:pPr>
        <w:autoSpaceDN w:val="0"/>
        <w:spacing w:line="580" w:lineRule="exact"/>
        <w:rPr>
          <w:rFonts w:ascii="黑体" w:eastAsia="黑体" w:hAnsi="黑体" w:cs="黑体"/>
          <w:color w:val="000000"/>
          <w:sz w:val="44"/>
          <w:szCs w:val="44"/>
        </w:rPr>
      </w:pPr>
    </w:p>
    <w:p w14:paraId="1CEF9CD7" w14:textId="77777777" w:rsidR="00C97237" w:rsidRDefault="00000000">
      <w:pPr>
        <w:autoSpaceDN w:val="0"/>
        <w:spacing w:line="580" w:lineRule="exact"/>
        <w:jc w:val="left"/>
        <w:rPr>
          <w:rFonts w:ascii="黑体" w:eastAsia="黑体" w:hAnsi="黑体" w:cs="黑体"/>
          <w:color w:val="000000"/>
          <w:sz w:val="44"/>
          <w:szCs w:val="44"/>
        </w:rPr>
      </w:pPr>
      <w:r>
        <w:rPr>
          <w:rFonts w:ascii="黑体" w:eastAsia="黑体" w:hAnsi="黑体" w:cs="黑体" w:hint="eastAsia"/>
          <w:color w:val="000000"/>
          <w:sz w:val="44"/>
          <w:szCs w:val="44"/>
        </w:rPr>
        <w:t>附件3</w:t>
      </w:r>
    </w:p>
    <w:p w14:paraId="2F60ABAA" w14:textId="77777777" w:rsidR="00C97237" w:rsidRDefault="00000000">
      <w:pPr>
        <w:autoSpaceDN w:val="0"/>
        <w:spacing w:line="580" w:lineRule="exact"/>
        <w:jc w:val="center"/>
        <w:rPr>
          <w:rFonts w:ascii="黑体" w:eastAsia="黑体" w:hAnsi="黑体" w:cs="黑体"/>
          <w:color w:val="000000"/>
          <w:sz w:val="44"/>
          <w:szCs w:val="44"/>
        </w:rPr>
      </w:pPr>
      <w:r>
        <w:rPr>
          <w:rFonts w:ascii="黑体" w:eastAsia="黑体" w:hAnsi="黑体" w:cs="黑体" w:hint="eastAsia"/>
          <w:color w:val="000000"/>
          <w:sz w:val="44"/>
          <w:szCs w:val="44"/>
        </w:rPr>
        <w:t>偃师区办理建筑许可提升专项行动方案</w:t>
      </w:r>
    </w:p>
    <w:p w14:paraId="2AA65E25" w14:textId="77777777" w:rsidR="00C97237" w:rsidRDefault="00000000">
      <w:pPr>
        <w:autoSpaceDN w:val="0"/>
        <w:spacing w:line="580" w:lineRule="exact"/>
        <w:jc w:val="center"/>
        <w:rPr>
          <w:rFonts w:ascii="仿宋" w:eastAsia="仿宋" w:hAnsi="仿宋" w:cs="仿宋"/>
          <w:sz w:val="32"/>
          <w:szCs w:val="32"/>
        </w:rPr>
      </w:pPr>
      <w:r>
        <w:rPr>
          <w:rFonts w:ascii="仿宋" w:eastAsia="仿宋" w:hAnsi="仿宋" w:cs="仿宋" w:hint="eastAsia"/>
          <w:color w:val="000000"/>
          <w:sz w:val="32"/>
          <w:szCs w:val="32"/>
        </w:rPr>
        <w:lastRenderedPageBreak/>
        <w:t xml:space="preserve"> </w:t>
      </w:r>
    </w:p>
    <w:p w14:paraId="4B766C8F"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为深入贯彻落实《国务院办公厅关于全面开展工程建设项目审批制度改革的实施意见》（国办发〔2019〕11号）、《河南省人民政府办公厅关于印发河南省工程建设项目审批制度改革实施方案的通知》（豫政办〔2019〕38号）、《河南省优化营商环境条例》《偃师区人民政府关于印发偃师区工程建设项目审批制度改革实施方案的通知》（洛政〔2019〕15号）等部署要求，对标营商环境评价“以评促改”，依托偃师区工程建设项目审批管理系统，认真贯彻落实上级工改政策，进一步精简办理建筑许可环节、压缩时限、降低成本、加强质量控制，持续优化我区办理建筑许可营商环境，制定本方案。 </w:t>
      </w:r>
    </w:p>
    <w:p w14:paraId="192F8FDB" w14:textId="77777777" w:rsidR="00C97237" w:rsidRDefault="00000000">
      <w:pPr>
        <w:autoSpaceDN w:val="0"/>
        <w:spacing w:line="580" w:lineRule="exact"/>
        <w:ind w:firstLineChars="200" w:firstLine="640"/>
        <w:rPr>
          <w:rFonts w:ascii="黑体" w:eastAsia="黑体" w:hAnsi="黑体" w:cs="黑体"/>
          <w:sz w:val="32"/>
          <w:szCs w:val="32"/>
        </w:rPr>
      </w:pPr>
      <w:r>
        <w:rPr>
          <w:rFonts w:ascii="黑体" w:eastAsia="黑体" w:hAnsi="黑体" w:cs="黑体" w:hint="eastAsia"/>
          <w:color w:val="000000"/>
          <w:sz w:val="32"/>
          <w:szCs w:val="32"/>
        </w:rPr>
        <w:t xml:space="preserve">一、工作要求 </w:t>
      </w:r>
    </w:p>
    <w:p w14:paraId="50AE793C"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坚持以习近平新时代中国特色社会主义思想为引领，全面贯彻党的十九大和十九届二中、三中、四中、五中、六中全会精神，按照市委十二届党代会和市委十二届二次全会要求，全面提升政府效能，持续优化偃师区办理建筑许可营商环境。 </w:t>
      </w:r>
    </w:p>
    <w:p w14:paraId="506DC0DF" w14:textId="77777777" w:rsidR="00C97237" w:rsidRDefault="00000000">
      <w:pPr>
        <w:autoSpaceDN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二、工作目标 </w:t>
      </w:r>
    </w:p>
    <w:p w14:paraId="1D8D0F31"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依托偃师区工程建设项目审批管理系统，认真贯彻落实上级工改政策。2022年底前，区社会投资小型低风险产业类项目平均办理建筑许可环节压减至4个以内、时间17个工作日以内（审批时间5个工作日以内）、办理成本降至0。 </w:t>
      </w:r>
    </w:p>
    <w:p w14:paraId="478C9F05" w14:textId="77777777" w:rsidR="00C97237" w:rsidRDefault="00000000">
      <w:pPr>
        <w:autoSpaceDN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三、主要措施 </w:t>
      </w:r>
    </w:p>
    <w:p w14:paraId="78BD62F2"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bCs/>
          <w:color w:val="000000"/>
          <w:sz w:val="32"/>
          <w:szCs w:val="32"/>
        </w:rPr>
        <w:lastRenderedPageBreak/>
        <w:t>（一）精简审批事项和审批环节</w:t>
      </w:r>
      <w:r>
        <w:rPr>
          <w:rFonts w:ascii="仿宋" w:eastAsia="仿宋" w:hAnsi="仿宋" w:cs="仿宋" w:hint="eastAsia"/>
          <w:b/>
          <w:color w:val="000000"/>
          <w:sz w:val="32"/>
          <w:szCs w:val="32"/>
        </w:rPr>
        <w:t xml:space="preserve"> </w:t>
      </w:r>
    </w:p>
    <w:p w14:paraId="1489DFD8"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持续深化工程建设项目审批制度改革，在市级工程建设项目审批管理系统优化社会投资备案类项目审批流程，细化项目分类指引，完善社会投资一般住宅项目、社会投资一般工业建筑项目、社会投资标准厂房项目审批流程，统一市、县（区）工程建设项目报建审批事项办理流程和办事指南的基础上，推动工程建设项目审批标准化、规范化。 </w:t>
      </w:r>
    </w:p>
    <w:p w14:paraId="085D13C0"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时间节点：2022年9月 </w:t>
      </w:r>
    </w:p>
    <w:p w14:paraId="75CB5BA7"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责任单位：区住建局牵头，区工程建设项目审批制度改革领导小组成员单位按职责分工落实 </w:t>
      </w:r>
    </w:p>
    <w:p w14:paraId="15880AA2"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bCs/>
          <w:color w:val="000000"/>
          <w:sz w:val="32"/>
          <w:szCs w:val="32"/>
        </w:rPr>
        <w:t>（二）优化完善工程地质勘察服务</w:t>
      </w:r>
      <w:r>
        <w:rPr>
          <w:rFonts w:ascii="仿宋" w:eastAsia="仿宋" w:hAnsi="仿宋" w:cs="仿宋" w:hint="eastAsia"/>
          <w:b/>
          <w:color w:val="000000"/>
          <w:sz w:val="32"/>
          <w:szCs w:val="32"/>
        </w:rPr>
        <w:t xml:space="preserve"> </w:t>
      </w:r>
    </w:p>
    <w:p w14:paraId="1F0CB129"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 对于新出让的产业类项目（标准厂房、普通仓库）工业用地和灾后恢复重建项目用地，鼓励采取政府购买服务等方式开展建设工程勘察。土地收储部门在土地出让征询时将地块基本情况和规划条件一并告知建设主管部门，由建设主管部门委托勘察单位提前开展建设工程勘察。进一步规范地质勘察单位服务流程和时限，除极端气候、复杂场地及特殊项目外，全区社会投资小型低风险产业类项目勘察服务时限（含外业、土试和报告编制）累计不得超过7个工作日；其他项目工程勘察服务时限不得超过10个工作日。 </w:t>
      </w:r>
    </w:p>
    <w:p w14:paraId="44F5303C"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时间节点：2022年12月 </w:t>
      </w:r>
    </w:p>
    <w:p w14:paraId="0D484C6F"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责任单位：市自然资源和规划局偃师分局、区住建局按职责分工落实 </w:t>
      </w:r>
    </w:p>
    <w:p w14:paraId="29A9019D" w14:textId="77777777" w:rsidR="00C97237" w:rsidRDefault="00000000">
      <w:pPr>
        <w:autoSpaceDN w:val="0"/>
        <w:spacing w:line="58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（三）全面落实施工图审查合格书电子证照应用 </w:t>
      </w:r>
    </w:p>
    <w:p w14:paraId="53AF9BDB"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lastRenderedPageBreak/>
        <w:t xml:space="preserve">全面实行施工图数字化联合审图，市级打通施工图审查系统与工程建设项目审批管理系统后，实现图纸提交、审查、办结全过程线上管理，施工图审查过程信息、图审合格文件实时推送至工程建设项目审批管理系统。全面实行施工图审查合格书电子证照，施工图审查合格书电子证照与纸质证照具有同等法律效力，已通过工程建设项目审批管理系统共享施工图审查合格书电子证照的，在后续审批中可不再要求建设单位提供纸质施工图审查合格书；提供纸质审查合格书的，必须同时提供审查合格书电子证照。 </w:t>
      </w:r>
    </w:p>
    <w:p w14:paraId="12FB06C4"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时间节点：2022年6月 </w:t>
      </w:r>
    </w:p>
    <w:p w14:paraId="433F3763"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责任单位：区政务服务和大数据管理局、区住建局负责落实 </w:t>
      </w:r>
    </w:p>
    <w:p w14:paraId="6B3CB4EB" w14:textId="77777777" w:rsidR="00C97237" w:rsidRDefault="00000000">
      <w:pPr>
        <w:autoSpaceDN w:val="0"/>
        <w:spacing w:line="58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（四）优化一站式联合验收备案流程 </w:t>
      </w:r>
    </w:p>
    <w:p w14:paraId="12F5810D"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建设工程满足联合验收条件后，建设单位通过工程建设项目审批管理系统申请联合验收。对规划土地核实、消防验收或备案、人防工程竣工验收核实认可、城建档案验收等事项实行限时联合验收。联合验收牵头部门收到申请材料后转自然资源规划、消防设计审查验收、人防、城建档案、质量监督等部门并行审查，协调现场验收时间，验收通过后在规定时间内，通过工程建设项目审批管理系统出具建设工程规划土地核实意见确认书、人防工程竣工核实认可文件、消防验收意见或备案抽查结果、城建档案认可文件、工程质量监督报告等专业部门验收意见，牵头部门根据各专业部门意见统一出具《联合验收意见书》直接备案，企业无需再单独办</w:t>
      </w:r>
      <w:r>
        <w:rPr>
          <w:rFonts w:ascii="仿宋" w:eastAsia="仿宋" w:hAnsi="仿宋" w:cs="仿宋" w:hint="eastAsia"/>
          <w:color w:val="000000"/>
          <w:sz w:val="32"/>
          <w:szCs w:val="32"/>
        </w:rPr>
        <w:lastRenderedPageBreak/>
        <w:t xml:space="preserve">理竣工验收备案。《联合验收意见书》全面启用电子证照。对于工程规模大的项目，可以按单体工程、标段等实行联合验收。一般建设项目联合验收时间压缩至10个工作日以内，工业项目联合验收时间压缩至7个工作日以内。 </w:t>
      </w:r>
    </w:p>
    <w:p w14:paraId="6F6495EE"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时间节点：2022年3月 </w:t>
      </w:r>
    </w:p>
    <w:p w14:paraId="00D8ACDF"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责任单位：区住建局牵头，市自然资源和规划局偃师分局按职责分工落实 </w:t>
      </w:r>
    </w:p>
    <w:p w14:paraId="136C9F96" w14:textId="77777777" w:rsidR="00C97237" w:rsidRDefault="00000000">
      <w:pPr>
        <w:autoSpaceDN w:val="0"/>
        <w:spacing w:line="58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（五）实施“验登合一”改革 </w:t>
      </w:r>
    </w:p>
    <w:p w14:paraId="4932F64A"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强化数据信息共享，待市级不动产登记系统与工程建设项目审批管理系统融合互通，切实实现“验登合一，验收即发证”。即联合验收通过后，通过工程建设项目审批管理系统自动推送“联合验收意见”至不动产登记系统，不动产登记机构接收的“联合验收意见”可作为申请办理不动产首次登记（国有建设用地使用权及房屋所有权首次登记）的材料之一，对符合登记条件的，1个工作日内完成不动产登记手续。</w:t>
      </w:r>
    </w:p>
    <w:p w14:paraId="431F4E16"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时间节点：2022年9月 </w:t>
      </w:r>
    </w:p>
    <w:p w14:paraId="23037205"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责任单位：市自然资源和规划局偃师分局、区住建局、区政务服务和大数据管理局按职责分工落实</w:t>
      </w:r>
    </w:p>
    <w:p w14:paraId="5639DCFE" w14:textId="77777777" w:rsidR="00C97237" w:rsidRDefault="00000000">
      <w:pPr>
        <w:autoSpaceDN w:val="0"/>
        <w:spacing w:line="58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（六）推行社会投资备案类项目承诺制审批 </w:t>
      </w:r>
    </w:p>
    <w:p w14:paraId="04DFD870"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优先在产业集聚区内对实行备案管理的企业投资项目推行承诺制，根据产业发展实际，先行先试，创新实行承诺制。将“工程建设涉及的绿地、树木审批”“市政实施建设类审批”“因工程建设需要拆除、改动、迁移供水、排水与</w:t>
      </w:r>
      <w:r>
        <w:rPr>
          <w:rFonts w:ascii="仿宋" w:eastAsia="仿宋" w:hAnsi="仿宋" w:cs="仿宋" w:hint="eastAsia"/>
          <w:color w:val="000000"/>
          <w:sz w:val="32"/>
          <w:szCs w:val="32"/>
        </w:rPr>
        <w:lastRenderedPageBreak/>
        <w:t xml:space="preserve">污水设施审核”“占用农业灌溉水源灌排工程设施补偿项目审批”“建设工程文物保护和考古许可”“新建、扩建、改建建设工程避免危害气象探测环境审批”等6个事项调整为产业集聚区管理机构统一服务事项，有关部门在土地出让前完成，实行“净地出让”；“气候可行性论证”“建设项目压覆重要矿产资源审批”“地质灾害危险性评估”“地震安全性评价”等4个事项由产业集聚区管理机构统一实施区域评估，在供地前完成，区内项目免费共享使用评估成果。将“生产建设项目水土保持方案审批”“洪水影响评价审批”“取水许可审批”“环境影响评价审批”“节能审查”等5个事项审批涉及的评估评价内容调整为政府提供统一服务，参照区域评估模式在土地供应阶段完成对应的评估评价报告编制，确需技术审查的要在供地阶段完成，在事项审批时由企业作出书面承诺，政府有关部门完成审批，其中环境影响评价审批、节能审查2个事项根据主管部门制定的区域评估清单指引实施。 </w:t>
      </w:r>
    </w:p>
    <w:p w14:paraId="1A7F0433"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时间节点：2022年12月 </w:t>
      </w:r>
    </w:p>
    <w:p w14:paraId="15D0E542"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责任单位：区发展改革委牵头，市自然资源和规划局偃师分局、区产业集聚区、区生态环境局、区水利局、区文物局、区气象局、区应急管理局、区城市管理局按职责分工落实</w:t>
      </w:r>
    </w:p>
    <w:p w14:paraId="09F7C875"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bCs/>
          <w:color w:val="000000"/>
          <w:sz w:val="32"/>
          <w:szCs w:val="32"/>
        </w:rPr>
        <w:t xml:space="preserve">（七）优化水电气暖等市政公用服务 </w:t>
      </w:r>
    </w:p>
    <w:p w14:paraId="01D1DBD1"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全面优化供水、供电、供气、供热、通信等市政公用服务报装接入流程，将市政公用服务报装提前至立项用地规划</w:t>
      </w:r>
      <w:r>
        <w:rPr>
          <w:rFonts w:ascii="仿宋" w:eastAsia="仿宋" w:hAnsi="仿宋" w:cs="仿宋" w:hint="eastAsia"/>
          <w:color w:val="000000"/>
          <w:sz w:val="32"/>
          <w:szCs w:val="32"/>
        </w:rPr>
        <w:lastRenderedPageBreak/>
        <w:t xml:space="preserve">许可或工程建设许可阶段办理。建设单位可在用地规划许可阶段、工程规划许可阶段提出市政公用服务接入需求，由综合窗口受理后将相关材料推送至市政公用服务单位，市政公用服务单位主动与建设单位联系，提供上门服务，对接具体技术需求及接入方案。建筑区划红线外接入工程要与红线内项目同步推进，在项目施工过程中完成红线外市政公用设施建设。项目竣工后直接办理水、电、气、暖、通信等接入事宜，实现用户零跑腿。 </w:t>
      </w:r>
    </w:p>
    <w:p w14:paraId="6AEA93F3"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时间节点：2022年6月 </w:t>
      </w:r>
    </w:p>
    <w:p w14:paraId="443AC5DE"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责任单位：区城市管理局牵头，区住建局、区供电公司、区工信局等部门配合，按职责分工负责落实 </w:t>
      </w:r>
    </w:p>
    <w:p w14:paraId="1DC5B87B"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bCs/>
          <w:color w:val="000000"/>
          <w:sz w:val="32"/>
          <w:szCs w:val="32"/>
        </w:rPr>
        <w:t xml:space="preserve">（八）提高“窗口”综合服务水平 </w:t>
      </w:r>
    </w:p>
    <w:p w14:paraId="45431090"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进一步优化线上一窗受理流程，加快窗口对申报材料受理时间，提高窗口人员服务水平。 </w:t>
      </w:r>
    </w:p>
    <w:p w14:paraId="38DF41E6"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时间节点：2022年12月 </w:t>
      </w:r>
    </w:p>
    <w:p w14:paraId="67EFE95F"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责任单位：区政务服务和大数据管理局、区住建局牵头，区工领导小组成员单位按区工领导小组成员单位按职责分工落实职责分工落实</w:t>
      </w:r>
    </w:p>
    <w:p w14:paraId="79D8D306" w14:textId="77777777" w:rsidR="00C97237" w:rsidRDefault="00000000">
      <w:pPr>
        <w:autoSpaceDN w:val="0"/>
        <w:spacing w:line="58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（九）持续推进中介服务事项改革措施落地 </w:t>
      </w:r>
    </w:p>
    <w:p w14:paraId="0E249481"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加强工程建设项目审批涉及的中介服务事项改革，推行中介服务事项清单制、动态化管理，确保清单之外无其他中介服务事项；清单之内事项，制定形成一事项、一措施、一指南，政府委托的中介服务事项全部纳入工程建设项目审批管理系统管理。依托洛阳市中介服务平台，实现中介服务网</w:t>
      </w:r>
      <w:r>
        <w:rPr>
          <w:rFonts w:ascii="仿宋" w:eastAsia="仿宋" w:hAnsi="仿宋" w:cs="仿宋" w:hint="eastAsia"/>
          <w:color w:val="000000"/>
          <w:sz w:val="32"/>
          <w:szCs w:val="32"/>
        </w:rPr>
        <w:lastRenderedPageBreak/>
        <w:t xml:space="preserve">上展示、服务委托、成果提交、监督评价等全过程管理，中介服务委托和相关成果信息共享至工程建设项目审批管理系统。 </w:t>
      </w:r>
    </w:p>
    <w:p w14:paraId="2C61CE24"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时间节点：2022年6月 </w:t>
      </w:r>
    </w:p>
    <w:p w14:paraId="3F2DF42D"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责任单位：区政务服务和大数据管理局牵头，区发展改革委、区住建局、市自然资源和规划局偃师分局、区生态环境局、区应急管理局、区水利局等单位按职责分工落实 </w:t>
      </w:r>
    </w:p>
    <w:p w14:paraId="60FD258F" w14:textId="77777777" w:rsidR="00C97237" w:rsidRDefault="00000000">
      <w:pPr>
        <w:autoSpaceDN w:val="0"/>
        <w:spacing w:line="58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 xml:space="preserve">（十）进一步降低办理建筑许可成本 </w:t>
      </w:r>
    </w:p>
    <w:p w14:paraId="6A96B62A"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落实2000平方米以下的社会投资小型低风险仓储项目办理建筑许可“零收费”，取消其城市基础设施配套费。对于其他工程建设项目，采用多种形式降低费用，以出让方式取得土地的项目，政策允许的前提下，可探索将相关费用纳入土地整理成本，不再单独列支相应收费名目。 </w:t>
      </w:r>
    </w:p>
    <w:p w14:paraId="32D75395"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时间节点：2022年6月 </w:t>
      </w:r>
    </w:p>
    <w:p w14:paraId="09AE4B4E" w14:textId="77777777" w:rsidR="00C97237" w:rsidRDefault="00000000">
      <w:pPr>
        <w:autoSpaceDN w:val="0"/>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责任单位：区住建局、区财政局牵头，区工程建设项目审批制度改革领导小组成员单位按职责分工落实. </w:t>
      </w:r>
    </w:p>
    <w:p w14:paraId="7E8BB072"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严格落实物流仓储用地建设项目配建防空地下室有关要求，确因条件限制不能同步修建防空地下室的，经人防主管部门批准后，按规定缴纳防空地下室易地建设费。将总建筑面积2000平方米以下的物流仓储用地建设项目的防空地下室易地建设费收费标准降为零。 </w:t>
      </w:r>
    </w:p>
    <w:p w14:paraId="4FFCFFB2"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时间节点：2022年6月 </w:t>
      </w:r>
    </w:p>
    <w:p w14:paraId="37EA3A4A"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 xml:space="preserve">责任单位：区住建局负责落实 </w:t>
      </w:r>
    </w:p>
    <w:p w14:paraId="2FCAEE91" w14:textId="77777777" w:rsidR="00C97237" w:rsidRDefault="00000000">
      <w:pPr>
        <w:spacing w:line="6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w:t>
      </w:r>
      <w:r>
        <w:rPr>
          <w:rFonts w:ascii="Times New Roman" w:eastAsia="黑体" w:hAnsi="Times New Roman" w:cs="Times New Roman"/>
          <w:sz w:val="32"/>
          <w:szCs w:val="40"/>
        </w:rPr>
        <w:t>指标对比</w:t>
      </w:r>
    </w:p>
    <w:p w14:paraId="172F07AC" w14:textId="77777777" w:rsidR="00C97237" w:rsidRDefault="00000000">
      <w:pPr>
        <w:spacing w:line="600" w:lineRule="exact"/>
        <w:ind w:firstLineChars="200" w:firstLine="560"/>
        <w:rPr>
          <w:rFonts w:ascii="Times New Roman" w:eastAsia="黑体" w:hAnsi="Times New Roman" w:cs="Times New Roman"/>
          <w:sz w:val="28"/>
          <w:szCs w:val="36"/>
        </w:rPr>
      </w:pPr>
      <w:r>
        <w:rPr>
          <w:rFonts w:ascii="Times New Roman" w:eastAsia="黑体" w:hAnsi="Times New Roman" w:cs="Times New Roman"/>
          <w:sz w:val="28"/>
          <w:szCs w:val="36"/>
        </w:rPr>
        <w:lastRenderedPageBreak/>
        <w:t>社会投资小型低风险产业类项目办理建筑许可环节和时间</w:t>
      </w:r>
    </w:p>
    <w:tbl>
      <w:tblPr>
        <w:tblStyle w:val="ac"/>
        <w:tblW w:w="8948" w:type="dxa"/>
        <w:jc w:val="center"/>
        <w:tblLayout w:type="fixed"/>
        <w:tblLook w:val="04A0" w:firstRow="1" w:lastRow="0" w:firstColumn="1" w:lastColumn="0" w:noHBand="0" w:noVBand="1"/>
      </w:tblPr>
      <w:tblGrid>
        <w:gridCol w:w="693"/>
        <w:gridCol w:w="6779"/>
        <w:gridCol w:w="1476"/>
      </w:tblGrid>
      <w:tr w:rsidR="00C97237" w14:paraId="528F8AAB" w14:textId="77777777">
        <w:trPr>
          <w:cantSplit/>
          <w:trHeight w:val="380"/>
          <w:jc w:val="center"/>
        </w:trPr>
        <w:tc>
          <w:tcPr>
            <w:tcW w:w="8948" w:type="dxa"/>
            <w:gridSpan w:val="3"/>
            <w:vAlign w:val="center"/>
          </w:tcPr>
          <w:p w14:paraId="0246008B" w14:textId="77777777" w:rsidR="00C97237" w:rsidRDefault="00000000">
            <w:pPr>
              <w:spacing w:line="600" w:lineRule="exact"/>
              <w:jc w:val="center"/>
              <w:rPr>
                <w:rFonts w:ascii="Times New Roman" w:eastAsia="黑体" w:hAnsi="Times New Roman" w:cs="Times New Roman"/>
                <w:szCs w:val="21"/>
              </w:rPr>
            </w:pPr>
            <w:r>
              <w:rPr>
                <w:rFonts w:ascii="Times New Roman" w:eastAsia="黑体" w:hAnsi="Times New Roman" w:cs="Times New Roman"/>
                <w:szCs w:val="21"/>
              </w:rPr>
              <w:t>2022</w:t>
            </w:r>
            <w:r>
              <w:rPr>
                <w:rFonts w:ascii="Times New Roman" w:eastAsia="黑体" w:hAnsi="Times New Roman" w:cs="Times New Roman"/>
                <w:szCs w:val="21"/>
              </w:rPr>
              <w:t>年底</w:t>
            </w:r>
          </w:p>
        </w:tc>
      </w:tr>
      <w:tr w:rsidR="00C97237" w14:paraId="7B3E2946" w14:textId="77777777">
        <w:trPr>
          <w:cantSplit/>
          <w:trHeight w:val="1217"/>
          <w:jc w:val="center"/>
        </w:trPr>
        <w:tc>
          <w:tcPr>
            <w:tcW w:w="693" w:type="dxa"/>
            <w:vAlign w:val="center"/>
          </w:tcPr>
          <w:p w14:paraId="67C7A879" w14:textId="77777777" w:rsidR="00C97237" w:rsidRDefault="00000000">
            <w:pPr>
              <w:spacing w:line="600" w:lineRule="exact"/>
              <w:jc w:val="center"/>
              <w:rPr>
                <w:rFonts w:ascii="Times New Roman" w:eastAsia="黑体" w:hAnsi="Times New Roman" w:cs="Times New Roman"/>
                <w:szCs w:val="21"/>
              </w:rPr>
            </w:pPr>
            <w:r>
              <w:rPr>
                <w:rFonts w:ascii="Times New Roman" w:eastAsia="黑体" w:hAnsi="Times New Roman" w:cs="Times New Roman"/>
                <w:szCs w:val="21"/>
              </w:rPr>
              <w:t>序号</w:t>
            </w:r>
          </w:p>
        </w:tc>
        <w:tc>
          <w:tcPr>
            <w:tcW w:w="6779" w:type="dxa"/>
            <w:vAlign w:val="center"/>
          </w:tcPr>
          <w:p w14:paraId="71971F71" w14:textId="77777777" w:rsidR="00C97237" w:rsidRDefault="00000000">
            <w:pPr>
              <w:spacing w:line="600" w:lineRule="exact"/>
              <w:jc w:val="center"/>
              <w:rPr>
                <w:rFonts w:ascii="Times New Roman" w:eastAsia="黑体" w:hAnsi="Times New Roman" w:cs="Times New Roman"/>
                <w:szCs w:val="21"/>
              </w:rPr>
            </w:pPr>
            <w:r>
              <w:rPr>
                <w:rFonts w:ascii="Times New Roman" w:eastAsia="黑体" w:hAnsi="Times New Roman" w:cs="Times New Roman"/>
                <w:szCs w:val="21"/>
              </w:rPr>
              <w:t>环节（个）</w:t>
            </w:r>
          </w:p>
        </w:tc>
        <w:tc>
          <w:tcPr>
            <w:tcW w:w="1476" w:type="dxa"/>
            <w:vAlign w:val="center"/>
          </w:tcPr>
          <w:p w14:paraId="4D9E2B0F" w14:textId="77777777" w:rsidR="00C97237" w:rsidRDefault="00000000">
            <w:pPr>
              <w:spacing w:line="600" w:lineRule="exact"/>
              <w:jc w:val="center"/>
              <w:rPr>
                <w:rFonts w:ascii="Times New Roman" w:eastAsia="黑体" w:hAnsi="Times New Roman" w:cs="Times New Roman"/>
                <w:szCs w:val="21"/>
              </w:rPr>
            </w:pPr>
            <w:r>
              <w:rPr>
                <w:rFonts w:ascii="Times New Roman" w:eastAsia="黑体" w:hAnsi="Times New Roman" w:cs="Times New Roman"/>
                <w:szCs w:val="21"/>
              </w:rPr>
              <w:t>时间</w:t>
            </w:r>
          </w:p>
          <w:p w14:paraId="47E6C5C6" w14:textId="77777777" w:rsidR="00C97237" w:rsidRDefault="00000000">
            <w:pPr>
              <w:spacing w:line="600" w:lineRule="exact"/>
              <w:jc w:val="center"/>
              <w:rPr>
                <w:rFonts w:ascii="Times New Roman" w:eastAsia="黑体" w:hAnsi="Times New Roman" w:cs="Times New Roman"/>
                <w:szCs w:val="21"/>
              </w:rPr>
            </w:pPr>
            <w:r>
              <w:rPr>
                <w:rFonts w:ascii="Times New Roman" w:eastAsia="黑体" w:hAnsi="Times New Roman" w:cs="Times New Roman"/>
                <w:szCs w:val="21"/>
              </w:rPr>
              <w:t>（工作日）</w:t>
            </w:r>
          </w:p>
        </w:tc>
      </w:tr>
      <w:tr w:rsidR="00C97237" w14:paraId="3FC45E90" w14:textId="77777777">
        <w:trPr>
          <w:cantSplit/>
          <w:trHeight w:val="680"/>
          <w:jc w:val="center"/>
        </w:trPr>
        <w:tc>
          <w:tcPr>
            <w:tcW w:w="693" w:type="dxa"/>
            <w:vAlign w:val="center"/>
          </w:tcPr>
          <w:p w14:paraId="1AC2554C"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6779" w:type="dxa"/>
            <w:vAlign w:val="center"/>
          </w:tcPr>
          <w:p w14:paraId="2C4F099F" w14:textId="77777777" w:rsidR="00C97237" w:rsidRDefault="00000000">
            <w:pPr>
              <w:spacing w:line="600" w:lineRule="exact"/>
              <w:rPr>
                <w:rFonts w:ascii="Times New Roman" w:eastAsia="仿宋_GB2312" w:hAnsi="Times New Roman" w:cs="Times New Roman"/>
                <w:szCs w:val="21"/>
              </w:rPr>
            </w:pPr>
            <w:r>
              <w:rPr>
                <w:rFonts w:ascii="Times New Roman" w:eastAsia="仿宋_GB2312" w:hAnsi="Times New Roman" w:cs="Times New Roman"/>
                <w:szCs w:val="21"/>
              </w:rPr>
              <w:t>工程地质勘察（区域评估范围内项目、政府公开地勘信息可满足设计要求的项目无需进行工程地质勘察）</w:t>
            </w:r>
          </w:p>
        </w:tc>
        <w:tc>
          <w:tcPr>
            <w:tcW w:w="1476" w:type="dxa"/>
            <w:vAlign w:val="center"/>
          </w:tcPr>
          <w:p w14:paraId="6F30D766"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7</w:t>
            </w:r>
          </w:p>
        </w:tc>
      </w:tr>
      <w:tr w:rsidR="00C97237" w14:paraId="18D2D67C" w14:textId="77777777">
        <w:trPr>
          <w:cantSplit/>
          <w:trHeight w:val="790"/>
          <w:jc w:val="center"/>
        </w:trPr>
        <w:tc>
          <w:tcPr>
            <w:tcW w:w="693" w:type="dxa"/>
            <w:vAlign w:val="center"/>
          </w:tcPr>
          <w:p w14:paraId="6B6C938D"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6779" w:type="dxa"/>
            <w:vAlign w:val="center"/>
          </w:tcPr>
          <w:p w14:paraId="3F656EE0" w14:textId="77777777" w:rsidR="00C97237" w:rsidRDefault="00000000">
            <w:pPr>
              <w:spacing w:line="600" w:lineRule="exact"/>
              <w:rPr>
                <w:rFonts w:ascii="Times New Roman" w:eastAsia="仿宋_GB2312" w:hAnsi="Times New Roman" w:cs="Times New Roman"/>
                <w:szCs w:val="21"/>
              </w:rPr>
            </w:pPr>
            <w:r>
              <w:rPr>
                <w:rFonts w:ascii="Times New Roman" w:eastAsia="仿宋_GB2312" w:hAnsi="Times New Roman" w:cs="Times New Roman"/>
                <w:szCs w:val="21"/>
              </w:rPr>
              <w:t>一站式办理施工许可（并联办理社会投资项目备案、建设工程规划许可证、建筑工程施工许可证、公用服务报装申请）</w:t>
            </w:r>
          </w:p>
        </w:tc>
        <w:tc>
          <w:tcPr>
            <w:tcW w:w="1476" w:type="dxa"/>
            <w:vAlign w:val="center"/>
          </w:tcPr>
          <w:p w14:paraId="315B5B85"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C97237" w14:paraId="365F7C09" w14:textId="77777777">
        <w:trPr>
          <w:cantSplit/>
          <w:trHeight w:val="680"/>
          <w:jc w:val="center"/>
        </w:trPr>
        <w:tc>
          <w:tcPr>
            <w:tcW w:w="693" w:type="dxa"/>
            <w:vAlign w:val="center"/>
          </w:tcPr>
          <w:p w14:paraId="6B7B0C5D"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6779" w:type="dxa"/>
            <w:vAlign w:val="center"/>
          </w:tcPr>
          <w:p w14:paraId="6A964A43" w14:textId="77777777" w:rsidR="00C97237" w:rsidRDefault="00000000">
            <w:pPr>
              <w:spacing w:line="600" w:lineRule="exact"/>
              <w:rPr>
                <w:rFonts w:ascii="Times New Roman" w:eastAsia="仿宋_GB2312" w:hAnsi="Times New Roman" w:cs="Times New Roman"/>
                <w:szCs w:val="21"/>
              </w:rPr>
            </w:pPr>
            <w:r>
              <w:rPr>
                <w:rFonts w:ascii="Times New Roman" w:eastAsia="仿宋_GB2312" w:hAnsi="Times New Roman" w:cs="Times New Roman"/>
                <w:szCs w:val="21"/>
              </w:rPr>
              <w:t>联合监督检查</w:t>
            </w:r>
          </w:p>
        </w:tc>
        <w:tc>
          <w:tcPr>
            <w:tcW w:w="1476" w:type="dxa"/>
            <w:vAlign w:val="center"/>
          </w:tcPr>
          <w:p w14:paraId="22ABDD8F"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1</w:t>
            </w:r>
          </w:p>
        </w:tc>
      </w:tr>
      <w:tr w:rsidR="00C97237" w14:paraId="39D1C067" w14:textId="77777777">
        <w:trPr>
          <w:cantSplit/>
          <w:trHeight w:val="680"/>
          <w:jc w:val="center"/>
        </w:trPr>
        <w:tc>
          <w:tcPr>
            <w:tcW w:w="693" w:type="dxa"/>
            <w:vAlign w:val="center"/>
          </w:tcPr>
          <w:p w14:paraId="08262AE2"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4</w:t>
            </w:r>
          </w:p>
        </w:tc>
        <w:tc>
          <w:tcPr>
            <w:tcW w:w="6779" w:type="dxa"/>
            <w:vAlign w:val="center"/>
          </w:tcPr>
          <w:p w14:paraId="3B47C9C3" w14:textId="77777777" w:rsidR="00C97237" w:rsidRDefault="00000000">
            <w:pPr>
              <w:spacing w:line="600" w:lineRule="exact"/>
              <w:rPr>
                <w:rFonts w:ascii="Times New Roman" w:eastAsia="仿宋_GB2312" w:hAnsi="Times New Roman" w:cs="Times New Roman"/>
                <w:szCs w:val="21"/>
              </w:rPr>
            </w:pPr>
            <w:r>
              <w:rPr>
                <w:rFonts w:ascii="Times New Roman" w:eastAsia="仿宋_GB2312" w:hAnsi="Times New Roman" w:cs="Times New Roman"/>
                <w:szCs w:val="21"/>
              </w:rPr>
              <w:t>建设工程规划核实、门牌号编排及不动产首次登记并联审批，公用服务设施接入同步进行</w:t>
            </w:r>
          </w:p>
        </w:tc>
        <w:tc>
          <w:tcPr>
            <w:tcW w:w="1476" w:type="dxa"/>
            <w:vAlign w:val="center"/>
          </w:tcPr>
          <w:p w14:paraId="4C141761"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7</w:t>
            </w:r>
          </w:p>
        </w:tc>
      </w:tr>
      <w:tr w:rsidR="00C97237" w14:paraId="32049D77" w14:textId="77777777">
        <w:trPr>
          <w:cantSplit/>
          <w:trHeight w:val="680"/>
          <w:jc w:val="center"/>
        </w:trPr>
        <w:tc>
          <w:tcPr>
            <w:tcW w:w="693" w:type="dxa"/>
            <w:vAlign w:val="center"/>
          </w:tcPr>
          <w:p w14:paraId="3ECEF2EE"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合计</w:t>
            </w:r>
          </w:p>
        </w:tc>
        <w:tc>
          <w:tcPr>
            <w:tcW w:w="6779" w:type="dxa"/>
            <w:vAlign w:val="center"/>
          </w:tcPr>
          <w:p w14:paraId="244A6131" w14:textId="77777777" w:rsidR="00C97237" w:rsidRDefault="00000000">
            <w:pPr>
              <w:spacing w:line="60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szCs w:val="21"/>
              </w:rPr>
              <w:t>个环节</w:t>
            </w:r>
          </w:p>
        </w:tc>
        <w:tc>
          <w:tcPr>
            <w:tcW w:w="1476" w:type="dxa"/>
            <w:vAlign w:val="center"/>
          </w:tcPr>
          <w:p w14:paraId="547F4847" w14:textId="77777777" w:rsidR="00C97237" w:rsidRDefault="00000000">
            <w:pPr>
              <w:spacing w:line="600" w:lineRule="exact"/>
              <w:jc w:val="center"/>
              <w:rPr>
                <w:rFonts w:ascii="Times New Roman" w:eastAsia="仿宋_GB2312" w:hAnsi="Times New Roman" w:cs="Times New Roman"/>
                <w:szCs w:val="21"/>
              </w:rPr>
            </w:pPr>
            <w:r>
              <w:rPr>
                <w:rFonts w:ascii="Times New Roman" w:eastAsia="仿宋_GB2312" w:hAnsi="Times New Roman" w:cs="Times New Roman"/>
                <w:szCs w:val="21"/>
              </w:rPr>
              <w:t>17</w:t>
            </w:r>
            <w:r>
              <w:rPr>
                <w:rFonts w:ascii="Times New Roman" w:eastAsia="仿宋_GB2312" w:hAnsi="Times New Roman" w:cs="Times New Roman"/>
                <w:szCs w:val="21"/>
              </w:rPr>
              <w:t>个工作日</w:t>
            </w:r>
          </w:p>
        </w:tc>
      </w:tr>
    </w:tbl>
    <w:p w14:paraId="7619B79E" w14:textId="77777777" w:rsidR="00C97237" w:rsidRDefault="00000000">
      <w:pPr>
        <w:autoSpaceDN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五、保障措施 </w:t>
      </w:r>
    </w:p>
    <w:p w14:paraId="53A61CFC"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bCs/>
          <w:color w:val="000000"/>
          <w:sz w:val="32"/>
          <w:szCs w:val="32"/>
        </w:rPr>
        <w:t>（一）强化工作担当，加强部门协同。</w:t>
      </w:r>
      <w:r>
        <w:rPr>
          <w:rFonts w:ascii="仿宋" w:eastAsia="仿宋" w:hAnsi="仿宋" w:cs="仿宋" w:hint="eastAsia"/>
          <w:color w:val="000000"/>
          <w:sz w:val="32"/>
          <w:szCs w:val="32"/>
        </w:rPr>
        <w:t xml:space="preserve">办理建筑许可指标牵头单位要切实担负起工作职责，健全长效管理机制，坚持统筹谋划，加强部门协同，深入推进各项工作任务落实，及时完善配套制度和工作机制。 </w:t>
      </w:r>
    </w:p>
    <w:p w14:paraId="26B2E1AA" w14:textId="77777777" w:rsidR="00C97237" w:rsidRDefault="00000000">
      <w:pPr>
        <w:autoSpaceDN w:val="0"/>
        <w:spacing w:line="580" w:lineRule="exact"/>
        <w:ind w:firstLineChars="200" w:firstLine="640"/>
        <w:rPr>
          <w:rFonts w:ascii="仿宋" w:eastAsia="仿宋" w:hAnsi="仿宋" w:cs="仿宋"/>
          <w:sz w:val="32"/>
          <w:szCs w:val="32"/>
        </w:rPr>
      </w:pPr>
      <w:r>
        <w:rPr>
          <w:rFonts w:ascii="仿宋" w:eastAsia="仿宋" w:hAnsi="仿宋" w:cs="仿宋" w:hint="eastAsia"/>
          <w:bCs/>
          <w:color w:val="000000"/>
          <w:sz w:val="32"/>
          <w:szCs w:val="32"/>
        </w:rPr>
        <w:t>（二）加强咨询辅导、帮办代办和宣传培训。</w:t>
      </w:r>
      <w:r>
        <w:rPr>
          <w:rFonts w:ascii="仿宋" w:eastAsia="仿宋" w:hAnsi="仿宋" w:cs="仿宋" w:hint="eastAsia"/>
          <w:color w:val="000000"/>
          <w:sz w:val="32"/>
          <w:szCs w:val="32"/>
        </w:rPr>
        <w:t xml:space="preserve">推行帮办代办、“互联网+”等服务模式，形成线上线下联动融合的审批咨询服务辅导机制。加强对审批人员、窗口人员、技术人员的业务能力素质培训，全面提升办理建筑许可营商环境。 </w:t>
      </w:r>
    </w:p>
    <w:p w14:paraId="378802BC" w14:textId="77777777" w:rsidR="00C97237" w:rsidRDefault="00000000">
      <w:pPr>
        <w:autoSpaceDN w:val="0"/>
        <w:spacing w:line="580" w:lineRule="exact"/>
        <w:ind w:firstLineChars="200" w:firstLine="640"/>
        <w:rPr>
          <w:rFonts w:ascii="仿宋" w:eastAsia="仿宋" w:hAnsi="仿宋" w:cs="仿宋"/>
          <w:color w:val="000000"/>
          <w:sz w:val="32"/>
          <w:szCs w:val="32"/>
        </w:rPr>
      </w:pPr>
      <w:r>
        <w:rPr>
          <w:rFonts w:ascii="仿宋" w:eastAsia="仿宋" w:hAnsi="仿宋" w:cs="仿宋" w:hint="eastAsia"/>
          <w:bCs/>
          <w:color w:val="000000"/>
          <w:sz w:val="32"/>
          <w:szCs w:val="32"/>
        </w:rPr>
        <w:t>（三）建立良好的政企沟通机制。</w:t>
      </w:r>
      <w:r>
        <w:rPr>
          <w:rFonts w:ascii="仿宋" w:eastAsia="仿宋" w:hAnsi="仿宋" w:cs="仿宋" w:hint="eastAsia"/>
          <w:color w:val="000000"/>
          <w:sz w:val="32"/>
          <w:szCs w:val="32"/>
        </w:rPr>
        <w:t>建立常态化的政企联</w:t>
      </w:r>
      <w:r>
        <w:rPr>
          <w:rFonts w:ascii="仿宋" w:eastAsia="仿宋" w:hAnsi="仿宋" w:cs="仿宋" w:hint="eastAsia"/>
          <w:color w:val="000000"/>
          <w:sz w:val="32"/>
          <w:szCs w:val="32"/>
        </w:rPr>
        <w:lastRenderedPageBreak/>
        <w:t>系机制，加强企业调研座谈，多渠道倾听收集并及时回应处理企业和群众的改革诉求。</w:t>
      </w:r>
    </w:p>
    <w:p w14:paraId="77DDC72D" w14:textId="77777777" w:rsidR="00C97237" w:rsidRDefault="00C97237">
      <w:pPr>
        <w:spacing w:line="580" w:lineRule="exact"/>
        <w:jc w:val="center"/>
        <w:rPr>
          <w:rFonts w:ascii="仿宋" w:eastAsia="仿宋" w:hAnsi="仿宋" w:cs="仿宋"/>
          <w:kern w:val="0"/>
          <w:sz w:val="32"/>
          <w:szCs w:val="32"/>
        </w:rPr>
      </w:pPr>
    </w:p>
    <w:p w14:paraId="122F043C" w14:textId="77777777" w:rsidR="00C97237" w:rsidRDefault="00C97237">
      <w:pPr>
        <w:spacing w:line="580" w:lineRule="exact"/>
        <w:jc w:val="left"/>
        <w:rPr>
          <w:rFonts w:ascii="黑体" w:eastAsia="黑体" w:hAnsi="黑体" w:cs="黑体"/>
          <w:kern w:val="0"/>
          <w:sz w:val="44"/>
          <w:szCs w:val="44"/>
        </w:rPr>
      </w:pPr>
    </w:p>
    <w:p w14:paraId="30C22114" w14:textId="77777777" w:rsidR="00C97237" w:rsidRDefault="00C97237">
      <w:pPr>
        <w:spacing w:line="580" w:lineRule="exact"/>
        <w:jc w:val="left"/>
        <w:rPr>
          <w:rFonts w:ascii="黑体" w:eastAsia="黑体" w:hAnsi="黑体" w:cs="黑体"/>
          <w:kern w:val="0"/>
          <w:sz w:val="44"/>
          <w:szCs w:val="44"/>
        </w:rPr>
      </w:pPr>
    </w:p>
    <w:p w14:paraId="227BC759" w14:textId="77777777" w:rsidR="00C97237" w:rsidRDefault="00C97237">
      <w:pPr>
        <w:spacing w:line="580" w:lineRule="exact"/>
        <w:jc w:val="left"/>
        <w:rPr>
          <w:rFonts w:ascii="黑体" w:eastAsia="黑体" w:hAnsi="黑体" w:cs="黑体"/>
          <w:kern w:val="0"/>
          <w:sz w:val="44"/>
          <w:szCs w:val="44"/>
        </w:rPr>
      </w:pPr>
    </w:p>
    <w:p w14:paraId="019B54F6" w14:textId="77777777" w:rsidR="00C97237" w:rsidRDefault="00C97237">
      <w:pPr>
        <w:spacing w:line="580" w:lineRule="exact"/>
        <w:jc w:val="left"/>
        <w:rPr>
          <w:rFonts w:ascii="黑体" w:eastAsia="黑体" w:hAnsi="黑体" w:cs="黑体"/>
          <w:kern w:val="0"/>
          <w:sz w:val="44"/>
          <w:szCs w:val="44"/>
        </w:rPr>
      </w:pPr>
    </w:p>
    <w:p w14:paraId="3F171A9D" w14:textId="77777777" w:rsidR="00C97237" w:rsidRDefault="00C97237">
      <w:pPr>
        <w:spacing w:line="580" w:lineRule="exact"/>
        <w:jc w:val="left"/>
        <w:rPr>
          <w:rFonts w:ascii="黑体" w:eastAsia="黑体" w:hAnsi="黑体" w:cs="黑体"/>
          <w:kern w:val="0"/>
          <w:sz w:val="44"/>
          <w:szCs w:val="44"/>
        </w:rPr>
      </w:pPr>
    </w:p>
    <w:p w14:paraId="7464CA2E" w14:textId="77777777" w:rsidR="00C97237" w:rsidRDefault="00C97237">
      <w:pPr>
        <w:spacing w:line="580" w:lineRule="exact"/>
        <w:jc w:val="left"/>
        <w:rPr>
          <w:rFonts w:ascii="黑体" w:eastAsia="黑体" w:hAnsi="黑体" w:cs="黑体"/>
          <w:kern w:val="0"/>
          <w:sz w:val="44"/>
          <w:szCs w:val="44"/>
        </w:rPr>
      </w:pPr>
    </w:p>
    <w:p w14:paraId="59AD4783" w14:textId="77777777" w:rsidR="00C97237" w:rsidRDefault="00C97237">
      <w:pPr>
        <w:pStyle w:val="Default"/>
        <w:rPr>
          <w:rFonts w:ascii="黑体" w:eastAsia="黑体" w:hAnsi="黑体" w:cs="黑体"/>
          <w:color w:val="auto"/>
          <w:sz w:val="44"/>
          <w:szCs w:val="44"/>
        </w:rPr>
      </w:pPr>
    </w:p>
    <w:p w14:paraId="679D4FB8" w14:textId="77777777" w:rsidR="00C97237" w:rsidRDefault="00C97237">
      <w:pPr>
        <w:pStyle w:val="a9"/>
        <w:rPr>
          <w:rFonts w:ascii="黑体" w:eastAsia="黑体" w:hAnsi="黑体" w:cs="黑体"/>
          <w:kern w:val="0"/>
          <w:sz w:val="44"/>
          <w:szCs w:val="44"/>
        </w:rPr>
      </w:pPr>
    </w:p>
    <w:p w14:paraId="19082B99" w14:textId="77777777" w:rsidR="00C97237" w:rsidRDefault="00C97237">
      <w:pPr>
        <w:rPr>
          <w:rFonts w:ascii="黑体" w:eastAsia="黑体" w:hAnsi="黑体" w:cs="黑体"/>
          <w:kern w:val="0"/>
          <w:sz w:val="44"/>
          <w:szCs w:val="44"/>
        </w:rPr>
      </w:pPr>
    </w:p>
    <w:p w14:paraId="697D59AE" w14:textId="77777777" w:rsidR="00C97237" w:rsidRDefault="00C97237">
      <w:pPr>
        <w:pStyle w:val="Default"/>
        <w:rPr>
          <w:rFonts w:ascii="黑体" w:eastAsia="黑体" w:hAnsi="黑体" w:cs="黑体"/>
          <w:color w:val="auto"/>
          <w:sz w:val="44"/>
          <w:szCs w:val="44"/>
        </w:rPr>
      </w:pPr>
    </w:p>
    <w:p w14:paraId="08E664E5" w14:textId="77777777" w:rsidR="00C97237" w:rsidRDefault="00C97237">
      <w:pPr>
        <w:pStyle w:val="a9"/>
        <w:rPr>
          <w:rFonts w:ascii="黑体" w:eastAsia="黑体" w:hAnsi="黑体" w:cs="黑体"/>
          <w:kern w:val="0"/>
          <w:sz w:val="44"/>
          <w:szCs w:val="44"/>
        </w:rPr>
      </w:pPr>
    </w:p>
    <w:p w14:paraId="09B96243" w14:textId="77777777" w:rsidR="00C97237" w:rsidRDefault="00C97237">
      <w:pPr>
        <w:rPr>
          <w:rFonts w:ascii="黑体" w:eastAsia="黑体" w:hAnsi="黑体" w:cs="黑体"/>
          <w:kern w:val="0"/>
          <w:sz w:val="44"/>
          <w:szCs w:val="44"/>
        </w:rPr>
      </w:pPr>
    </w:p>
    <w:p w14:paraId="27FB593E" w14:textId="77777777" w:rsidR="00C97237" w:rsidRDefault="00C97237">
      <w:pPr>
        <w:pStyle w:val="Default"/>
        <w:rPr>
          <w:rFonts w:ascii="黑体" w:eastAsia="黑体" w:hAnsi="黑体" w:cs="黑体"/>
          <w:color w:val="auto"/>
          <w:sz w:val="44"/>
          <w:szCs w:val="44"/>
        </w:rPr>
      </w:pPr>
    </w:p>
    <w:p w14:paraId="709B5C23" w14:textId="77777777" w:rsidR="00C97237" w:rsidRDefault="00C97237">
      <w:pPr>
        <w:pStyle w:val="a9"/>
        <w:rPr>
          <w:rFonts w:ascii="黑体" w:eastAsia="黑体" w:hAnsi="黑体" w:cs="黑体"/>
          <w:kern w:val="0"/>
          <w:sz w:val="44"/>
          <w:szCs w:val="44"/>
        </w:rPr>
      </w:pPr>
    </w:p>
    <w:p w14:paraId="132AA8E6" w14:textId="77777777" w:rsidR="00C97237" w:rsidRDefault="00C97237">
      <w:pPr>
        <w:rPr>
          <w:rFonts w:ascii="黑体" w:eastAsia="黑体" w:hAnsi="黑体" w:cs="黑体"/>
          <w:kern w:val="0"/>
          <w:sz w:val="44"/>
          <w:szCs w:val="44"/>
        </w:rPr>
      </w:pPr>
    </w:p>
    <w:p w14:paraId="669E2E88" w14:textId="77777777" w:rsidR="00C97237" w:rsidRDefault="00C97237">
      <w:pPr>
        <w:pStyle w:val="Default"/>
        <w:rPr>
          <w:rFonts w:ascii="黑体" w:eastAsia="黑体" w:hAnsi="黑体" w:cs="黑体"/>
          <w:color w:val="auto"/>
          <w:sz w:val="44"/>
          <w:szCs w:val="44"/>
        </w:rPr>
      </w:pPr>
    </w:p>
    <w:p w14:paraId="5D6C1356" w14:textId="77777777" w:rsidR="00C97237" w:rsidRDefault="00C97237">
      <w:pPr>
        <w:pStyle w:val="a9"/>
      </w:pPr>
    </w:p>
    <w:p w14:paraId="162EB4B8" w14:textId="77777777" w:rsidR="00C97237" w:rsidRDefault="00C97237">
      <w:pPr>
        <w:spacing w:line="580" w:lineRule="exact"/>
        <w:jc w:val="left"/>
        <w:rPr>
          <w:rFonts w:ascii="黑体" w:eastAsia="黑体" w:hAnsi="黑体" w:cs="黑体"/>
          <w:kern w:val="0"/>
          <w:sz w:val="44"/>
          <w:szCs w:val="44"/>
        </w:rPr>
      </w:pPr>
    </w:p>
    <w:p w14:paraId="18D7AE98" w14:textId="77777777" w:rsidR="00C97237" w:rsidRDefault="00000000">
      <w:pPr>
        <w:spacing w:line="580" w:lineRule="exact"/>
        <w:jc w:val="left"/>
        <w:rPr>
          <w:rFonts w:ascii="黑体" w:eastAsia="黑体" w:hAnsi="黑体" w:cs="黑体"/>
          <w:kern w:val="0"/>
          <w:sz w:val="44"/>
          <w:szCs w:val="44"/>
        </w:rPr>
      </w:pPr>
      <w:r>
        <w:rPr>
          <w:rFonts w:ascii="黑体" w:eastAsia="黑体" w:hAnsi="黑体" w:cs="黑体" w:hint="eastAsia"/>
          <w:kern w:val="0"/>
          <w:sz w:val="44"/>
          <w:szCs w:val="44"/>
        </w:rPr>
        <w:t>附件4</w:t>
      </w:r>
    </w:p>
    <w:p w14:paraId="2551B617" w14:textId="77777777" w:rsidR="00C97237" w:rsidRDefault="00000000">
      <w:pPr>
        <w:spacing w:line="580" w:lineRule="exact"/>
        <w:jc w:val="center"/>
        <w:rPr>
          <w:rFonts w:ascii="黑体" w:eastAsia="黑体" w:hAnsi="黑体" w:cs="黑体"/>
          <w:sz w:val="44"/>
          <w:szCs w:val="44"/>
          <w:shd w:val="clear" w:color="auto" w:fill="FFFFFF"/>
        </w:rPr>
      </w:pPr>
      <w:r>
        <w:rPr>
          <w:rFonts w:ascii="黑体" w:eastAsia="黑体" w:hAnsi="黑体" w:cs="黑体" w:hint="eastAsia"/>
          <w:kern w:val="0"/>
          <w:sz w:val="44"/>
          <w:szCs w:val="44"/>
        </w:rPr>
        <w:t>偃师区获得电力提升专项行动</w:t>
      </w:r>
      <w:r>
        <w:rPr>
          <w:rFonts w:ascii="黑体" w:eastAsia="黑体" w:hAnsi="黑体" w:cs="黑体" w:hint="eastAsia"/>
          <w:kern w:val="0"/>
          <w:sz w:val="44"/>
          <w:szCs w:val="44"/>
          <w:lang w:val="zh-CN"/>
        </w:rPr>
        <w:t>方案</w:t>
      </w:r>
    </w:p>
    <w:p w14:paraId="4AC36506" w14:textId="77777777" w:rsidR="00C97237" w:rsidRDefault="00C97237">
      <w:pPr>
        <w:widowControl/>
        <w:spacing w:line="580" w:lineRule="exact"/>
        <w:ind w:leftChars="200" w:left="420"/>
        <w:jc w:val="center"/>
        <w:rPr>
          <w:rFonts w:ascii="仿宋" w:eastAsia="仿宋" w:hAnsi="仿宋" w:cs="仿宋"/>
          <w:kern w:val="0"/>
          <w:sz w:val="32"/>
          <w:szCs w:val="32"/>
          <w:shd w:val="clear" w:color="auto" w:fill="FFFFFF"/>
          <w:lang w:bidi="ar"/>
        </w:rPr>
      </w:pPr>
    </w:p>
    <w:p w14:paraId="45077AC2" w14:textId="77777777" w:rsidR="00C97237" w:rsidRDefault="00000000">
      <w:pPr>
        <w:spacing w:line="580" w:lineRule="exact"/>
        <w:ind w:firstLineChars="200" w:firstLine="640"/>
        <w:jc w:val="left"/>
        <w:rPr>
          <w:rFonts w:ascii="仿宋" w:eastAsia="仿宋" w:hAnsi="仿宋" w:cs="仿宋"/>
          <w:sz w:val="32"/>
          <w:szCs w:val="32"/>
        </w:rPr>
      </w:pPr>
      <w:r>
        <w:rPr>
          <w:rFonts w:ascii="仿宋" w:eastAsia="仿宋" w:hAnsi="仿宋" w:cs="仿宋" w:hint="eastAsia"/>
          <w:sz w:val="32"/>
          <w:szCs w:val="32"/>
          <w:shd w:val="clear" w:color="auto" w:fill="FFFFFF"/>
        </w:rPr>
        <w:t>为深入贯彻落实《河南省营商环境优化提升行动方案（2022版）》工作部署，</w:t>
      </w:r>
      <w:r>
        <w:rPr>
          <w:rFonts w:ascii="仿宋" w:eastAsia="仿宋" w:hAnsi="仿宋" w:cs="仿宋" w:hint="eastAsia"/>
          <w:sz w:val="32"/>
          <w:szCs w:val="32"/>
        </w:rPr>
        <w:t>进一步</w:t>
      </w:r>
      <w:r>
        <w:rPr>
          <w:rFonts w:ascii="仿宋" w:eastAsia="仿宋" w:hAnsi="仿宋" w:cs="仿宋" w:hint="eastAsia"/>
          <w:sz w:val="32"/>
          <w:szCs w:val="32"/>
          <w:shd w:val="clear" w:color="auto" w:fill="FFFFFF"/>
        </w:rPr>
        <w:t>深化</w:t>
      </w:r>
      <w:r>
        <w:rPr>
          <w:rFonts w:ascii="仿宋" w:eastAsia="仿宋" w:hAnsi="仿宋" w:cs="仿宋" w:hint="eastAsia"/>
          <w:sz w:val="32"/>
          <w:szCs w:val="32"/>
        </w:rPr>
        <w:t>用电报装改革，持续提升偃师区“获得电力”服务水平，结合偃师区实际情况，特制定本工作方案。</w:t>
      </w:r>
    </w:p>
    <w:p w14:paraId="4AFD4DAD"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14:paraId="7299C095" w14:textId="77777777" w:rsidR="00C97237" w:rsidRDefault="00000000">
      <w:pPr>
        <w:spacing w:line="580" w:lineRule="exact"/>
        <w:ind w:firstLineChars="200" w:firstLine="664"/>
        <w:rPr>
          <w:rFonts w:ascii="仿宋" w:eastAsia="仿宋" w:hAnsi="仿宋" w:cs="仿宋"/>
          <w:spacing w:val="6"/>
          <w:sz w:val="32"/>
          <w:szCs w:val="32"/>
          <w:shd w:val="clear" w:color="auto" w:fill="FFFFFF"/>
        </w:rPr>
      </w:pPr>
      <w:r>
        <w:rPr>
          <w:rFonts w:ascii="仿宋" w:eastAsia="仿宋" w:hAnsi="仿宋" w:cs="仿宋" w:hint="eastAsia"/>
          <w:spacing w:val="6"/>
          <w:sz w:val="32"/>
          <w:szCs w:val="32"/>
          <w:shd w:val="clear" w:color="auto" w:fill="FFFFFF"/>
        </w:rPr>
        <w:t>认真贯彻党中央、国务院优化营商环境决策部署，严格落实《国家发展改革委 国家能源局关于全面提升“获得电力”服务水平持续优化用电营商环境的意见》（发改能源规〔2020〕1479号），切实践行“人民电业为人民”的企业宗旨，对标国内先进，聚焦营商环境评价及“万人助万企”活动成效，深化“三零”“三省”办电服务，打造洛阳</w:t>
      </w:r>
      <w:r>
        <w:rPr>
          <w:rFonts w:ascii="仿宋" w:eastAsia="仿宋" w:hAnsi="仿宋" w:cs="仿宋" w:hint="eastAsia"/>
          <w:sz w:val="32"/>
          <w:szCs w:val="32"/>
        </w:rPr>
        <w:t>“更便捷、更省钱、更透明、更智能、更绿色、更可靠”的“六更”办电服务品牌</w:t>
      </w:r>
      <w:r>
        <w:rPr>
          <w:rFonts w:ascii="仿宋" w:eastAsia="仿宋" w:hAnsi="仿宋" w:cs="仿宋" w:hint="eastAsia"/>
          <w:spacing w:val="6"/>
          <w:sz w:val="32"/>
          <w:szCs w:val="32"/>
          <w:shd w:val="clear" w:color="auto" w:fill="FFFFFF"/>
        </w:rPr>
        <w:t>，优化政企协同，规范投资界面，加强业务管控，建设可靠智能电网，</w:t>
      </w:r>
      <w:r>
        <w:rPr>
          <w:rFonts w:ascii="仿宋" w:eastAsia="仿宋" w:hAnsi="仿宋" w:cs="仿宋" w:hint="eastAsia"/>
          <w:spacing w:val="6"/>
          <w:sz w:val="32"/>
          <w:szCs w:val="32"/>
        </w:rPr>
        <w:t>以更高标准、更大力度推动办电流程更优、效率更高、成本更低，</w:t>
      </w:r>
      <w:r>
        <w:rPr>
          <w:rFonts w:ascii="仿宋" w:eastAsia="仿宋" w:hAnsi="仿宋" w:cs="仿宋" w:hint="eastAsia"/>
          <w:spacing w:val="6"/>
          <w:sz w:val="32"/>
          <w:szCs w:val="32"/>
          <w:shd w:val="clear" w:color="auto" w:fill="FFFFFF"/>
        </w:rPr>
        <w:t>切实提升客户办电获得感、满意度。</w:t>
      </w:r>
    </w:p>
    <w:p w14:paraId="0F7E1310"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w:t>
      </w:r>
    </w:p>
    <w:p w14:paraId="72ADF4E5" w14:textId="77777777" w:rsidR="00C97237" w:rsidRDefault="00000000">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2022年底前，“获得电力”保持省评优势指标，力争省评“获得电力”位居偃师区排名前列。</w:t>
      </w:r>
    </w:p>
    <w:p w14:paraId="1698FC37" w14:textId="77777777" w:rsidR="00C97237" w:rsidRDefault="00000000">
      <w:pPr>
        <w:spacing w:line="580" w:lineRule="exact"/>
        <w:ind w:firstLineChars="200" w:firstLine="643"/>
        <w:rPr>
          <w:rFonts w:ascii="仿宋" w:eastAsia="仿宋" w:hAnsi="仿宋" w:cs="仿宋"/>
          <w:b/>
          <w:bCs/>
          <w:sz w:val="32"/>
          <w:szCs w:val="32"/>
          <w:shd w:val="clear" w:color="auto" w:fill="FFFFFF"/>
        </w:rPr>
      </w:pPr>
      <w:r>
        <w:rPr>
          <w:rFonts w:ascii="仿宋" w:eastAsia="仿宋" w:hAnsi="仿宋" w:cs="仿宋" w:hint="eastAsia"/>
          <w:b/>
          <w:bCs/>
          <w:sz w:val="32"/>
          <w:szCs w:val="32"/>
          <w:shd w:val="clear" w:color="auto" w:fill="FFFFFF"/>
        </w:rPr>
        <w:t>——进一步降低办电成本。</w:t>
      </w:r>
      <w:r>
        <w:rPr>
          <w:rFonts w:ascii="仿宋" w:eastAsia="仿宋" w:hAnsi="仿宋" w:cs="仿宋" w:hint="eastAsia"/>
          <w:sz w:val="32"/>
          <w:szCs w:val="32"/>
          <w:shd w:val="clear" w:color="auto" w:fill="FFFFFF"/>
        </w:rPr>
        <w:t>在城镇规划建设用地范围内，2021年3月1日后取得土地使用权的项目，投资界面延伸至客户建筑区划红线，降低接网工程成本，客户红线外接网工程“零投资”。</w:t>
      </w:r>
    </w:p>
    <w:p w14:paraId="061089C0" w14:textId="77777777" w:rsidR="00C97237" w:rsidRDefault="00000000">
      <w:pPr>
        <w:spacing w:line="580" w:lineRule="exact"/>
        <w:ind w:firstLineChars="200" w:firstLine="643"/>
        <w:rPr>
          <w:rFonts w:ascii="仿宋" w:eastAsia="仿宋" w:hAnsi="仿宋" w:cs="仿宋"/>
          <w:bCs/>
          <w:sz w:val="32"/>
          <w:szCs w:val="32"/>
        </w:rPr>
      </w:pPr>
      <w:r>
        <w:rPr>
          <w:rFonts w:ascii="仿宋" w:eastAsia="仿宋" w:hAnsi="仿宋" w:cs="仿宋" w:hint="eastAsia"/>
          <w:b/>
          <w:bCs/>
          <w:sz w:val="32"/>
          <w:szCs w:val="32"/>
          <w:shd w:val="clear" w:color="auto" w:fill="FFFFFF"/>
        </w:rPr>
        <w:lastRenderedPageBreak/>
        <w:t>——进一步提升办电效率。</w:t>
      </w:r>
      <w:r>
        <w:rPr>
          <w:rFonts w:ascii="仿宋" w:eastAsia="仿宋" w:hAnsi="仿宋" w:cs="仿宋" w:hint="eastAsia"/>
          <w:bCs/>
          <w:sz w:val="32"/>
          <w:szCs w:val="32"/>
          <w:shd w:val="clear" w:color="auto" w:fill="FFFFFF"/>
        </w:rPr>
        <w:t>全过程办电时间，</w:t>
      </w:r>
      <w:r>
        <w:rPr>
          <w:rFonts w:ascii="仿宋" w:eastAsia="仿宋" w:hAnsi="仿宋" w:cs="仿宋" w:hint="eastAsia"/>
          <w:sz w:val="32"/>
          <w:szCs w:val="32"/>
        </w:rPr>
        <w:t>低压居民、低压非居民（含低压小微企业）</w:t>
      </w:r>
      <w:r>
        <w:rPr>
          <w:rFonts w:ascii="仿宋" w:eastAsia="仿宋" w:hAnsi="仿宋" w:cs="仿宋" w:hint="eastAsia"/>
          <w:sz w:val="32"/>
          <w:szCs w:val="32"/>
          <w:shd w:val="clear" w:color="auto" w:fill="FFFFFF"/>
        </w:rPr>
        <w:t>客户</w:t>
      </w:r>
      <w:r>
        <w:rPr>
          <w:rFonts w:ascii="仿宋" w:eastAsia="仿宋" w:hAnsi="仿宋" w:cs="仿宋" w:hint="eastAsia"/>
          <w:sz w:val="32"/>
          <w:szCs w:val="32"/>
        </w:rPr>
        <w:t>分别不超过3个、5个工作日。业务办理时间（不含接网工程及客户工程建设时间），</w:t>
      </w:r>
      <w:r>
        <w:rPr>
          <w:rFonts w:ascii="仿宋" w:eastAsia="仿宋" w:hAnsi="仿宋" w:cs="仿宋" w:hint="eastAsia"/>
          <w:sz w:val="32"/>
          <w:szCs w:val="32"/>
          <w:shd w:val="clear" w:color="auto" w:fill="FFFFFF"/>
        </w:rPr>
        <w:t>高压单电源普通客户、高压双电源普通客户</w:t>
      </w:r>
      <w:r>
        <w:rPr>
          <w:rFonts w:ascii="仿宋" w:eastAsia="仿宋" w:hAnsi="仿宋" w:cs="仿宋" w:hint="eastAsia"/>
          <w:sz w:val="32"/>
          <w:szCs w:val="32"/>
        </w:rPr>
        <w:t>分别不超过</w:t>
      </w:r>
      <w:r>
        <w:rPr>
          <w:rFonts w:ascii="仿宋" w:eastAsia="仿宋" w:hAnsi="仿宋" w:cs="仿宋" w:hint="eastAsia"/>
          <w:sz w:val="32"/>
          <w:szCs w:val="32"/>
          <w:shd w:val="clear" w:color="auto" w:fill="FFFFFF"/>
        </w:rPr>
        <w:t>16个、24个</w:t>
      </w:r>
      <w:r>
        <w:rPr>
          <w:rFonts w:ascii="仿宋" w:eastAsia="仿宋" w:hAnsi="仿宋" w:cs="仿宋" w:hint="eastAsia"/>
          <w:sz w:val="32"/>
          <w:szCs w:val="32"/>
        </w:rPr>
        <w:t>工作日。接网工程政府审批时间，低压居民、低压小微企业</w:t>
      </w:r>
      <w:r>
        <w:rPr>
          <w:rStyle w:val="ad"/>
          <w:rFonts w:ascii="仿宋" w:eastAsia="仿宋" w:hAnsi="仿宋" w:cs="仿宋" w:hint="eastAsia"/>
          <w:sz w:val="32"/>
          <w:szCs w:val="32"/>
        </w:rPr>
        <w:footnoteReference w:id="1"/>
      </w:r>
      <w:r>
        <w:rPr>
          <w:rFonts w:ascii="仿宋" w:eastAsia="仿宋" w:hAnsi="仿宋" w:cs="仿宋" w:hint="eastAsia"/>
          <w:sz w:val="32"/>
          <w:szCs w:val="32"/>
        </w:rPr>
        <w:t>实行免审批，10千伏高压实行线上并联审批或告知承诺制，时限不超过5个工作日。接网工程建设时间，</w:t>
      </w:r>
      <w:r>
        <w:rPr>
          <w:rFonts w:ascii="仿宋" w:eastAsia="仿宋" w:hAnsi="仿宋" w:cs="仿宋" w:hint="eastAsia"/>
          <w:bCs/>
          <w:sz w:val="32"/>
          <w:szCs w:val="32"/>
        </w:rPr>
        <w:t>低压非居民和10千伏接网工程原则上分别不超过10个工作日、60个工作日，35千伏及以上接网工程要按电网工程基本建设程序建设，并与客户受电工程同步推进或适度超前完工。</w:t>
      </w:r>
    </w:p>
    <w:p w14:paraId="43812DF7"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shd w:val="clear" w:color="auto" w:fill="FFFFFF"/>
        </w:rPr>
        <w:t>——进一步提升办电便利度。</w:t>
      </w:r>
      <w:r>
        <w:rPr>
          <w:rFonts w:ascii="仿宋" w:eastAsia="仿宋" w:hAnsi="仿宋" w:cs="仿宋" w:hint="eastAsia"/>
          <w:bCs/>
          <w:sz w:val="32"/>
          <w:szCs w:val="32"/>
          <w:shd w:val="clear" w:color="auto" w:fill="FFFFFF"/>
        </w:rPr>
        <w:t>办电环节方面，普通</w:t>
      </w:r>
      <w:r>
        <w:rPr>
          <w:rFonts w:ascii="仿宋" w:eastAsia="仿宋" w:hAnsi="仿宋" w:cs="仿宋" w:hint="eastAsia"/>
          <w:sz w:val="32"/>
          <w:szCs w:val="32"/>
        </w:rPr>
        <w:t>高压客户</w:t>
      </w:r>
      <w:r>
        <w:rPr>
          <w:rStyle w:val="ad"/>
          <w:rFonts w:ascii="仿宋" w:eastAsia="仿宋" w:hAnsi="仿宋" w:cs="仿宋" w:hint="eastAsia"/>
          <w:sz w:val="32"/>
          <w:szCs w:val="32"/>
        </w:rPr>
        <w:footnoteReference w:id="2"/>
      </w:r>
      <w:r>
        <w:rPr>
          <w:rFonts w:ascii="仿宋" w:eastAsia="仿宋" w:hAnsi="仿宋" w:cs="仿宋" w:hint="eastAsia"/>
          <w:sz w:val="32"/>
          <w:szCs w:val="32"/>
        </w:rPr>
        <w:t>参与用电报装不超过4个环节，低压客户</w:t>
      </w:r>
      <w:r>
        <w:rPr>
          <w:rStyle w:val="ad"/>
          <w:rFonts w:ascii="仿宋" w:eastAsia="仿宋" w:hAnsi="仿宋" w:cs="仿宋" w:hint="eastAsia"/>
          <w:sz w:val="32"/>
          <w:szCs w:val="32"/>
        </w:rPr>
        <w:footnoteReference w:id="3"/>
      </w:r>
      <w:r>
        <w:rPr>
          <w:rFonts w:ascii="仿宋" w:eastAsia="仿宋" w:hAnsi="仿宋" w:cs="仿宋" w:hint="eastAsia"/>
          <w:sz w:val="32"/>
          <w:szCs w:val="32"/>
        </w:rPr>
        <w:t>参与用电报装不超过3个环节，低压居民、低压小微企业</w:t>
      </w:r>
      <w:r>
        <w:rPr>
          <w:rFonts w:ascii="仿宋" w:eastAsia="仿宋" w:hAnsi="仿宋" w:cs="仿宋" w:hint="eastAsia"/>
          <w:sz w:val="32"/>
          <w:szCs w:val="32"/>
          <w:shd w:val="clear" w:color="auto" w:fill="FFFFFF"/>
        </w:rPr>
        <w:t>客户</w:t>
      </w:r>
      <w:r>
        <w:rPr>
          <w:rFonts w:ascii="仿宋" w:eastAsia="仿宋" w:hAnsi="仿宋" w:cs="仿宋" w:hint="eastAsia"/>
          <w:sz w:val="32"/>
          <w:szCs w:val="32"/>
        </w:rPr>
        <w:t>参与</w:t>
      </w:r>
      <w:r>
        <w:rPr>
          <w:rFonts w:ascii="仿宋" w:eastAsia="仿宋" w:hAnsi="仿宋" w:cs="仿宋" w:hint="eastAsia"/>
          <w:sz w:val="32"/>
          <w:szCs w:val="32"/>
          <w:shd w:val="clear" w:color="auto" w:fill="FFFFFF"/>
        </w:rPr>
        <w:t>办电环节保持2个环节。</w:t>
      </w:r>
      <w:r>
        <w:rPr>
          <w:rFonts w:ascii="仿宋" w:eastAsia="仿宋" w:hAnsi="仿宋" w:cs="仿宋" w:hint="eastAsia"/>
          <w:sz w:val="32"/>
          <w:szCs w:val="32"/>
        </w:rPr>
        <w:t>持续优化线上办电功能，丰富服务渠道建设，深化政务数据共享，实现用电报装“低压一次都不跑、高压最多跑一次”。</w:t>
      </w:r>
    </w:p>
    <w:p w14:paraId="4DCD44CE" w14:textId="77777777" w:rsidR="00C97237" w:rsidRDefault="00000000">
      <w:pPr>
        <w:spacing w:line="580" w:lineRule="exact"/>
        <w:ind w:firstLineChars="200" w:firstLine="643"/>
        <w:rPr>
          <w:rFonts w:ascii="仿宋" w:eastAsia="仿宋" w:hAnsi="仿宋" w:cs="仿宋"/>
          <w:color w:val="FF0000"/>
          <w:sz w:val="32"/>
          <w:szCs w:val="32"/>
        </w:rPr>
      </w:pPr>
      <w:r>
        <w:rPr>
          <w:rFonts w:ascii="仿宋" w:eastAsia="仿宋" w:hAnsi="仿宋" w:cs="仿宋" w:hint="eastAsia"/>
          <w:b/>
          <w:bCs/>
          <w:sz w:val="32"/>
          <w:szCs w:val="32"/>
          <w:shd w:val="clear" w:color="auto" w:fill="FFFFFF"/>
        </w:rPr>
        <w:t>——进一步提升用电可靠性。</w:t>
      </w:r>
      <w:r>
        <w:rPr>
          <w:rFonts w:ascii="仿宋" w:eastAsia="仿宋" w:hAnsi="仿宋" w:cs="仿宋" w:hint="eastAsia"/>
          <w:color w:val="FF0000"/>
          <w:sz w:val="32"/>
          <w:szCs w:val="32"/>
        </w:rPr>
        <w:t>偃师区地区客户年均停电时间分别压减至11个、18个小时以内，或年均同比压缩8%以上。</w:t>
      </w:r>
    </w:p>
    <w:p w14:paraId="56D57823"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lastRenderedPageBreak/>
        <w:t>2022年10千伏接网工程建设时限目标</w:t>
      </w:r>
    </w:p>
    <w:p w14:paraId="566EC6BB" w14:textId="77777777" w:rsidR="00C97237" w:rsidRDefault="00000000">
      <w:pPr>
        <w:spacing w:line="580" w:lineRule="exact"/>
        <w:jc w:val="right"/>
        <w:rPr>
          <w:rFonts w:ascii="仿宋" w:eastAsia="仿宋" w:hAnsi="仿宋" w:cs="仿宋"/>
          <w:sz w:val="32"/>
          <w:szCs w:val="32"/>
        </w:rPr>
      </w:pPr>
      <w:r>
        <w:rPr>
          <w:rFonts w:ascii="仿宋" w:eastAsia="仿宋" w:hAnsi="仿宋" w:cs="仿宋" w:hint="eastAsia"/>
          <w:sz w:val="32"/>
          <w:szCs w:val="32"/>
        </w:rPr>
        <w:t>单位：工作日</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9"/>
        <w:gridCol w:w="2189"/>
        <w:gridCol w:w="2189"/>
        <w:gridCol w:w="2190"/>
      </w:tblGrid>
      <w:tr w:rsidR="00C97237" w14:paraId="3FBABC5D" w14:textId="77777777">
        <w:trPr>
          <w:trHeight w:val="1249"/>
          <w:jc w:val="center"/>
        </w:trPr>
        <w:tc>
          <w:tcPr>
            <w:tcW w:w="2189" w:type="dxa"/>
            <w:tcMar>
              <w:top w:w="0" w:type="dxa"/>
              <w:left w:w="108" w:type="dxa"/>
              <w:bottom w:w="0" w:type="dxa"/>
              <w:right w:w="108" w:type="dxa"/>
            </w:tcMar>
            <w:vAlign w:val="center"/>
          </w:tcPr>
          <w:p w14:paraId="72CAE2F9"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线路T接或</w:t>
            </w:r>
          </w:p>
          <w:p w14:paraId="6C727200"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新、改建架空线路</w:t>
            </w:r>
          </w:p>
        </w:tc>
        <w:tc>
          <w:tcPr>
            <w:tcW w:w="2189" w:type="dxa"/>
            <w:tcMar>
              <w:top w:w="0" w:type="dxa"/>
              <w:left w:w="108" w:type="dxa"/>
              <w:bottom w:w="0" w:type="dxa"/>
              <w:right w:w="108" w:type="dxa"/>
            </w:tcMar>
            <w:vAlign w:val="center"/>
          </w:tcPr>
          <w:p w14:paraId="7D8C5A77"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新、改建环网柜</w:t>
            </w:r>
          </w:p>
          <w:p w14:paraId="0C7779CD"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或分支箱</w:t>
            </w:r>
          </w:p>
        </w:tc>
        <w:tc>
          <w:tcPr>
            <w:tcW w:w="2189" w:type="dxa"/>
            <w:tcMar>
              <w:top w:w="0" w:type="dxa"/>
              <w:left w:w="108" w:type="dxa"/>
              <w:bottom w:w="0" w:type="dxa"/>
              <w:right w:w="108" w:type="dxa"/>
            </w:tcMar>
            <w:vAlign w:val="center"/>
          </w:tcPr>
          <w:p w14:paraId="5E88569B"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新建电缆线路</w:t>
            </w:r>
          </w:p>
          <w:p w14:paraId="2F6F6DCC"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或开闭所出线</w:t>
            </w:r>
          </w:p>
        </w:tc>
        <w:tc>
          <w:tcPr>
            <w:tcW w:w="2190" w:type="dxa"/>
            <w:tcMar>
              <w:top w:w="0" w:type="dxa"/>
              <w:left w:w="108" w:type="dxa"/>
              <w:bottom w:w="0" w:type="dxa"/>
              <w:right w:w="108" w:type="dxa"/>
            </w:tcMar>
            <w:vAlign w:val="center"/>
          </w:tcPr>
          <w:p w14:paraId="60D3FDC1"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新建变电站间隔</w:t>
            </w:r>
          </w:p>
        </w:tc>
      </w:tr>
      <w:tr w:rsidR="00C97237" w14:paraId="7303E525" w14:textId="77777777">
        <w:trPr>
          <w:trHeight w:val="765"/>
          <w:jc w:val="center"/>
        </w:trPr>
        <w:tc>
          <w:tcPr>
            <w:tcW w:w="2189" w:type="dxa"/>
            <w:tcMar>
              <w:top w:w="0" w:type="dxa"/>
              <w:left w:w="108" w:type="dxa"/>
              <w:bottom w:w="0" w:type="dxa"/>
              <w:right w:w="108" w:type="dxa"/>
            </w:tcMar>
            <w:vAlign w:val="center"/>
          </w:tcPr>
          <w:p w14:paraId="79D92129"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≤20</w:t>
            </w:r>
          </w:p>
        </w:tc>
        <w:tc>
          <w:tcPr>
            <w:tcW w:w="2189" w:type="dxa"/>
            <w:tcMar>
              <w:top w:w="0" w:type="dxa"/>
              <w:left w:w="108" w:type="dxa"/>
              <w:bottom w:w="0" w:type="dxa"/>
              <w:right w:w="108" w:type="dxa"/>
            </w:tcMar>
            <w:vAlign w:val="center"/>
          </w:tcPr>
          <w:p w14:paraId="19DA18E2"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≤30</w:t>
            </w:r>
          </w:p>
        </w:tc>
        <w:tc>
          <w:tcPr>
            <w:tcW w:w="2189" w:type="dxa"/>
            <w:tcMar>
              <w:top w:w="0" w:type="dxa"/>
              <w:left w:w="108" w:type="dxa"/>
              <w:bottom w:w="0" w:type="dxa"/>
              <w:right w:w="108" w:type="dxa"/>
            </w:tcMar>
            <w:vAlign w:val="center"/>
          </w:tcPr>
          <w:p w14:paraId="5EF95AA9"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≤50</w:t>
            </w:r>
          </w:p>
        </w:tc>
        <w:tc>
          <w:tcPr>
            <w:tcW w:w="2190" w:type="dxa"/>
            <w:tcMar>
              <w:top w:w="0" w:type="dxa"/>
              <w:left w:w="108" w:type="dxa"/>
              <w:bottom w:w="0" w:type="dxa"/>
              <w:right w:w="108" w:type="dxa"/>
            </w:tcMar>
            <w:vAlign w:val="center"/>
          </w:tcPr>
          <w:p w14:paraId="1F17E6F4" w14:textId="77777777" w:rsidR="00C97237" w:rsidRDefault="00000000">
            <w:pPr>
              <w:spacing w:line="580" w:lineRule="exact"/>
              <w:jc w:val="center"/>
              <w:rPr>
                <w:rFonts w:ascii="仿宋" w:eastAsia="仿宋" w:hAnsi="仿宋" w:cs="仿宋"/>
                <w:bCs/>
                <w:kern w:val="0"/>
                <w:sz w:val="32"/>
                <w:szCs w:val="32"/>
                <w:lang w:bidi="ar"/>
              </w:rPr>
            </w:pPr>
            <w:r>
              <w:rPr>
                <w:rFonts w:ascii="仿宋" w:eastAsia="仿宋" w:hAnsi="仿宋" w:cs="仿宋" w:hint="eastAsia"/>
                <w:bCs/>
                <w:kern w:val="0"/>
                <w:sz w:val="32"/>
                <w:szCs w:val="32"/>
                <w:lang w:bidi="ar"/>
              </w:rPr>
              <w:t>≤60</w:t>
            </w:r>
          </w:p>
        </w:tc>
      </w:tr>
    </w:tbl>
    <w:p w14:paraId="777AB9B8"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三、主要措施</w:t>
      </w:r>
    </w:p>
    <w:p w14:paraId="3A33BCA8" w14:textId="77777777" w:rsidR="00C97237" w:rsidRDefault="00000000">
      <w:pPr>
        <w:widowControl/>
        <w:shd w:val="clear" w:color="auto" w:fill="FFFFFF"/>
        <w:spacing w:line="580" w:lineRule="exact"/>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（一）建立健全组织机制</w:t>
      </w:r>
    </w:p>
    <w:p w14:paraId="6DD959C3" w14:textId="77777777" w:rsidR="00C97237" w:rsidRDefault="00000000">
      <w:pPr>
        <w:pStyle w:val="a4"/>
        <w:spacing w:line="580" w:lineRule="exact"/>
        <w:ind w:firstLine="643"/>
        <w:rPr>
          <w:rFonts w:ascii="仿宋" w:eastAsia="仿宋" w:hAnsi="仿宋" w:cs="仿宋"/>
          <w:sz w:val="32"/>
          <w:shd w:val="clear" w:color="auto" w:fill="FFFFFF"/>
        </w:rPr>
      </w:pPr>
      <w:r>
        <w:rPr>
          <w:rFonts w:ascii="仿宋" w:eastAsia="仿宋" w:hAnsi="仿宋" w:cs="仿宋" w:hint="eastAsia"/>
          <w:b/>
          <w:sz w:val="32"/>
        </w:rPr>
        <w:t>1.完善组织架构。</w:t>
      </w:r>
      <w:r>
        <w:rPr>
          <w:rFonts w:ascii="仿宋" w:eastAsia="仿宋" w:hAnsi="仿宋" w:cs="仿宋" w:hint="eastAsia"/>
          <w:sz w:val="32"/>
          <w:shd w:val="clear" w:color="auto" w:fill="FFFFFF"/>
        </w:rPr>
        <w:t>依托</w:t>
      </w:r>
      <w:r>
        <w:rPr>
          <w:rFonts w:ascii="仿宋" w:eastAsia="仿宋" w:hAnsi="仿宋" w:cs="仿宋" w:hint="eastAsia"/>
          <w:bCs/>
          <w:sz w:val="32"/>
          <w:shd w:val="clear" w:color="auto" w:fill="FFFFFF"/>
        </w:rPr>
        <w:t>区</w:t>
      </w:r>
      <w:r>
        <w:rPr>
          <w:rFonts w:ascii="仿宋" w:eastAsia="仿宋" w:hAnsi="仿宋" w:cs="仿宋" w:hint="eastAsia"/>
          <w:sz w:val="32"/>
          <w:shd w:val="clear" w:color="auto" w:fill="FFFFFF"/>
        </w:rPr>
        <w:t>政府优化营商环境工作领导小组设置，成立由政府主管领导任组长的推进提升“获得电力”服务水平工作专班。建立工作机制，密切配合，有序推进，确保各项工作任务落实落细，对标先进，因地制宜，试点先行，探索实践创新举措。每年第一季度末要将专班组建情况报发展改革委备案。</w:t>
      </w:r>
    </w:p>
    <w:p w14:paraId="46557AC9" w14:textId="77777777" w:rsidR="00C97237" w:rsidRDefault="00000000">
      <w:pPr>
        <w:spacing w:line="58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时间节点：2022年3月</w:t>
      </w:r>
    </w:p>
    <w:p w14:paraId="58544F0E" w14:textId="77777777" w:rsidR="00C97237" w:rsidRDefault="00000000">
      <w:pPr>
        <w:spacing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bCs/>
          <w:sz w:val="32"/>
          <w:szCs w:val="32"/>
          <w:shd w:val="clear" w:color="auto" w:fill="FFFFFF"/>
        </w:rPr>
        <w:t>责任单位：区发展改革委、区供电公司</w:t>
      </w:r>
    </w:p>
    <w:p w14:paraId="3569A45A" w14:textId="77777777" w:rsidR="00C97237" w:rsidRDefault="00000000">
      <w:pPr>
        <w:pStyle w:val="a4"/>
        <w:spacing w:line="580" w:lineRule="exact"/>
        <w:ind w:firstLine="643"/>
        <w:rPr>
          <w:rFonts w:ascii="仿宋" w:eastAsia="仿宋" w:hAnsi="仿宋" w:cs="仿宋"/>
          <w:sz w:val="32"/>
          <w:shd w:val="clear" w:color="auto" w:fill="FFFFFF"/>
        </w:rPr>
      </w:pPr>
      <w:r>
        <w:rPr>
          <w:rFonts w:ascii="仿宋" w:eastAsia="仿宋" w:hAnsi="仿宋" w:cs="仿宋" w:hint="eastAsia"/>
          <w:b/>
          <w:sz w:val="32"/>
        </w:rPr>
        <w:t>2.建立健全工作机制。</w:t>
      </w:r>
      <w:r>
        <w:rPr>
          <w:rFonts w:ascii="仿宋" w:eastAsia="仿宋" w:hAnsi="仿宋" w:cs="仿宋" w:hint="eastAsia"/>
          <w:sz w:val="32"/>
          <w:shd w:val="clear" w:color="auto" w:fill="FFFFFF"/>
        </w:rPr>
        <w:t>在建立工作专班的基础上，加强协作联动，畅通政企沟通渠道，强化政策研究，推动政策创新，形成强大工作合力，确保“获得电力”服务举措落地执行，争取优化电力营商环境取得新突破。</w:t>
      </w:r>
    </w:p>
    <w:p w14:paraId="30D2E97D" w14:textId="77777777" w:rsidR="00C97237" w:rsidRDefault="00000000">
      <w:pPr>
        <w:spacing w:line="580" w:lineRule="exact"/>
        <w:ind w:firstLineChars="200" w:firstLine="643"/>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（1）部门联动例会机制。</w:t>
      </w:r>
      <w:r>
        <w:rPr>
          <w:rFonts w:ascii="仿宋" w:eastAsia="仿宋" w:hAnsi="仿宋" w:cs="仿宋" w:hint="eastAsia"/>
          <w:sz w:val="32"/>
          <w:szCs w:val="32"/>
          <w:shd w:val="clear" w:color="auto" w:fill="FFFFFF"/>
        </w:rPr>
        <w:t>建立联络员工作机制，专班成员单位指定相对固定的相关业务科（室）负责“获得电力”专项推进工作，确定该科（室）1-2名同志作为联络员，开</w:t>
      </w:r>
      <w:r>
        <w:rPr>
          <w:rFonts w:ascii="仿宋" w:eastAsia="仿宋" w:hAnsi="仿宋" w:cs="仿宋" w:hint="eastAsia"/>
          <w:sz w:val="32"/>
          <w:szCs w:val="32"/>
          <w:shd w:val="clear" w:color="auto" w:fill="FFFFFF"/>
        </w:rPr>
        <w:lastRenderedPageBreak/>
        <w:t>展日常联系，确保联络渠道畅通。每季度至少召开一次专班会议，研究解决工作实际困难，会议纪要报上级发展改革委备案。</w:t>
      </w:r>
    </w:p>
    <w:p w14:paraId="26541D41" w14:textId="77777777" w:rsidR="00C97237" w:rsidRDefault="00000000">
      <w:pPr>
        <w:spacing w:line="580" w:lineRule="exact"/>
        <w:ind w:firstLineChars="200" w:firstLine="643"/>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（2）统筹协作推进机制。</w:t>
      </w:r>
      <w:r>
        <w:rPr>
          <w:rFonts w:ascii="仿宋" w:eastAsia="仿宋" w:hAnsi="仿宋" w:cs="仿宋" w:hint="eastAsia"/>
          <w:bCs/>
          <w:sz w:val="32"/>
          <w:szCs w:val="32"/>
          <w:shd w:val="clear" w:color="auto" w:fill="FFFFFF"/>
        </w:rPr>
        <w:t>区</w:t>
      </w:r>
      <w:r>
        <w:rPr>
          <w:rFonts w:ascii="仿宋" w:eastAsia="仿宋" w:hAnsi="仿宋" w:cs="仿宋" w:hint="eastAsia"/>
          <w:sz w:val="32"/>
          <w:szCs w:val="32"/>
          <w:shd w:val="clear" w:color="auto" w:fill="FFFFFF"/>
        </w:rPr>
        <w:t>政府负责“获得电力”服务提升的组织协调、推进督促，组织有关方面定期开展自查评估，制定细化地区工作台账，加强跟踪落实。供电企业按照职责分工，要对标先进，制定具体实施方案并抓好落实。</w:t>
      </w:r>
    </w:p>
    <w:p w14:paraId="03F30CFA" w14:textId="77777777" w:rsidR="00C97237" w:rsidRDefault="00000000">
      <w:pPr>
        <w:spacing w:line="580" w:lineRule="exact"/>
        <w:ind w:firstLineChars="200" w:firstLine="643"/>
        <w:rPr>
          <w:rFonts w:ascii="仿宋" w:eastAsia="仿宋" w:hAnsi="仿宋" w:cs="仿宋"/>
          <w:sz w:val="32"/>
          <w:szCs w:val="32"/>
          <w:shd w:val="clear" w:color="auto" w:fill="FFFFFF"/>
        </w:rPr>
      </w:pPr>
      <w:r>
        <w:rPr>
          <w:rFonts w:ascii="仿宋" w:eastAsia="仿宋" w:hAnsi="仿宋" w:cs="仿宋" w:hint="eastAsia"/>
          <w:b/>
          <w:bCs/>
          <w:sz w:val="32"/>
          <w:szCs w:val="32"/>
          <w:shd w:val="clear" w:color="auto" w:fill="FFFFFF"/>
        </w:rPr>
        <w:t>（3）定期反馈报告机制。</w:t>
      </w:r>
      <w:r>
        <w:rPr>
          <w:rFonts w:ascii="仿宋" w:eastAsia="仿宋" w:hAnsi="仿宋" w:cs="仿宋" w:hint="eastAsia"/>
          <w:bCs/>
          <w:sz w:val="32"/>
          <w:szCs w:val="32"/>
          <w:shd w:val="clear" w:color="auto" w:fill="FFFFFF"/>
        </w:rPr>
        <w:t>区</w:t>
      </w:r>
      <w:r>
        <w:rPr>
          <w:rFonts w:ascii="仿宋" w:eastAsia="仿宋" w:hAnsi="仿宋" w:cs="仿宋" w:hint="eastAsia"/>
          <w:sz w:val="32"/>
          <w:szCs w:val="32"/>
          <w:shd w:val="clear" w:color="auto" w:fill="FFFFFF"/>
        </w:rPr>
        <w:t>政府组织有关方面对“获得电力”各项指标开展定期自查评估，建立专项工作进展情况报送制度，及时梳理总结“获得电力”改革创新举措，提炼形成可复制、可推广的经验做法，以点带面，在本地区加快推广，及时向上级发展改革委报告。</w:t>
      </w:r>
    </w:p>
    <w:p w14:paraId="1E457571" w14:textId="77777777" w:rsidR="00C97237" w:rsidRDefault="00000000">
      <w:pPr>
        <w:spacing w:line="580" w:lineRule="exact"/>
        <w:ind w:firstLineChars="200" w:firstLine="643"/>
        <w:rPr>
          <w:rFonts w:ascii="仿宋" w:eastAsia="仿宋" w:hAnsi="仿宋" w:cs="仿宋"/>
          <w:bCs/>
          <w:sz w:val="32"/>
          <w:szCs w:val="32"/>
          <w:shd w:val="clear" w:color="auto" w:fill="FFFFFF"/>
        </w:rPr>
      </w:pPr>
      <w:r>
        <w:rPr>
          <w:rFonts w:ascii="仿宋" w:eastAsia="仿宋" w:hAnsi="仿宋" w:cs="仿宋" w:hint="eastAsia"/>
          <w:b/>
          <w:bCs/>
          <w:sz w:val="32"/>
          <w:szCs w:val="32"/>
          <w:shd w:val="clear" w:color="auto" w:fill="FFFFFF"/>
        </w:rPr>
        <w:t>（4）平台统筹建设机制。</w:t>
      </w:r>
      <w:r>
        <w:rPr>
          <w:rFonts w:ascii="仿宋" w:eastAsia="仿宋" w:hAnsi="仿宋" w:cs="仿宋" w:hint="eastAsia"/>
          <w:sz w:val="32"/>
          <w:szCs w:val="32"/>
          <w:shd w:val="clear" w:color="auto" w:fill="FFFFFF"/>
        </w:rPr>
        <w:t>加</w:t>
      </w:r>
      <w:r>
        <w:rPr>
          <w:rFonts w:ascii="仿宋" w:eastAsia="仿宋" w:hAnsi="仿宋" w:cs="仿宋" w:hint="eastAsia"/>
          <w:bCs/>
          <w:sz w:val="32"/>
          <w:szCs w:val="32"/>
          <w:shd w:val="clear" w:color="auto" w:fill="FFFFFF"/>
        </w:rPr>
        <w:t>深政企联动、异业合作及数据交叉复用，供电企业加快建设办电信息应用平台（“阳光业扩一站通”平台），打通内外网信息接口，充分发挥数据共享交换平台数据共享枢纽作用，协同市县政府实现办电信息互联互通，与大数据中心共享身份信息和电子证照信息，双线并轨运行，实现客户办电资料线上免提报，实名认证客户“刷脸”办电证照免提供，进一步推进“信息全共享、业务全线上”。通过实时向用户传递系统数据，变单向告知为双向互动，通过“网上国网”APP、微信公众号“豫电管家”与客户在线实时互动，实现办电信息在线确认、供电合同在线签订、满意度在线评价、办电进程主动推送，实现客户办电全业务“一次都不跑”，供电公司加强与房屋管理部</w:t>
      </w:r>
      <w:r>
        <w:rPr>
          <w:rFonts w:ascii="仿宋" w:eastAsia="仿宋" w:hAnsi="仿宋" w:cs="仿宋" w:hint="eastAsia"/>
          <w:bCs/>
          <w:sz w:val="32"/>
          <w:szCs w:val="32"/>
          <w:shd w:val="clear" w:color="auto" w:fill="FFFFFF"/>
        </w:rPr>
        <w:lastRenderedPageBreak/>
        <w:t>门的协作，推广“房产+用电”联合过户、一次办理。推进跨层级、跨地域、跨系统、跨部门、跨业务管理和服务精准高效协同。</w:t>
      </w:r>
    </w:p>
    <w:p w14:paraId="69B72061" w14:textId="77777777" w:rsidR="00C97237" w:rsidRDefault="00000000">
      <w:pPr>
        <w:spacing w:line="58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时间节点：2022年3月</w:t>
      </w:r>
    </w:p>
    <w:p w14:paraId="31620926" w14:textId="77777777" w:rsidR="00C97237" w:rsidRDefault="00000000">
      <w:pPr>
        <w:spacing w:line="580" w:lineRule="exact"/>
        <w:ind w:firstLineChars="200" w:firstLine="640"/>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责任单位：区发展改革委、区供电公司，区直各相关单位</w:t>
      </w:r>
    </w:p>
    <w:p w14:paraId="1905BD77" w14:textId="77777777" w:rsidR="00C97237" w:rsidRDefault="00000000">
      <w:pPr>
        <w:widowControl/>
        <w:shd w:val="clear" w:color="auto" w:fill="FFFFFF"/>
        <w:spacing w:line="580" w:lineRule="exact"/>
        <w:ind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（二）降低企业办电成本</w:t>
      </w:r>
    </w:p>
    <w:p w14:paraId="0C423CB9"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1.延伸电网工程投资界面。</w:t>
      </w:r>
      <w:r>
        <w:rPr>
          <w:rFonts w:ascii="仿宋" w:eastAsia="仿宋" w:hAnsi="仿宋" w:cs="仿宋" w:hint="eastAsia"/>
          <w:bCs/>
          <w:sz w:val="32"/>
          <w:szCs w:val="32"/>
        </w:rPr>
        <w:t>落实</w:t>
      </w:r>
      <w:r>
        <w:rPr>
          <w:rFonts w:ascii="仿宋" w:eastAsia="仿宋" w:hAnsi="仿宋" w:cs="仿宋" w:hint="eastAsia"/>
          <w:sz w:val="32"/>
          <w:szCs w:val="32"/>
        </w:rPr>
        <w:t>《河南省人民政府办公厅关于转发河南省清理规范城镇供水供电供气供暖行业收费促进行业高质量发展实施方案的通知》（</w:t>
      </w:r>
      <w:r>
        <w:rPr>
          <w:rFonts w:ascii="仿宋" w:eastAsia="仿宋" w:hAnsi="仿宋" w:cs="仿宋" w:hint="eastAsia"/>
          <w:bCs/>
          <w:sz w:val="32"/>
          <w:szCs w:val="32"/>
        </w:rPr>
        <w:t>豫政办〔2021〕66号</w:t>
      </w:r>
      <w:r>
        <w:rPr>
          <w:rFonts w:ascii="仿宋" w:eastAsia="仿宋" w:hAnsi="仿宋" w:cs="仿宋" w:hint="eastAsia"/>
          <w:sz w:val="32"/>
          <w:szCs w:val="32"/>
        </w:rPr>
        <w:t>）</w:t>
      </w:r>
      <w:r>
        <w:rPr>
          <w:rFonts w:ascii="仿宋" w:eastAsia="仿宋" w:hAnsi="仿宋" w:cs="仿宋" w:hint="eastAsia"/>
          <w:bCs/>
          <w:sz w:val="32"/>
          <w:szCs w:val="32"/>
        </w:rPr>
        <w:t>文件要求，</w:t>
      </w:r>
      <w:r>
        <w:rPr>
          <w:rFonts w:ascii="仿宋" w:eastAsia="仿宋" w:hAnsi="仿宋" w:cs="仿宋" w:hint="eastAsia"/>
          <w:sz w:val="32"/>
          <w:szCs w:val="32"/>
        </w:rPr>
        <w:t>在城镇规划建设用地范围内，2021年3月1日后通过出让或划拨等方式取得土地使用权的项目，投资界面应延伸至客户建筑区划红线，</w:t>
      </w:r>
      <w:r>
        <w:rPr>
          <w:rFonts w:ascii="仿宋" w:eastAsia="仿宋" w:hAnsi="仿宋" w:cs="仿宋" w:hint="eastAsia"/>
          <w:bCs/>
          <w:sz w:val="32"/>
          <w:szCs w:val="32"/>
        </w:rPr>
        <w:t>自客户建筑区划红线连接至公共管网发生的接网工程费用，根据河南省销售电价分类使用范围规定，由市县政府和供电企业分担，同一客户执行多种电价时，以用电容量最大的部分执行的电价来判断投资主体。</w:t>
      </w:r>
      <w:r>
        <w:rPr>
          <w:rFonts w:ascii="仿宋" w:eastAsia="仿宋" w:hAnsi="仿宋" w:cs="仿宋" w:hint="eastAsia"/>
          <w:sz w:val="32"/>
          <w:szCs w:val="32"/>
        </w:rPr>
        <w:t>除法律法规和相关政策另有规定外，不得由客户承担建筑区划红线外发生的任何费用。依据本方案规定，于2022年6月前，市县政府统一制定实施细则，并印发文件予以明确，各市辖区不再单独发文。</w:t>
      </w:r>
    </w:p>
    <w:p w14:paraId="64204B6A" w14:textId="77777777" w:rsidR="00C97237" w:rsidRDefault="00000000">
      <w:pPr>
        <w:spacing w:line="58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（1）地方政府分担范围。</w:t>
      </w:r>
      <w:r>
        <w:rPr>
          <w:rFonts w:ascii="仿宋" w:eastAsia="仿宋" w:hAnsi="仿宋" w:cs="仿宋" w:hint="eastAsia"/>
          <w:sz w:val="32"/>
          <w:szCs w:val="32"/>
        </w:rPr>
        <w:t>在城镇规划建设用地范围内，2021年3月1日后通过出让或划拨等方式取得土地使用权的，1千伏及以上电压等级执行居民生活用电价格的客户</w:t>
      </w:r>
      <w:r>
        <w:rPr>
          <w:rFonts w:ascii="仿宋" w:eastAsia="仿宋" w:hAnsi="仿宋" w:cs="仿宋" w:hint="eastAsia"/>
          <w:kern w:val="0"/>
          <w:sz w:val="32"/>
          <w:szCs w:val="32"/>
        </w:rPr>
        <w:t>（含住宅项目、执行居民电价的学校、社会福利机构、社区服务</w:t>
      </w:r>
      <w:r>
        <w:rPr>
          <w:rFonts w:ascii="仿宋" w:eastAsia="仿宋" w:hAnsi="仿宋" w:cs="仿宋" w:hint="eastAsia"/>
          <w:kern w:val="0"/>
          <w:sz w:val="32"/>
          <w:szCs w:val="32"/>
        </w:rPr>
        <w:lastRenderedPageBreak/>
        <w:t>中心等公益性事业客户）</w:t>
      </w:r>
      <w:r>
        <w:rPr>
          <w:rFonts w:ascii="仿宋" w:eastAsia="仿宋" w:hAnsi="仿宋" w:cs="仿宋" w:hint="eastAsia"/>
          <w:sz w:val="32"/>
          <w:szCs w:val="32"/>
        </w:rPr>
        <w:t>，以及省级及以上开发区四至边界外，除电动汽车充换电项目、电能替代改造和新建项目</w:t>
      </w:r>
      <w:r>
        <w:rPr>
          <w:rFonts w:ascii="仿宋" w:eastAsia="仿宋" w:hAnsi="仿宋" w:cs="仿宋" w:hint="eastAsia"/>
          <w:kern w:val="0"/>
          <w:sz w:val="32"/>
          <w:szCs w:val="32"/>
        </w:rPr>
        <w:t>（电能替代设备容量占客户报装总容量比例高于50%的项目）</w:t>
      </w:r>
      <w:r>
        <w:rPr>
          <w:rFonts w:ascii="仿宋" w:eastAsia="仿宋" w:hAnsi="仿宋" w:cs="仿宋" w:hint="eastAsia"/>
          <w:sz w:val="32"/>
          <w:szCs w:val="32"/>
        </w:rPr>
        <w:t>两类高压客户和低压小微企业之外，执行工商业及其他用电价格的各电压等级客户的接网工程建设费用由当地政府承担。</w:t>
      </w:r>
    </w:p>
    <w:p w14:paraId="45FA02EA" w14:textId="77777777" w:rsidR="00C97237" w:rsidRDefault="00000000">
      <w:pPr>
        <w:spacing w:line="580" w:lineRule="exact"/>
        <w:ind w:firstLineChars="200" w:firstLine="643"/>
        <w:jc w:val="left"/>
        <w:rPr>
          <w:rFonts w:ascii="仿宋" w:eastAsia="仿宋" w:hAnsi="仿宋" w:cs="仿宋"/>
          <w:bCs/>
          <w:kern w:val="0"/>
          <w:sz w:val="32"/>
          <w:szCs w:val="32"/>
        </w:rPr>
      </w:pPr>
      <w:r>
        <w:rPr>
          <w:rFonts w:ascii="仿宋" w:eastAsia="仿宋" w:hAnsi="仿宋" w:cs="仿宋" w:hint="eastAsia"/>
          <w:b/>
          <w:bCs/>
          <w:sz w:val="32"/>
          <w:szCs w:val="32"/>
        </w:rPr>
        <w:t>（2）供电企业分担范围。</w:t>
      </w:r>
      <w:r>
        <w:rPr>
          <w:rFonts w:ascii="仿宋" w:eastAsia="仿宋" w:hAnsi="仿宋" w:cs="仿宋" w:hint="eastAsia"/>
          <w:sz w:val="32"/>
          <w:szCs w:val="32"/>
        </w:rPr>
        <w:t>供电企业承担</w:t>
      </w:r>
      <w:r>
        <w:rPr>
          <w:rFonts w:ascii="仿宋" w:eastAsia="仿宋" w:hAnsi="仿宋" w:cs="仿宋" w:hint="eastAsia"/>
          <w:kern w:val="0"/>
          <w:sz w:val="32"/>
          <w:szCs w:val="32"/>
        </w:rPr>
        <w:t>电能替代改造和新建项目（电能替代设备容量占客户报装</w:t>
      </w:r>
      <w:r>
        <w:rPr>
          <w:rFonts w:ascii="仿宋" w:eastAsia="仿宋" w:hAnsi="仿宋" w:cs="仿宋" w:hint="eastAsia"/>
          <w:bCs/>
          <w:kern w:val="0"/>
          <w:sz w:val="32"/>
          <w:szCs w:val="32"/>
        </w:rPr>
        <w:t>总容量比例高于50%的项目）和电动汽车充换电项目两类高压客户、低压居民、低压小微企业的接网工程建设费用。此外，在城镇规划建设用地范围内，</w:t>
      </w:r>
      <w:r>
        <w:rPr>
          <w:rFonts w:ascii="仿宋" w:eastAsia="仿宋" w:hAnsi="仿宋" w:cs="仿宋" w:hint="eastAsia"/>
          <w:sz w:val="32"/>
          <w:szCs w:val="32"/>
        </w:rPr>
        <w:t>2021年3月1日后通过出让或划拨等方式取得土地使用权的，</w:t>
      </w:r>
      <w:r>
        <w:rPr>
          <w:rFonts w:ascii="仿宋" w:eastAsia="仿宋" w:hAnsi="仿宋" w:cs="仿宋" w:hint="eastAsia"/>
          <w:bCs/>
          <w:kern w:val="0"/>
          <w:sz w:val="32"/>
          <w:szCs w:val="32"/>
        </w:rPr>
        <w:t>执行农业生产用电价格客户、省级及以上开发区内执行</w:t>
      </w:r>
      <w:r>
        <w:rPr>
          <w:rFonts w:ascii="仿宋" w:eastAsia="仿宋" w:hAnsi="仿宋" w:cs="仿宋" w:hint="eastAsia"/>
          <w:kern w:val="0"/>
          <w:sz w:val="32"/>
          <w:szCs w:val="32"/>
        </w:rPr>
        <w:t>工商业及其他</w:t>
      </w:r>
      <w:r>
        <w:rPr>
          <w:rFonts w:ascii="仿宋" w:eastAsia="仿宋" w:hAnsi="仿宋" w:cs="仿宋" w:hint="eastAsia"/>
          <w:bCs/>
          <w:kern w:val="0"/>
          <w:sz w:val="32"/>
          <w:szCs w:val="32"/>
        </w:rPr>
        <w:t>用电价格的</w:t>
      </w:r>
      <w:r>
        <w:rPr>
          <w:rFonts w:ascii="仿宋" w:eastAsia="仿宋" w:hAnsi="仿宋" w:cs="仿宋" w:hint="eastAsia"/>
          <w:bCs/>
          <w:sz w:val="32"/>
          <w:szCs w:val="32"/>
        </w:rPr>
        <w:t>各电压等级客户的接网工程建设费用由供电企业承担。</w:t>
      </w:r>
    </w:p>
    <w:p w14:paraId="234EA9F2" w14:textId="77777777" w:rsidR="00C97237" w:rsidRDefault="00000000">
      <w:pPr>
        <w:spacing w:line="580" w:lineRule="exact"/>
        <w:ind w:firstLineChars="200" w:firstLine="643"/>
        <w:jc w:val="left"/>
        <w:rPr>
          <w:rFonts w:ascii="仿宋" w:eastAsia="仿宋" w:hAnsi="仿宋" w:cs="仿宋"/>
          <w:kern w:val="0"/>
          <w:sz w:val="32"/>
          <w:szCs w:val="32"/>
        </w:rPr>
      </w:pPr>
      <w:r>
        <w:rPr>
          <w:rFonts w:ascii="仿宋" w:eastAsia="仿宋" w:hAnsi="仿宋" w:cs="仿宋" w:hint="eastAsia"/>
          <w:b/>
          <w:bCs/>
          <w:sz w:val="32"/>
          <w:szCs w:val="32"/>
        </w:rPr>
        <w:t>（3）客户承担范围。</w:t>
      </w:r>
      <w:r>
        <w:rPr>
          <w:rFonts w:ascii="仿宋" w:eastAsia="仿宋" w:hAnsi="仿宋" w:cs="仿宋" w:hint="eastAsia"/>
          <w:sz w:val="32"/>
          <w:szCs w:val="32"/>
        </w:rPr>
        <w:t>临时用电、</w:t>
      </w:r>
      <w:r>
        <w:rPr>
          <w:rFonts w:ascii="仿宋" w:eastAsia="仿宋" w:hAnsi="仿宋" w:cs="仿宋" w:hint="eastAsia"/>
          <w:kern w:val="0"/>
          <w:sz w:val="32"/>
          <w:szCs w:val="32"/>
        </w:rPr>
        <w:t>城镇规划建设用地范围外、或者城镇规划建设用地范围内且2021年3月1日前取得土地使用权的项目（除供电企业承担项目外），其建筑区划红线外接网工程由客户承担。此外，对于客户提出超国家和行业技术标准供应或个性化需求的延伸服务，由客户承担接网工程费用并负责后期运维管理。政府或供电企业已经投资建设到位或者正在建设中的接网工程，因客户原因造成接网工程废止或供电方案变更等引起新增接网工程的，由客户承担已投入的或新增的接网工程费用。客户要据实申请报装，受电变压器容量要与客户报装容量相匹配，否则政府或供电企业可强制调整供电方案，以避免投资浪费。</w:t>
      </w:r>
    </w:p>
    <w:p w14:paraId="1BDA61B6" w14:textId="77777777" w:rsidR="00C97237" w:rsidRDefault="00000000">
      <w:pPr>
        <w:spacing w:line="58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lastRenderedPageBreak/>
        <w:t>（4）工程建设模式选择。</w:t>
      </w:r>
      <w:r>
        <w:rPr>
          <w:rFonts w:ascii="仿宋" w:eastAsia="仿宋" w:hAnsi="仿宋" w:cs="仿宋" w:hint="eastAsia"/>
          <w:sz w:val="32"/>
          <w:szCs w:val="32"/>
        </w:rPr>
        <w:t>接网工程由当地政府承担的，应健全资金拨付机制，设立专项资金管理账户，落实工程建设资金，保障资金及时足额拨付，实行专款专用、统一招标管理，不得由承建企业垫付资金。接网工程由供电企业承担的，按照供电企业内部工程项目管理流程，组织开展工程建设。启动追溯补偿工作，对于2021年3月1日后符合延伸投资的，且接网工程已由客户投资建设的，市县政府和供电企业应按照投资分担界面分别明确资金补偿方案，在对客户工程进行评估后，建立补偿清退台账，并限时完成补偿。</w:t>
      </w:r>
    </w:p>
    <w:p w14:paraId="23E350D2" w14:textId="77777777" w:rsidR="00C97237" w:rsidRDefault="00000000">
      <w:pPr>
        <w:spacing w:line="580" w:lineRule="exact"/>
        <w:ind w:firstLineChars="200" w:firstLine="643"/>
        <w:jc w:val="left"/>
        <w:rPr>
          <w:rFonts w:ascii="仿宋" w:eastAsia="仿宋" w:hAnsi="仿宋" w:cs="仿宋"/>
          <w:sz w:val="32"/>
          <w:szCs w:val="32"/>
        </w:rPr>
      </w:pPr>
      <w:r>
        <w:rPr>
          <w:rFonts w:ascii="仿宋" w:eastAsia="仿宋" w:hAnsi="仿宋" w:cs="仿宋" w:hint="eastAsia"/>
          <w:b/>
          <w:bCs/>
          <w:sz w:val="32"/>
          <w:szCs w:val="32"/>
        </w:rPr>
        <w:t>（5）工程建设标准及后期运维。</w:t>
      </w:r>
      <w:r>
        <w:rPr>
          <w:rFonts w:ascii="仿宋" w:eastAsia="仿宋" w:hAnsi="仿宋" w:cs="仿宋" w:hint="eastAsia"/>
          <w:sz w:val="32"/>
          <w:szCs w:val="32"/>
        </w:rPr>
        <w:t>建筑区划红线外接网工程要严格按照最新国家和行业技术标准进行建设。对于非供电企业承担投资建设的接网工程，要提前通知供电企业参与工程验收。工程验收合格后，应明确后期运维管理主体，原则上可无偿移交供电企业实行专业化运维管理；对于验收不合格的，应在建设单位整改合格后再予以接入供电、实施无偿移交。</w:t>
      </w:r>
    </w:p>
    <w:p w14:paraId="62A049A0"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w:t>
      </w:r>
      <w:r>
        <w:rPr>
          <w:rFonts w:ascii="仿宋" w:eastAsia="仿宋" w:hAnsi="仿宋" w:cs="仿宋" w:hint="eastAsia"/>
          <w:sz w:val="32"/>
          <w:szCs w:val="32"/>
          <w:lang w:val="en" w:bidi="ar"/>
        </w:rPr>
        <w:t>6</w:t>
      </w:r>
      <w:r>
        <w:rPr>
          <w:rFonts w:ascii="仿宋" w:eastAsia="仿宋" w:hAnsi="仿宋" w:cs="仿宋" w:hint="eastAsia"/>
          <w:sz w:val="32"/>
          <w:szCs w:val="32"/>
          <w:lang w:bidi="ar"/>
        </w:rPr>
        <w:t>月</w:t>
      </w:r>
    </w:p>
    <w:p w14:paraId="3A3567F3"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发展改革委、</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财政局、</w:t>
      </w:r>
      <w:r>
        <w:rPr>
          <w:rFonts w:ascii="仿宋" w:eastAsia="仿宋" w:hAnsi="仿宋" w:cs="仿宋" w:hint="eastAsia"/>
          <w:bCs/>
          <w:sz w:val="32"/>
          <w:szCs w:val="32"/>
          <w:shd w:val="clear" w:color="auto" w:fill="FFFFFF"/>
        </w:rPr>
        <w:t>市自然资源和规划局偃师分局</w:t>
      </w:r>
      <w:r>
        <w:rPr>
          <w:rFonts w:ascii="仿宋" w:eastAsia="仿宋" w:hAnsi="仿宋" w:cs="仿宋" w:hint="eastAsia"/>
          <w:sz w:val="32"/>
          <w:szCs w:val="32"/>
          <w:lang w:bidi="ar"/>
        </w:rPr>
        <w:t>、</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住建局、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2DE1B38A" w14:textId="77777777" w:rsidR="00C97237" w:rsidRDefault="00000000">
      <w:pPr>
        <w:spacing w:line="580" w:lineRule="exact"/>
        <w:ind w:firstLineChars="200" w:firstLine="643"/>
        <w:rPr>
          <w:rFonts w:ascii="仿宋" w:eastAsia="仿宋" w:hAnsi="仿宋" w:cs="仿宋"/>
          <w:bCs/>
          <w:sz w:val="32"/>
          <w:szCs w:val="32"/>
        </w:rPr>
      </w:pPr>
      <w:r>
        <w:rPr>
          <w:rFonts w:ascii="仿宋" w:eastAsia="仿宋" w:hAnsi="仿宋" w:cs="仿宋" w:hint="eastAsia"/>
          <w:b/>
          <w:sz w:val="32"/>
          <w:szCs w:val="32"/>
        </w:rPr>
        <w:t>2.清理规范收费项目。</w:t>
      </w:r>
      <w:r>
        <w:rPr>
          <w:rFonts w:ascii="仿宋" w:eastAsia="仿宋" w:hAnsi="仿宋" w:cs="仿宋" w:hint="eastAsia"/>
          <w:bCs/>
          <w:sz w:val="32"/>
          <w:szCs w:val="32"/>
        </w:rPr>
        <w:t>严格按照价格主管部门批准的项目、标准计算业务费用，依法依规规范用电报装收费，坚决杜绝向客户收取不合理费用，并通过政务服务网、供电营业场所及网站向社会公示。按照《关于规范非电网直供电价行为有关事项的通知》（豫发改价管〔2021〕887号）要求，</w:t>
      </w:r>
      <w:r>
        <w:rPr>
          <w:rFonts w:ascii="仿宋" w:eastAsia="仿宋" w:hAnsi="仿宋" w:cs="仿宋" w:hint="eastAsia"/>
          <w:bCs/>
          <w:sz w:val="32"/>
          <w:szCs w:val="32"/>
        </w:rPr>
        <w:lastRenderedPageBreak/>
        <w:t>推广应用“网上国网”APP</w:t>
      </w:r>
      <w:r>
        <w:rPr>
          <w:rFonts w:ascii="仿宋" w:eastAsia="仿宋" w:hAnsi="仿宋" w:cs="仿宋" w:hint="eastAsia"/>
          <w:snapToGrid w:val="0"/>
          <w:kern w:val="0"/>
          <w:sz w:val="32"/>
          <w:szCs w:val="32"/>
        </w:rPr>
        <w:t>“转供电费码”大数据服务产品，建立“发现—核实—整顿—查处—总结—预防”的转供电加价治理全流程闭环管理机制，</w:t>
      </w:r>
      <w:r>
        <w:rPr>
          <w:rFonts w:ascii="仿宋" w:eastAsia="仿宋" w:hAnsi="仿宋" w:cs="仿宋" w:hint="eastAsia"/>
          <w:bCs/>
          <w:sz w:val="32"/>
          <w:szCs w:val="32"/>
        </w:rPr>
        <w:t>进一步清理不合理加价，确保国家电价政策红利足额传导至非电网直供电终端客户。</w:t>
      </w:r>
    </w:p>
    <w:p w14:paraId="46B17BF1"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时间节点：2022年6月</w:t>
      </w:r>
    </w:p>
    <w:p w14:paraId="21EC98FB"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发展改革委、</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市场监管局、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0CB59327" w14:textId="77777777" w:rsidR="00C97237" w:rsidRDefault="00000000">
      <w:pPr>
        <w:spacing w:line="580" w:lineRule="exact"/>
        <w:ind w:firstLineChars="200" w:firstLine="643"/>
        <w:rPr>
          <w:rFonts w:ascii="仿宋" w:eastAsia="仿宋" w:hAnsi="仿宋" w:cs="仿宋"/>
          <w:bCs/>
          <w:sz w:val="32"/>
          <w:szCs w:val="32"/>
        </w:rPr>
      </w:pPr>
      <w:r>
        <w:rPr>
          <w:rFonts w:ascii="仿宋" w:eastAsia="仿宋" w:hAnsi="仿宋" w:cs="仿宋" w:hint="eastAsia"/>
          <w:b/>
          <w:sz w:val="32"/>
          <w:szCs w:val="32"/>
        </w:rPr>
        <w:t>3.优化接入电网方式。</w:t>
      </w:r>
      <w:r>
        <w:rPr>
          <w:rFonts w:ascii="仿宋" w:eastAsia="仿宋" w:hAnsi="仿宋" w:cs="仿宋" w:hint="eastAsia"/>
          <w:bCs/>
          <w:sz w:val="32"/>
          <w:szCs w:val="32"/>
        </w:rPr>
        <w:t>用电设备容量在160千瓦及以下的小微企业用电项目，原则上采取低压方式接入电网，进一步鼓励城镇地区小微企业低压接入容量提高至200千瓦以下。400伏以下低压报装取消供电方案答复环节，通过“阳光业扩一站通”平台自动生成供电方案。对10（20）千伏高压用电项目，根据电网可接入容量，辅助生成供电方案。对外依客户申请提供相关区域电网可开放容量、电力管廊通道、电网规划等特定信息，保障客户知情权，为供电方案客户在线比选提供条件。</w:t>
      </w:r>
    </w:p>
    <w:p w14:paraId="2CDAFAF6"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时间节点：2022年12月</w:t>
      </w:r>
    </w:p>
    <w:p w14:paraId="67DA8742"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4583CB4A" w14:textId="77777777" w:rsidR="00C97237" w:rsidRDefault="00000000">
      <w:pPr>
        <w:widowControl/>
        <w:numPr>
          <w:ilvl w:val="255"/>
          <w:numId w:val="0"/>
        </w:numPr>
        <w:spacing w:line="580" w:lineRule="exact"/>
        <w:ind w:firstLineChars="200" w:firstLine="643"/>
        <w:rPr>
          <w:rFonts w:ascii="仿宋" w:eastAsia="仿宋" w:hAnsi="仿宋" w:cs="仿宋"/>
          <w:bCs/>
          <w:kern w:val="0"/>
          <w:sz w:val="32"/>
          <w:szCs w:val="32"/>
          <w:lang w:bidi="ar"/>
        </w:rPr>
      </w:pPr>
      <w:r>
        <w:rPr>
          <w:rFonts w:ascii="仿宋" w:eastAsia="仿宋" w:hAnsi="仿宋" w:cs="仿宋" w:hint="eastAsia"/>
          <w:b/>
          <w:kern w:val="0"/>
          <w:sz w:val="32"/>
          <w:szCs w:val="32"/>
          <w:lang w:val="en" w:bidi="ar"/>
        </w:rPr>
        <w:t>4.</w:t>
      </w:r>
      <w:r>
        <w:rPr>
          <w:rFonts w:ascii="仿宋" w:eastAsia="仿宋" w:hAnsi="仿宋" w:cs="仿宋" w:hint="eastAsia"/>
          <w:b/>
          <w:kern w:val="0"/>
          <w:sz w:val="32"/>
          <w:szCs w:val="32"/>
          <w:lang w:bidi="ar"/>
        </w:rPr>
        <w:t>减少客户内部工程投资。</w:t>
      </w:r>
      <w:r>
        <w:rPr>
          <w:rFonts w:ascii="仿宋" w:eastAsia="仿宋" w:hAnsi="仿宋" w:cs="仿宋" w:hint="eastAsia"/>
          <w:kern w:val="0"/>
          <w:sz w:val="32"/>
          <w:szCs w:val="32"/>
          <w:lang w:bidi="ar"/>
        </w:rPr>
        <w:t>对于临时用电客户，试行提供变压器租赁服务，设置多套租赁套餐供客户自行选择，为客户节约一次性设备购置成本。</w:t>
      </w:r>
      <w:r>
        <w:rPr>
          <w:rFonts w:ascii="仿宋" w:eastAsia="仿宋" w:hAnsi="仿宋" w:cs="仿宋" w:hint="eastAsia"/>
          <w:bCs/>
          <w:kern w:val="0"/>
          <w:sz w:val="32"/>
          <w:szCs w:val="32"/>
          <w:lang w:bidi="ar"/>
        </w:rPr>
        <w:t>利用“网上国网”等线上客户交互功能，探索提供“典型造价码”，指导客户根据申请用电容量，科学选择标准化的设备和设施，同时根据当前市场价格为客户提供典型造价，从而压减工程投资、降低后续运维成本。</w:t>
      </w:r>
    </w:p>
    <w:p w14:paraId="6C1AA754"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lastRenderedPageBreak/>
        <w:t>时间节点：2022年12月</w:t>
      </w:r>
    </w:p>
    <w:p w14:paraId="55922C5D" w14:textId="77777777" w:rsidR="00C97237" w:rsidRDefault="00000000">
      <w:pPr>
        <w:widowControl/>
        <w:spacing w:line="580" w:lineRule="exact"/>
        <w:ind w:firstLineChars="200" w:firstLine="640"/>
        <w:rPr>
          <w:rFonts w:ascii="仿宋" w:eastAsia="仿宋" w:hAnsi="仿宋" w:cs="仿宋"/>
          <w:bCs/>
          <w:kern w:val="0"/>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63BCC685" w14:textId="77777777" w:rsidR="00C97237" w:rsidRDefault="00000000">
      <w:pPr>
        <w:pStyle w:val="a4"/>
        <w:spacing w:line="580" w:lineRule="exact"/>
        <w:ind w:firstLine="643"/>
        <w:rPr>
          <w:rFonts w:ascii="仿宋" w:eastAsia="仿宋" w:hAnsi="仿宋" w:cs="仿宋"/>
          <w:b/>
          <w:sz w:val="32"/>
        </w:rPr>
      </w:pPr>
      <w:r>
        <w:rPr>
          <w:rFonts w:ascii="仿宋" w:eastAsia="仿宋" w:hAnsi="仿宋" w:cs="仿宋" w:hint="eastAsia"/>
          <w:b/>
          <w:sz w:val="32"/>
        </w:rPr>
        <w:t>（三）压减企业办电时间</w:t>
      </w:r>
    </w:p>
    <w:p w14:paraId="5C18DB3E" w14:textId="77777777" w:rsidR="00C97237" w:rsidRDefault="00000000">
      <w:pPr>
        <w:spacing w:line="580" w:lineRule="exact"/>
        <w:ind w:firstLineChars="200" w:firstLine="643"/>
        <w:rPr>
          <w:rFonts w:ascii="仿宋" w:eastAsia="仿宋" w:hAnsi="仿宋" w:cs="仿宋"/>
          <w:bCs/>
          <w:sz w:val="32"/>
          <w:szCs w:val="32"/>
        </w:rPr>
      </w:pPr>
      <w:r>
        <w:rPr>
          <w:rFonts w:ascii="仿宋" w:eastAsia="仿宋" w:hAnsi="仿宋" w:cs="仿宋" w:hint="eastAsia"/>
          <w:b/>
          <w:sz w:val="32"/>
          <w:szCs w:val="32"/>
        </w:rPr>
        <w:t>1.压减工程审批时间。</w:t>
      </w:r>
      <w:r>
        <w:rPr>
          <w:rFonts w:ascii="仿宋" w:eastAsia="仿宋" w:hAnsi="仿宋" w:cs="仿宋" w:hint="eastAsia"/>
          <w:bCs/>
          <w:sz w:val="32"/>
          <w:szCs w:val="32"/>
        </w:rPr>
        <w:t>严格执行《关于优化电力接入营商环境的通知》（豫发改运行〔2019〕345号）中有关行政审批时限要求，</w:t>
      </w:r>
      <w:r>
        <w:rPr>
          <w:rFonts w:ascii="仿宋" w:eastAsia="仿宋" w:hAnsi="仿宋" w:cs="仿宋" w:hint="eastAsia"/>
          <w:sz w:val="32"/>
          <w:szCs w:val="32"/>
        </w:rPr>
        <w:t>推行告知承诺制审批方式，</w:t>
      </w:r>
      <w:r>
        <w:rPr>
          <w:rFonts w:ascii="仿宋" w:eastAsia="仿宋" w:hAnsi="仿宋" w:cs="仿宋" w:hint="eastAsia"/>
          <w:bCs/>
          <w:sz w:val="32"/>
          <w:szCs w:val="32"/>
        </w:rPr>
        <w:t>并建立线上并联审批机制，</w:t>
      </w:r>
      <w:r>
        <w:rPr>
          <w:rFonts w:ascii="仿宋" w:eastAsia="仿宋" w:hAnsi="仿宋" w:cs="仿宋" w:hint="eastAsia"/>
          <w:sz w:val="32"/>
          <w:szCs w:val="32"/>
        </w:rPr>
        <w:t>规划资源、交通、路政、绿化、公安等审批部门公开告知承诺书文本，明确审批条件、计划要求和应提交的申请材料清单。供电企业同时向上述部门提交告知承诺书和相关申请材料，承诺能够满足各行政审批告知的条件和技术要求，各审批部门收到材料后5天内做出行政许可。</w:t>
      </w:r>
      <w:r>
        <w:rPr>
          <w:rFonts w:ascii="仿宋" w:eastAsia="仿宋" w:hAnsi="仿宋" w:cs="仿宋" w:hint="eastAsia"/>
          <w:bCs/>
          <w:sz w:val="32"/>
          <w:szCs w:val="32"/>
        </w:rPr>
        <w:t>6月底前全面实行接网工程行政审批在线并联办理。推行审批“备案制+告知承诺制”，应于2022年3月底前，制定相关操作细则。有关部门要加强抽查核验力度，对虚假承诺、违反承诺等行为实行惩戒。</w:t>
      </w:r>
    </w:p>
    <w:p w14:paraId="409FCE30"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时间节点：2022年6月</w:t>
      </w:r>
    </w:p>
    <w:p w14:paraId="4DB5DA28"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发展改革委、</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政务服务和大数据管理局、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公安局、</w:t>
      </w:r>
      <w:r>
        <w:rPr>
          <w:rFonts w:ascii="仿宋" w:eastAsia="仿宋" w:hAnsi="仿宋" w:cs="仿宋" w:hint="eastAsia"/>
          <w:bCs/>
          <w:sz w:val="32"/>
          <w:szCs w:val="32"/>
          <w:shd w:val="clear" w:color="auto" w:fill="FFFFFF"/>
        </w:rPr>
        <w:t>市自然资源和规划局偃师分局</w:t>
      </w:r>
      <w:r>
        <w:rPr>
          <w:rFonts w:ascii="仿宋" w:eastAsia="仿宋" w:hAnsi="仿宋" w:cs="仿宋" w:hint="eastAsia"/>
          <w:sz w:val="32"/>
          <w:szCs w:val="32"/>
          <w:lang w:bidi="ar"/>
        </w:rPr>
        <w:t>、</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住建局、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交通运输局、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城市管理局、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547F1EC0" w14:textId="77777777" w:rsidR="00C97237" w:rsidRDefault="00000000">
      <w:pPr>
        <w:spacing w:line="580" w:lineRule="exact"/>
        <w:ind w:firstLineChars="200" w:firstLine="643"/>
        <w:rPr>
          <w:rFonts w:ascii="仿宋" w:eastAsia="仿宋" w:hAnsi="仿宋" w:cs="仿宋"/>
          <w:bCs/>
          <w:sz w:val="32"/>
          <w:szCs w:val="32"/>
        </w:rPr>
      </w:pPr>
      <w:r>
        <w:rPr>
          <w:rFonts w:ascii="仿宋" w:eastAsia="仿宋" w:hAnsi="仿宋" w:cs="仿宋" w:hint="eastAsia"/>
          <w:b/>
          <w:sz w:val="32"/>
          <w:szCs w:val="32"/>
        </w:rPr>
        <w:t>2.推行工程建设限时制和契约制。</w:t>
      </w:r>
      <w:r>
        <w:rPr>
          <w:rFonts w:ascii="仿宋" w:eastAsia="仿宋" w:hAnsi="仿宋" w:cs="仿宋" w:hint="eastAsia"/>
          <w:bCs/>
          <w:sz w:val="32"/>
          <w:szCs w:val="32"/>
        </w:rPr>
        <w:t>加强接网工程时限管控，对于</w:t>
      </w:r>
      <w:r>
        <w:rPr>
          <w:rFonts w:ascii="仿宋" w:eastAsia="仿宋" w:hAnsi="仿宋" w:cs="仿宋" w:hint="eastAsia"/>
          <w:sz w:val="32"/>
          <w:szCs w:val="32"/>
        </w:rPr>
        <w:t>政府或供电企业承担的接网工程建设，实行建设时间限时管控，</w:t>
      </w:r>
      <w:r>
        <w:rPr>
          <w:rFonts w:ascii="仿宋" w:eastAsia="仿宋" w:hAnsi="仿宋" w:cs="仿宋" w:hint="eastAsia"/>
          <w:bCs/>
          <w:sz w:val="32"/>
          <w:szCs w:val="32"/>
        </w:rPr>
        <w:t>低压非居民接网工程建设原则上不超过10个工作日，10千伏接网工程建设原则上不超过60个工作日，35千伏及以上接网工程建设要与客户受电工程同步推进或</w:t>
      </w:r>
      <w:r>
        <w:rPr>
          <w:rFonts w:ascii="仿宋" w:eastAsia="仿宋" w:hAnsi="仿宋" w:cs="仿宋" w:hint="eastAsia"/>
          <w:bCs/>
          <w:sz w:val="32"/>
          <w:szCs w:val="32"/>
        </w:rPr>
        <w:lastRenderedPageBreak/>
        <w:t>适度超前完工，满足客户接电时间需要。</w:t>
      </w:r>
      <w:r>
        <w:rPr>
          <w:rFonts w:ascii="仿宋" w:eastAsia="仿宋" w:hAnsi="仿宋" w:cs="仿宋" w:hint="eastAsia"/>
          <w:sz w:val="32"/>
          <w:szCs w:val="32"/>
        </w:rPr>
        <w:t>推行工程建设限时制和契约制，加强接网工程时限管控，对于政府或供电企业承担的接网工程建设，实行建设时间限时管控。</w:t>
      </w:r>
      <w:r>
        <w:rPr>
          <w:rFonts w:ascii="仿宋" w:eastAsia="仿宋" w:hAnsi="仿宋" w:cs="仿宋" w:hint="eastAsia"/>
          <w:bCs/>
          <w:sz w:val="32"/>
          <w:szCs w:val="32"/>
        </w:rPr>
        <w:t>建设单位根据客户意向接电需求，与客户签订服务契约，约定外部接网工程完成时间。建立接网工程线上管控机制，研发线上管控工具，开展外部接网工程全过程线上管控，为客户提供“快递式”查询及主动告知服务。</w:t>
      </w:r>
    </w:p>
    <w:p w14:paraId="2BCB8D02" w14:textId="77777777" w:rsidR="00C97237" w:rsidRDefault="00000000">
      <w:pPr>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时间节点：2022年6月</w:t>
      </w:r>
    </w:p>
    <w:p w14:paraId="3AED56BA" w14:textId="77777777" w:rsidR="00C97237" w:rsidRDefault="00000000">
      <w:pPr>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发展改革委、</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住建局、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3E24DE9C" w14:textId="77777777" w:rsidR="00C97237" w:rsidRDefault="00000000">
      <w:pPr>
        <w:spacing w:line="580" w:lineRule="exact"/>
        <w:ind w:firstLineChars="200" w:firstLine="643"/>
        <w:rPr>
          <w:rFonts w:ascii="仿宋" w:eastAsia="仿宋" w:hAnsi="仿宋" w:cs="仿宋"/>
          <w:bCs/>
          <w:sz w:val="32"/>
          <w:szCs w:val="32"/>
          <w:shd w:val="clear" w:color="auto" w:fill="FFFFFF"/>
        </w:rPr>
      </w:pPr>
      <w:r>
        <w:rPr>
          <w:rFonts w:ascii="仿宋" w:eastAsia="仿宋" w:hAnsi="仿宋" w:cs="仿宋" w:hint="eastAsia"/>
          <w:b/>
          <w:sz w:val="32"/>
          <w:szCs w:val="32"/>
          <w:shd w:val="clear" w:color="auto" w:fill="FFFFFF"/>
        </w:rPr>
        <w:t>3.压减用电报装业务办理时间。</w:t>
      </w:r>
      <w:r>
        <w:rPr>
          <w:rFonts w:ascii="仿宋" w:eastAsia="仿宋" w:hAnsi="仿宋" w:cs="仿宋" w:hint="eastAsia"/>
          <w:bCs/>
          <w:sz w:val="32"/>
          <w:szCs w:val="32"/>
          <w:shd w:val="clear" w:color="auto" w:fill="FFFFFF"/>
        </w:rPr>
        <w:t>供电企业要加强内部管控，创新技术手段和管理模式，加快用电受理、方案答复、竣工验收等业务办理速度，实现用电报装业务各环节限时办理，即低压居民、低压非居民（含低压小微企业）客户全过程办电时间分别不超过3个、5个工作日，高压单电源、高压双电源普通客户分别不超过16个、24个工作日。深化“互联网+”服务，推广“办电e助手”等移动作业终端应用，试点推行客户工程“云验收”服务，线上检验电气设备情况，并将验收结果一次性告知客户。</w:t>
      </w:r>
    </w:p>
    <w:p w14:paraId="277CD3A0"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时间节点：2022年6月</w:t>
      </w:r>
    </w:p>
    <w:p w14:paraId="7ACF6981"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020F658A" w14:textId="77777777" w:rsidR="00C97237" w:rsidRDefault="00000000">
      <w:pPr>
        <w:spacing w:line="580" w:lineRule="exact"/>
        <w:ind w:firstLineChars="200" w:firstLine="643"/>
        <w:rPr>
          <w:rFonts w:ascii="仿宋" w:eastAsia="仿宋" w:hAnsi="仿宋" w:cs="仿宋"/>
          <w:sz w:val="32"/>
          <w:szCs w:val="32"/>
          <w:shd w:val="clear" w:color="auto" w:fill="FFFFFF"/>
        </w:rPr>
      </w:pPr>
      <w:r>
        <w:rPr>
          <w:rFonts w:ascii="仿宋" w:eastAsia="仿宋" w:hAnsi="仿宋" w:cs="仿宋" w:hint="eastAsia"/>
          <w:b/>
          <w:sz w:val="32"/>
          <w:szCs w:val="32"/>
          <w:shd w:val="clear" w:color="auto" w:fill="FFFFFF"/>
        </w:rPr>
        <w:t>4.提升主动办电服务。</w:t>
      </w:r>
      <w:r>
        <w:rPr>
          <w:rFonts w:ascii="仿宋" w:eastAsia="仿宋" w:hAnsi="仿宋" w:cs="仿宋" w:hint="eastAsia"/>
          <w:sz w:val="32"/>
          <w:szCs w:val="32"/>
          <w:shd w:val="clear" w:color="auto" w:fill="FFFFFF"/>
        </w:rPr>
        <w:t>供电企业要加强内部协同和资源信息共享，建立客户经理“一口对外、主动服务”机制，密切跟踪办电全过程，为客户提供技术支持和服务咨询。打造“主动办电”服务模式，贯通对接投资项目在线审批监管平</w:t>
      </w:r>
      <w:r>
        <w:rPr>
          <w:rFonts w:ascii="仿宋" w:eastAsia="仿宋" w:hAnsi="仿宋" w:cs="仿宋" w:hint="eastAsia"/>
          <w:sz w:val="32"/>
          <w:szCs w:val="32"/>
          <w:shd w:val="clear" w:color="auto" w:fill="FFFFFF"/>
        </w:rPr>
        <w:lastRenderedPageBreak/>
        <w:t>台和工程建设项目审批管理系统，前移服务起点至项目立项阶段，打好提前量，最大限度满足客户意向通电时间要求，实现“电等企业、开门接电”。优化充换电设施、农田灌溉用电、光伏并网等全业务办理收资及流程，明确城乡新建住宅和工商业建筑“一户一表”建设以及改造标准，夯实“阳光业扩”制度基础。深挖营销大数据价值，提供能效账单、用能咨询、电子发票等增值服务。对大中型企业客户，统筹实施电能替代、综合能源和需求响应，提供定制化用能解决方案，帮助客户优化用能结构、提升用能效率。对小微企业客户，免费提供设备体检等安全用电服务和节能咨询服务，助力客户清洁高效用能。加大用电安全常识、事故警示、电力法规的宣传力度，增强公众安全用电法制意识。开展用电安全周期性检查和专项排查，及时通知客户整改用电安全隐患，并向地方政府主管部门报备。</w:t>
      </w:r>
    </w:p>
    <w:p w14:paraId="23B7135C"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时间节点：2022年12月</w:t>
      </w:r>
    </w:p>
    <w:p w14:paraId="416E7B0E"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发展改革委、</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住建局、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46738F45" w14:textId="77777777" w:rsidR="00C97237" w:rsidRDefault="00000000">
      <w:pPr>
        <w:pStyle w:val="a4"/>
        <w:spacing w:line="580" w:lineRule="exact"/>
        <w:ind w:firstLine="643"/>
        <w:rPr>
          <w:rFonts w:ascii="仿宋" w:eastAsia="仿宋" w:hAnsi="仿宋" w:cs="仿宋"/>
          <w:b/>
          <w:sz w:val="32"/>
        </w:rPr>
      </w:pPr>
      <w:r>
        <w:rPr>
          <w:rFonts w:ascii="仿宋" w:eastAsia="仿宋" w:hAnsi="仿宋" w:cs="仿宋" w:hint="eastAsia"/>
          <w:b/>
          <w:sz w:val="32"/>
        </w:rPr>
        <w:t>（四）简化企业办电手续</w:t>
      </w:r>
    </w:p>
    <w:p w14:paraId="5A4C12F8"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1.压减办电环节简化收资。</w:t>
      </w:r>
      <w:r>
        <w:rPr>
          <w:rFonts w:ascii="仿宋" w:eastAsia="仿宋" w:hAnsi="仿宋" w:cs="仿宋" w:hint="eastAsia"/>
          <w:sz w:val="32"/>
          <w:szCs w:val="32"/>
        </w:rPr>
        <w:t>普通高压客户参与办电环节保持“用电申请、供电方案答复、客户外部工程实施、装表接电”4个环节，符合延伸投资界面至建筑区划红线的客户，压减为“用电申请、供电方案答复、装表接电”3个环节，通过政务平台和工程建设项目审批平台推送“主动办电”的，进一步压减为“申请方案答复、装表送电”2个环节。低压客户参与办电环节保持“用电申请、客户外部工程实施、装</w:t>
      </w:r>
      <w:r>
        <w:rPr>
          <w:rFonts w:ascii="仿宋" w:eastAsia="仿宋" w:hAnsi="仿宋" w:cs="仿宋" w:hint="eastAsia"/>
          <w:sz w:val="32"/>
          <w:szCs w:val="32"/>
        </w:rPr>
        <w:lastRenderedPageBreak/>
        <w:t>表接电”3个环节，符合延伸投资界面至建筑区划红线的客户，如低压居民、低压小微企业客户进一步压减为“用电申请、装表接电”2个环节。普通客户办电实行“两证办结”或“容缺办理”，营业厅办电可同时提供主体证明和产权证明的实行“两证办结”，暂未准备产权证明可在提供主体证明后实行“容缺办理”，在办理其他涉电业务时已经提交且尚在有效期内的材料免提供。探索以用电申请承诺制为核心的“一证办结”极简报装模式，加强事中事后监管。与政府部门通过数据共享可获取的办电材料免提供，实现“零证办电”。</w:t>
      </w:r>
    </w:p>
    <w:p w14:paraId="3380AA2F"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时间节点：2022年12月</w:t>
      </w:r>
    </w:p>
    <w:p w14:paraId="6A0D8ABD"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2490614F"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2.建设政企协同办电平台。</w:t>
      </w:r>
      <w:r>
        <w:rPr>
          <w:rFonts w:ascii="仿宋" w:eastAsia="仿宋" w:hAnsi="仿宋" w:cs="仿宋" w:hint="eastAsia"/>
          <w:sz w:val="32"/>
          <w:szCs w:val="32"/>
        </w:rPr>
        <w:t>加强偃师区政务服务平台、“网上国网”线上办电信息系统集约建设、整合优化和互联互通，实现政务服务“一网通办”、政务数据“一网通享”。贯通线上行政审批系统，实现审批结果自动反馈供电企业，审批流程公开透明、可在线查询，实行行政审批申请“一窗受理”。推进高频使用证照电子化和信息共享互认，供电企业在线获取和验证营业执照、身份证件、不动产登记等用电报装信息，实现居民客户“刷脸办电”、企业客户“一证办电”、联办部门可推送材料线上免提报。丰富线上线下用电业务办理渠道，供电营业窗口100%入驻市县政务服务大厅。</w:t>
      </w:r>
    </w:p>
    <w:p w14:paraId="51F1D5B6"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时间节点：2022年12月</w:t>
      </w:r>
    </w:p>
    <w:p w14:paraId="45A081EE"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lastRenderedPageBreak/>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发展改革委、</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政务服务和大数据管理局、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住建局、</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城市管理局、</w:t>
      </w:r>
      <w:r>
        <w:rPr>
          <w:rFonts w:ascii="仿宋" w:eastAsia="仿宋" w:hAnsi="仿宋" w:cs="仿宋" w:hint="eastAsia"/>
          <w:bCs/>
          <w:sz w:val="32"/>
          <w:szCs w:val="32"/>
          <w:shd w:val="clear" w:color="auto" w:fill="FFFFFF"/>
        </w:rPr>
        <w:t>市自然资源和规划局偃师分局</w:t>
      </w:r>
      <w:r>
        <w:rPr>
          <w:rFonts w:ascii="仿宋" w:eastAsia="仿宋" w:hAnsi="仿宋" w:cs="仿宋" w:hint="eastAsia"/>
          <w:sz w:val="32"/>
          <w:szCs w:val="32"/>
          <w:lang w:bidi="ar"/>
        </w:rPr>
        <w:t>、</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39A566FF"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3.强化线上用电报装服务。</w:t>
      </w:r>
      <w:r>
        <w:rPr>
          <w:rFonts w:ascii="仿宋" w:eastAsia="仿宋" w:hAnsi="仿宋" w:cs="仿宋" w:hint="eastAsia"/>
          <w:sz w:val="32"/>
          <w:szCs w:val="32"/>
        </w:rPr>
        <w:t>加强</w:t>
      </w:r>
      <w:r>
        <w:rPr>
          <w:rFonts w:ascii="仿宋" w:eastAsia="仿宋" w:hAnsi="仿宋" w:cs="仿宋" w:hint="eastAsia"/>
          <w:bCs/>
          <w:sz w:val="32"/>
          <w:szCs w:val="32"/>
        </w:rPr>
        <w:t>政企平台线上办电功能集成，优化政务网、“洛快办</w:t>
      </w:r>
      <w:r>
        <w:rPr>
          <w:rFonts w:ascii="仿宋" w:eastAsia="仿宋" w:hAnsi="仿宋" w:cs="仿宋" w:hint="eastAsia"/>
          <w:bCs/>
          <w:sz w:val="32"/>
          <w:szCs w:val="32"/>
          <w:lang w:val="en"/>
        </w:rPr>
        <w:t>”“</w:t>
      </w:r>
      <w:r>
        <w:rPr>
          <w:rFonts w:ascii="仿宋" w:eastAsia="仿宋" w:hAnsi="仿宋" w:cs="仿宋" w:hint="eastAsia"/>
          <w:bCs/>
          <w:sz w:val="32"/>
          <w:szCs w:val="32"/>
        </w:rPr>
        <w:t>网上国网”办电功能，简化用电业务办理入口，畅通线上业务办理渠道。供电企业</w:t>
      </w:r>
      <w:r>
        <w:rPr>
          <w:rFonts w:ascii="仿宋" w:eastAsia="仿宋" w:hAnsi="仿宋" w:cs="仿宋" w:hint="eastAsia"/>
          <w:sz w:val="32"/>
          <w:szCs w:val="32"/>
        </w:rPr>
        <w:t>依托供电服务指挥系统，提供7×24小时电话预约办电服务。市县政府出台企业电子印章制作及应用规范，加快企业电子印章库建设进度，深化电子签章（电子签名和电子印章）技术应用，推广电子化高、低压供用电合同。健全线上办电互动体系，通过线上办电渠道与客户在线实时互动，实现“业务线上申请、信息线上流转、进度线上查询、服务线上评价”，办电进程主动推送，提升客户办电体验。</w:t>
      </w:r>
    </w:p>
    <w:p w14:paraId="196D0ED2" w14:textId="77777777" w:rsidR="00C97237" w:rsidRDefault="00000000">
      <w:pPr>
        <w:pStyle w:val="a4"/>
        <w:spacing w:line="580" w:lineRule="exact"/>
        <w:ind w:firstLine="640"/>
        <w:rPr>
          <w:rFonts w:ascii="仿宋" w:eastAsia="仿宋" w:hAnsi="仿宋" w:cs="仿宋"/>
          <w:sz w:val="32"/>
        </w:rPr>
      </w:pPr>
      <w:r>
        <w:rPr>
          <w:rFonts w:ascii="仿宋" w:eastAsia="仿宋" w:hAnsi="仿宋" w:cs="仿宋" w:hint="eastAsia"/>
          <w:sz w:val="32"/>
        </w:rPr>
        <w:t>时间节点：2022年12月</w:t>
      </w:r>
    </w:p>
    <w:p w14:paraId="07DE3B06" w14:textId="77777777" w:rsidR="00C97237" w:rsidRDefault="00000000">
      <w:pPr>
        <w:pStyle w:val="a4"/>
        <w:spacing w:line="580" w:lineRule="exact"/>
        <w:ind w:firstLine="640"/>
        <w:rPr>
          <w:rFonts w:ascii="仿宋" w:eastAsia="仿宋" w:hAnsi="仿宋" w:cs="仿宋"/>
          <w:sz w:val="32"/>
        </w:rPr>
      </w:pPr>
      <w:r>
        <w:rPr>
          <w:rFonts w:ascii="仿宋" w:eastAsia="仿宋" w:hAnsi="仿宋" w:cs="仿宋" w:hint="eastAsia"/>
          <w:sz w:val="32"/>
        </w:rPr>
        <w:t>责任单位：</w:t>
      </w:r>
      <w:r>
        <w:rPr>
          <w:rFonts w:ascii="仿宋" w:eastAsia="仿宋" w:hAnsi="仿宋" w:cs="仿宋" w:hint="eastAsia"/>
          <w:bCs/>
          <w:sz w:val="32"/>
          <w:shd w:val="clear" w:color="auto" w:fill="FFFFFF"/>
        </w:rPr>
        <w:t>区</w:t>
      </w:r>
      <w:r>
        <w:rPr>
          <w:rFonts w:ascii="仿宋" w:eastAsia="仿宋" w:hAnsi="仿宋" w:cs="仿宋" w:hint="eastAsia"/>
          <w:sz w:val="32"/>
        </w:rPr>
        <w:t>发展改革委、</w:t>
      </w:r>
      <w:r>
        <w:rPr>
          <w:rFonts w:ascii="仿宋" w:eastAsia="仿宋" w:hAnsi="仿宋" w:cs="仿宋" w:hint="eastAsia"/>
          <w:bCs/>
          <w:sz w:val="32"/>
          <w:shd w:val="clear" w:color="auto" w:fill="FFFFFF"/>
        </w:rPr>
        <w:t>区</w:t>
      </w:r>
      <w:r>
        <w:rPr>
          <w:rFonts w:ascii="仿宋" w:eastAsia="仿宋" w:hAnsi="仿宋" w:cs="仿宋" w:hint="eastAsia"/>
          <w:sz w:val="32"/>
        </w:rPr>
        <w:t>政务服务和大数据管理局、</w:t>
      </w:r>
      <w:r>
        <w:rPr>
          <w:rFonts w:ascii="仿宋" w:eastAsia="仿宋" w:hAnsi="仿宋" w:cs="仿宋" w:hint="eastAsia"/>
          <w:bCs/>
          <w:sz w:val="32"/>
          <w:shd w:val="clear" w:color="auto" w:fill="FFFFFF"/>
        </w:rPr>
        <w:t>区</w:t>
      </w:r>
      <w:r>
        <w:rPr>
          <w:rFonts w:ascii="仿宋" w:eastAsia="仿宋" w:hAnsi="仿宋" w:cs="仿宋" w:hint="eastAsia"/>
          <w:sz w:val="32"/>
        </w:rPr>
        <w:t>供电公司</w:t>
      </w:r>
    </w:p>
    <w:p w14:paraId="738B1983" w14:textId="77777777" w:rsidR="00C97237" w:rsidRDefault="00000000">
      <w:pPr>
        <w:pStyle w:val="a4"/>
        <w:spacing w:line="580" w:lineRule="exact"/>
        <w:ind w:firstLine="643"/>
        <w:rPr>
          <w:rFonts w:ascii="仿宋" w:eastAsia="仿宋" w:hAnsi="仿宋" w:cs="仿宋"/>
          <w:b/>
          <w:sz w:val="32"/>
        </w:rPr>
      </w:pPr>
      <w:r>
        <w:rPr>
          <w:rFonts w:ascii="仿宋" w:eastAsia="仿宋" w:hAnsi="仿宋" w:cs="仿宋" w:hint="eastAsia"/>
          <w:b/>
          <w:sz w:val="32"/>
        </w:rPr>
        <w:t>（五）提升企业用电体验</w:t>
      </w:r>
    </w:p>
    <w:p w14:paraId="3A5EA99B"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1.减少停电时间和停电次数。</w:t>
      </w:r>
      <w:r>
        <w:rPr>
          <w:rFonts w:ascii="仿宋" w:eastAsia="仿宋" w:hAnsi="仿宋" w:cs="仿宋" w:hint="eastAsia"/>
          <w:sz w:val="32"/>
          <w:szCs w:val="32"/>
        </w:rPr>
        <w:t>供电企业要进一步提高供电可靠性，为市场主体提供更好的用电保障，不得以各种名义违规对企业实施拉闸断电。要强化计划检修管理，科学合理制定停电计划，推广不停电作业技术，落实停电时户数预算式目标管控工作，减少计划停电时间和次数。加强设备巡视和运行维护管理，开展配电网运行工况全过程监测和故障智能研判，准确定位故障点，全面推行网格化抢修模式，提</w:t>
      </w:r>
      <w:r>
        <w:rPr>
          <w:rFonts w:ascii="仿宋" w:eastAsia="仿宋" w:hAnsi="仿宋" w:cs="仿宋" w:hint="eastAsia"/>
          <w:sz w:val="32"/>
          <w:szCs w:val="32"/>
        </w:rPr>
        <w:lastRenderedPageBreak/>
        <w:t>高电网故障抢修效率，减少故障停电时间和次数。停电计划、故障停电、抢修进度和送电安排等信息要通过即时通讯软件（微信等）、短信、移动客户端等渠道主动推送告知客户。由市县“获得电力”工作专班牵头建立健全相关工作机制，加大对违章作业、野蛮施工、违规用电等行为的查处力度，减少因违规施工导致的停电时间和次数。</w:t>
      </w:r>
    </w:p>
    <w:p w14:paraId="5C9D7241"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时间节点：2022年12月</w:t>
      </w:r>
    </w:p>
    <w:p w14:paraId="1F350460"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发展改革委、</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4FF5ABC5" w14:textId="77777777" w:rsidR="00C97237" w:rsidRDefault="00000000">
      <w:pPr>
        <w:spacing w:line="580" w:lineRule="exact"/>
        <w:ind w:firstLineChars="200" w:firstLine="643"/>
        <w:rPr>
          <w:rFonts w:ascii="仿宋" w:eastAsia="仿宋" w:hAnsi="仿宋" w:cs="仿宋"/>
          <w:bCs/>
          <w:sz w:val="32"/>
          <w:szCs w:val="32"/>
          <w:lang w:val="zh-CN"/>
        </w:rPr>
      </w:pPr>
      <w:r>
        <w:rPr>
          <w:rFonts w:ascii="仿宋" w:eastAsia="仿宋" w:hAnsi="仿宋" w:cs="仿宋" w:hint="eastAsia"/>
          <w:b/>
          <w:sz w:val="32"/>
          <w:szCs w:val="32"/>
        </w:rPr>
        <w:t>2</w:t>
      </w:r>
      <w:r>
        <w:rPr>
          <w:rFonts w:ascii="仿宋" w:eastAsia="仿宋" w:hAnsi="仿宋" w:cs="仿宋" w:hint="eastAsia"/>
          <w:b/>
          <w:sz w:val="32"/>
          <w:szCs w:val="32"/>
          <w:lang w:val="zh-CN"/>
        </w:rPr>
        <w:t>.提高信息公开透明度。</w:t>
      </w:r>
      <w:r>
        <w:rPr>
          <w:rFonts w:ascii="仿宋" w:eastAsia="仿宋" w:hAnsi="仿宋" w:cs="仿宋" w:hint="eastAsia"/>
          <w:bCs/>
          <w:sz w:val="32"/>
          <w:szCs w:val="32"/>
          <w:lang w:val="zh-CN"/>
        </w:rPr>
        <w:t>供电企业</w:t>
      </w:r>
      <w:r>
        <w:rPr>
          <w:rFonts w:ascii="仿宋" w:eastAsia="仿宋" w:hAnsi="仿宋" w:cs="仿宋" w:hint="eastAsia"/>
          <w:bCs/>
          <w:sz w:val="32"/>
          <w:szCs w:val="32"/>
        </w:rPr>
        <w:t>要持续规范并积极</w:t>
      </w:r>
      <w:r>
        <w:rPr>
          <w:rFonts w:ascii="仿宋" w:eastAsia="仿宋" w:hAnsi="仿宋" w:cs="仿宋" w:hint="eastAsia"/>
          <w:bCs/>
          <w:sz w:val="32"/>
          <w:szCs w:val="32"/>
          <w:lang w:val="zh-CN"/>
        </w:rPr>
        <w:t>畅通各类用电报装服务信息公开渠道，为电力客户获取办电服务信息提供便利。</w:t>
      </w:r>
      <w:r>
        <w:rPr>
          <w:rFonts w:ascii="仿宋" w:eastAsia="仿宋" w:hAnsi="仿宋" w:cs="仿宋" w:hint="eastAsia"/>
          <w:bCs/>
          <w:sz w:val="32"/>
          <w:szCs w:val="32"/>
        </w:rPr>
        <w:t>通过线上和线下渠道，</w:t>
      </w:r>
      <w:r>
        <w:rPr>
          <w:rFonts w:ascii="仿宋" w:eastAsia="仿宋" w:hAnsi="仿宋" w:cs="仿宋" w:hint="eastAsia"/>
          <w:bCs/>
          <w:sz w:val="32"/>
          <w:szCs w:val="32"/>
          <w:lang w:val="zh-CN"/>
        </w:rPr>
        <w:t>主动向社会公开服务程序、办理时限、验收标准、电价和收费标准、服务标准及监管渠道、营业场所地址及电话</w:t>
      </w:r>
      <w:r>
        <w:rPr>
          <w:rFonts w:ascii="仿宋" w:eastAsia="仿宋" w:hAnsi="仿宋" w:cs="仿宋" w:hint="eastAsia"/>
          <w:bCs/>
          <w:sz w:val="32"/>
          <w:szCs w:val="32"/>
        </w:rPr>
        <w:t>等服务信息</w:t>
      </w:r>
      <w:r>
        <w:rPr>
          <w:rFonts w:ascii="仿宋" w:eastAsia="仿宋" w:hAnsi="仿宋" w:cs="仿宋" w:hint="eastAsia"/>
          <w:bCs/>
          <w:sz w:val="32"/>
          <w:szCs w:val="32"/>
          <w:lang w:val="zh-CN"/>
        </w:rPr>
        <w:t>，</w:t>
      </w:r>
      <w:r>
        <w:rPr>
          <w:rFonts w:ascii="仿宋" w:eastAsia="仿宋" w:hAnsi="仿宋" w:cs="仿宋" w:hint="eastAsia"/>
          <w:bCs/>
          <w:sz w:val="32"/>
          <w:szCs w:val="32"/>
        </w:rPr>
        <w:t>同时为客户提供电网可开放容量及受限情况、客户受电工程市场信息、停限电信息等查询服务，主动向客户推送办电进程、电量电费、抢修服务、停限电等信息。</w:t>
      </w:r>
      <w:r>
        <w:rPr>
          <w:rFonts w:ascii="仿宋" w:eastAsia="仿宋" w:hAnsi="仿宋" w:cs="仿宋" w:hint="eastAsia"/>
          <w:bCs/>
          <w:sz w:val="32"/>
          <w:szCs w:val="32"/>
          <w:lang w:val="zh-CN"/>
        </w:rPr>
        <w:t>及时公布本地区配电网接入能力和容量受限情况；</w:t>
      </w:r>
      <w:r>
        <w:rPr>
          <w:rFonts w:ascii="仿宋" w:eastAsia="仿宋" w:hAnsi="仿宋" w:cs="仿宋" w:hint="eastAsia"/>
          <w:bCs/>
          <w:sz w:val="32"/>
          <w:szCs w:val="32"/>
        </w:rPr>
        <w:t>将</w:t>
      </w:r>
      <w:r>
        <w:rPr>
          <w:rFonts w:ascii="仿宋" w:eastAsia="仿宋" w:hAnsi="仿宋" w:cs="仿宋" w:hint="eastAsia"/>
          <w:bCs/>
          <w:sz w:val="32"/>
          <w:szCs w:val="32"/>
          <w:lang w:val="zh-CN"/>
        </w:rPr>
        <w:t>12398能源监管热线和95598等供电服务热线同步、同对象公布到位，保障电力客户监督权。按照</w:t>
      </w:r>
      <w:r>
        <w:rPr>
          <w:rFonts w:ascii="仿宋" w:eastAsia="仿宋" w:hAnsi="仿宋" w:cs="仿宋" w:hint="eastAsia"/>
          <w:sz w:val="32"/>
          <w:szCs w:val="32"/>
          <w:shd w:val="clear" w:color="auto" w:fill="FFFFFF"/>
        </w:rPr>
        <w:t>“两条例”</w:t>
      </w:r>
      <w:r>
        <w:rPr>
          <w:rFonts w:ascii="仿宋" w:eastAsia="仿宋" w:hAnsi="仿宋" w:cs="仿宋" w:hint="eastAsia"/>
          <w:bCs/>
          <w:sz w:val="32"/>
          <w:szCs w:val="32"/>
          <w:lang w:val="zh-CN"/>
        </w:rPr>
        <w:t>要求，市县政府通过政府网站、政务服务平台，向社会公布接网工程审批相关政策文件；制定或调整涉及终端电力客户用电价格政策文件时，市县政府要提前向社会公布，提高透明度。</w:t>
      </w:r>
    </w:p>
    <w:p w14:paraId="1ECB76B1"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时间节点：2022年6月</w:t>
      </w:r>
    </w:p>
    <w:p w14:paraId="7E951AC5" w14:textId="77777777" w:rsidR="00C97237" w:rsidRDefault="00000000">
      <w:pPr>
        <w:widowControl/>
        <w:spacing w:line="580" w:lineRule="exact"/>
        <w:ind w:firstLineChars="200" w:firstLine="640"/>
        <w:rPr>
          <w:rFonts w:ascii="仿宋" w:eastAsia="仿宋" w:hAnsi="仿宋" w:cs="仿宋"/>
          <w:sz w:val="32"/>
          <w:szCs w:val="32"/>
          <w:lang w:val="zh-CN"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发展改革委、</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3930F9CB" w14:textId="77777777" w:rsidR="00C97237" w:rsidRDefault="00000000">
      <w:pPr>
        <w:spacing w:line="580" w:lineRule="exact"/>
        <w:ind w:firstLineChars="200" w:firstLine="643"/>
        <w:rPr>
          <w:rFonts w:ascii="仿宋" w:eastAsia="仿宋" w:hAnsi="仿宋" w:cs="仿宋"/>
          <w:sz w:val="32"/>
          <w:szCs w:val="32"/>
          <w:lang w:val="zh-CN"/>
        </w:rPr>
      </w:pPr>
      <w:r>
        <w:rPr>
          <w:rFonts w:ascii="仿宋" w:eastAsia="仿宋" w:hAnsi="仿宋" w:cs="仿宋" w:hint="eastAsia"/>
          <w:b/>
          <w:sz w:val="32"/>
          <w:szCs w:val="32"/>
        </w:rPr>
        <w:lastRenderedPageBreak/>
        <w:t>3</w:t>
      </w:r>
      <w:r>
        <w:rPr>
          <w:rFonts w:ascii="仿宋" w:eastAsia="仿宋" w:hAnsi="仿宋" w:cs="仿宋" w:hint="eastAsia"/>
          <w:b/>
          <w:sz w:val="32"/>
          <w:szCs w:val="32"/>
          <w:lang w:val="zh-CN"/>
        </w:rPr>
        <w:t>.</w:t>
      </w:r>
      <w:r>
        <w:rPr>
          <w:rFonts w:ascii="仿宋" w:eastAsia="仿宋" w:hAnsi="仿宋" w:cs="仿宋" w:hint="eastAsia"/>
          <w:b/>
          <w:sz w:val="32"/>
          <w:szCs w:val="32"/>
        </w:rPr>
        <w:t>积极宣传办电政策</w:t>
      </w:r>
      <w:r>
        <w:rPr>
          <w:rFonts w:ascii="仿宋" w:eastAsia="仿宋" w:hAnsi="仿宋" w:cs="仿宋" w:hint="eastAsia"/>
          <w:b/>
          <w:sz w:val="32"/>
          <w:szCs w:val="32"/>
          <w:lang w:val="zh-CN"/>
        </w:rPr>
        <w:t>。</w:t>
      </w:r>
      <w:r>
        <w:rPr>
          <w:rFonts w:ascii="仿宋" w:eastAsia="仿宋" w:hAnsi="仿宋" w:cs="仿宋" w:hint="eastAsia"/>
          <w:sz w:val="32"/>
          <w:szCs w:val="32"/>
          <w:lang w:val="zh-CN"/>
        </w:rPr>
        <w:t>供电企业</w:t>
      </w:r>
      <w:r>
        <w:rPr>
          <w:rFonts w:ascii="仿宋" w:eastAsia="仿宋" w:hAnsi="仿宋" w:cs="仿宋" w:hint="eastAsia"/>
          <w:bCs/>
          <w:sz w:val="32"/>
          <w:szCs w:val="32"/>
          <w:lang w:val="zh-CN"/>
        </w:rPr>
        <w:t>通过</w:t>
      </w:r>
      <w:r>
        <w:rPr>
          <w:rFonts w:ascii="仿宋" w:eastAsia="仿宋" w:hAnsi="仿宋" w:cs="仿宋" w:hint="eastAsia"/>
          <w:sz w:val="32"/>
          <w:szCs w:val="32"/>
          <w:lang w:val="zh-CN"/>
        </w:rPr>
        <w:t>供电营业厅、</w:t>
      </w:r>
      <w:r>
        <w:rPr>
          <w:rFonts w:ascii="仿宋" w:eastAsia="仿宋" w:hAnsi="仿宋" w:cs="仿宋" w:hint="eastAsia"/>
          <w:bCs/>
          <w:sz w:val="32"/>
          <w:szCs w:val="32"/>
          <w:lang w:val="zh-CN"/>
        </w:rPr>
        <w:t>“</w:t>
      </w:r>
      <w:r>
        <w:rPr>
          <w:rFonts w:ascii="仿宋" w:eastAsia="仿宋" w:hAnsi="仿宋" w:cs="仿宋" w:hint="eastAsia"/>
          <w:bCs/>
          <w:sz w:val="32"/>
          <w:szCs w:val="32"/>
        </w:rPr>
        <w:t>网上国网</w:t>
      </w:r>
      <w:r>
        <w:rPr>
          <w:rFonts w:ascii="仿宋" w:eastAsia="仿宋" w:hAnsi="仿宋" w:cs="仿宋" w:hint="eastAsia"/>
          <w:bCs/>
          <w:sz w:val="32"/>
          <w:szCs w:val="32"/>
          <w:lang w:val="zh-CN"/>
        </w:rPr>
        <w:t>”</w:t>
      </w:r>
      <w:r>
        <w:rPr>
          <w:rFonts w:ascii="仿宋" w:eastAsia="仿宋" w:hAnsi="仿宋" w:cs="仿宋" w:hint="eastAsia"/>
          <w:bCs/>
          <w:sz w:val="32"/>
          <w:szCs w:val="32"/>
        </w:rPr>
        <w:t>、微信公众号、</w:t>
      </w:r>
      <w:r>
        <w:rPr>
          <w:rFonts w:ascii="仿宋" w:eastAsia="仿宋" w:hAnsi="仿宋" w:cs="仿宋" w:hint="eastAsia"/>
          <w:sz w:val="32"/>
          <w:szCs w:val="32"/>
          <w:lang w:val="zh-CN"/>
        </w:rPr>
        <w:t>短视频APP、</w:t>
      </w:r>
      <w:r>
        <w:rPr>
          <w:rFonts w:ascii="仿宋" w:eastAsia="仿宋" w:hAnsi="仿宋" w:cs="仿宋" w:hint="eastAsia"/>
          <w:bCs/>
          <w:sz w:val="32"/>
          <w:szCs w:val="32"/>
        </w:rPr>
        <w:t>网格化供电服务群、支付宝生活号、</w:t>
      </w:r>
      <w:r>
        <w:rPr>
          <w:rFonts w:ascii="仿宋" w:eastAsia="仿宋" w:hAnsi="仿宋" w:cs="仿宋" w:hint="eastAsia"/>
          <w:sz w:val="32"/>
          <w:szCs w:val="32"/>
          <w:lang w:val="zh-CN"/>
        </w:rPr>
        <w:t>宣传手提袋</w:t>
      </w:r>
      <w:r>
        <w:rPr>
          <w:rFonts w:ascii="仿宋" w:eastAsia="仿宋" w:hAnsi="仿宋" w:cs="仿宋" w:hint="eastAsia"/>
          <w:bCs/>
          <w:sz w:val="32"/>
          <w:szCs w:val="32"/>
          <w:lang w:val="zh-CN"/>
        </w:rPr>
        <w:t>等传播渠道，</w:t>
      </w:r>
      <w:r>
        <w:rPr>
          <w:rFonts w:ascii="仿宋" w:eastAsia="仿宋" w:hAnsi="仿宋" w:cs="仿宋" w:hint="eastAsia"/>
          <w:sz w:val="32"/>
          <w:szCs w:val="32"/>
          <w:lang w:val="zh-CN"/>
        </w:rPr>
        <w:t>发布公司宣传视频、宣传软文、微信互动H5等信息，广泛宣传优化电力营商环境办电服务新举措、办电渠道等，</w:t>
      </w:r>
      <w:r>
        <w:rPr>
          <w:rFonts w:ascii="仿宋" w:eastAsia="仿宋" w:hAnsi="仿宋" w:cs="仿宋" w:hint="eastAsia"/>
          <w:bCs/>
          <w:sz w:val="32"/>
          <w:szCs w:val="32"/>
          <w:lang w:val="zh-CN"/>
        </w:rPr>
        <w:t>主动为市场主体和人民群众提供咨询解答服务，将“三零</w:t>
      </w:r>
      <w:r>
        <w:rPr>
          <w:rStyle w:val="ad"/>
          <w:rFonts w:ascii="仿宋" w:eastAsia="仿宋" w:hAnsi="仿宋" w:cs="仿宋" w:hint="eastAsia"/>
          <w:bCs/>
          <w:sz w:val="32"/>
          <w:szCs w:val="32"/>
          <w:lang w:val="zh-CN"/>
        </w:rPr>
        <w:footnoteReference w:id="4"/>
      </w:r>
      <w:r>
        <w:rPr>
          <w:rFonts w:ascii="仿宋" w:eastAsia="仿宋" w:hAnsi="仿宋" w:cs="仿宋" w:hint="eastAsia"/>
          <w:bCs/>
          <w:sz w:val="32"/>
          <w:szCs w:val="32"/>
          <w:lang w:val="zh-CN"/>
        </w:rPr>
        <w:t>”“三省</w:t>
      </w:r>
      <w:r>
        <w:rPr>
          <w:rStyle w:val="ad"/>
          <w:rFonts w:ascii="仿宋" w:eastAsia="仿宋" w:hAnsi="仿宋" w:cs="仿宋" w:hint="eastAsia"/>
          <w:bCs/>
          <w:sz w:val="32"/>
          <w:szCs w:val="32"/>
          <w:lang w:val="zh-CN"/>
        </w:rPr>
        <w:footnoteReference w:id="5"/>
      </w:r>
      <w:r>
        <w:rPr>
          <w:rFonts w:ascii="仿宋" w:eastAsia="仿宋" w:hAnsi="仿宋" w:cs="仿宋" w:hint="eastAsia"/>
          <w:bCs/>
          <w:sz w:val="32"/>
          <w:szCs w:val="32"/>
          <w:lang w:val="zh-CN"/>
        </w:rPr>
        <w:t>”等惠民政策向客户推送告知到位。依托市县工作专班，建立政策宣讲人员专家库，通过制作政策宣传页、宣传视频等多种形式，</w:t>
      </w:r>
      <w:r>
        <w:rPr>
          <w:rFonts w:ascii="仿宋" w:eastAsia="仿宋" w:hAnsi="仿宋" w:cs="仿宋" w:hint="eastAsia"/>
          <w:sz w:val="32"/>
          <w:szCs w:val="32"/>
          <w:lang w:val="zh-CN"/>
        </w:rPr>
        <w:t>切实增强政策宣讲力度，提高政策知晓度、覆盖面、落实率。</w:t>
      </w:r>
    </w:p>
    <w:p w14:paraId="26EBAEE6" w14:textId="77777777" w:rsidR="00C97237" w:rsidRDefault="00000000">
      <w:pPr>
        <w:widowControl/>
        <w:spacing w:line="58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时间节点：2022年6月</w:t>
      </w:r>
    </w:p>
    <w:p w14:paraId="3AA17257" w14:textId="77777777" w:rsidR="00C97237" w:rsidRDefault="00000000">
      <w:pPr>
        <w:widowControl/>
        <w:spacing w:line="580" w:lineRule="exact"/>
        <w:ind w:firstLineChars="200" w:firstLine="640"/>
        <w:rPr>
          <w:rFonts w:ascii="仿宋" w:eastAsia="仿宋" w:hAnsi="仿宋" w:cs="仿宋"/>
          <w:kern w:val="0"/>
          <w:sz w:val="32"/>
          <w:szCs w:val="32"/>
          <w:lang w:bidi="ar"/>
        </w:rPr>
      </w:pPr>
      <w:r>
        <w:rPr>
          <w:rFonts w:ascii="仿宋" w:eastAsia="仿宋" w:hAnsi="仿宋" w:cs="仿宋" w:hint="eastAsia"/>
          <w:sz w:val="32"/>
          <w:szCs w:val="32"/>
          <w:lang w:bidi="ar"/>
        </w:rPr>
        <w:t>责任单位：</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发展改革委、</w:t>
      </w:r>
      <w:r>
        <w:rPr>
          <w:rFonts w:ascii="仿宋" w:eastAsia="仿宋" w:hAnsi="仿宋" w:cs="仿宋" w:hint="eastAsia"/>
          <w:bCs/>
          <w:sz w:val="32"/>
          <w:szCs w:val="32"/>
          <w:shd w:val="clear" w:color="auto" w:fill="FFFFFF"/>
        </w:rPr>
        <w:t>区</w:t>
      </w:r>
      <w:r>
        <w:rPr>
          <w:rFonts w:ascii="仿宋" w:eastAsia="仿宋" w:hAnsi="仿宋" w:cs="仿宋" w:hint="eastAsia"/>
          <w:sz w:val="32"/>
          <w:szCs w:val="32"/>
          <w:lang w:bidi="ar"/>
        </w:rPr>
        <w:t>供电公司</w:t>
      </w:r>
    </w:p>
    <w:p w14:paraId="5EAC43B4" w14:textId="77777777" w:rsidR="00C97237" w:rsidRDefault="00C97237">
      <w:pPr>
        <w:spacing w:line="580" w:lineRule="exact"/>
        <w:ind w:firstLineChars="200" w:firstLine="640"/>
        <w:jc w:val="left"/>
        <w:rPr>
          <w:rFonts w:ascii="黑体" w:eastAsia="黑体" w:hAnsi="黑体" w:cs="黑体"/>
          <w:sz w:val="32"/>
          <w:szCs w:val="32"/>
        </w:rPr>
      </w:pPr>
    </w:p>
    <w:p w14:paraId="11AE30E7" w14:textId="77777777" w:rsidR="00C97237" w:rsidRDefault="00C97237">
      <w:pPr>
        <w:spacing w:line="580" w:lineRule="exact"/>
        <w:ind w:firstLineChars="200" w:firstLine="640"/>
        <w:jc w:val="left"/>
        <w:rPr>
          <w:rFonts w:ascii="黑体" w:eastAsia="黑体" w:hAnsi="黑体" w:cs="黑体"/>
          <w:sz w:val="32"/>
          <w:szCs w:val="32"/>
        </w:rPr>
      </w:pPr>
    </w:p>
    <w:p w14:paraId="6296BF98" w14:textId="77777777" w:rsidR="00C97237" w:rsidRDefault="00C97237">
      <w:pPr>
        <w:spacing w:line="580" w:lineRule="exact"/>
        <w:ind w:firstLineChars="200" w:firstLine="640"/>
        <w:jc w:val="left"/>
        <w:rPr>
          <w:rFonts w:ascii="黑体" w:eastAsia="黑体" w:hAnsi="黑体" w:cs="黑体"/>
          <w:sz w:val="32"/>
          <w:szCs w:val="32"/>
        </w:rPr>
      </w:pPr>
    </w:p>
    <w:p w14:paraId="4C411477" w14:textId="77777777" w:rsidR="00C97237" w:rsidRDefault="00C97237">
      <w:pPr>
        <w:spacing w:line="580" w:lineRule="exact"/>
        <w:ind w:firstLineChars="200" w:firstLine="640"/>
        <w:jc w:val="left"/>
        <w:rPr>
          <w:rFonts w:ascii="黑体" w:eastAsia="黑体" w:hAnsi="黑体" w:cs="黑体"/>
          <w:sz w:val="32"/>
          <w:szCs w:val="32"/>
        </w:rPr>
      </w:pPr>
    </w:p>
    <w:p w14:paraId="77BB08CC" w14:textId="77777777" w:rsidR="00C97237" w:rsidRDefault="00C97237">
      <w:pPr>
        <w:pStyle w:val="a9"/>
        <w:jc w:val="both"/>
      </w:pPr>
    </w:p>
    <w:p w14:paraId="5D4D65B4" w14:textId="77777777" w:rsidR="00C97237" w:rsidRDefault="00000000">
      <w:pPr>
        <w:spacing w:line="58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 xml:space="preserve">四、提升目标  </w:t>
      </w:r>
    </w:p>
    <w:p w14:paraId="7D43A44C" w14:textId="77777777" w:rsidR="00C97237" w:rsidRDefault="00000000">
      <w:pPr>
        <w:spacing w:line="580" w:lineRule="exact"/>
        <w:jc w:val="right"/>
        <w:rPr>
          <w:rFonts w:ascii="仿宋" w:eastAsia="仿宋" w:hAnsi="仿宋" w:cs="仿宋"/>
          <w:sz w:val="32"/>
          <w:szCs w:val="32"/>
        </w:rPr>
      </w:pPr>
      <w:r>
        <w:rPr>
          <w:rFonts w:ascii="仿宋" w:eastAsia="仿宋" w:hAnsi="仿宋" w:cs="仿宋" w:hint="eastAsia"/>
          <w:sz w:val="32"/>
          <w:szCs w:val="32"/>
        </w:rPr>
        <w:lastRenderedPageBreak/>
        <w:t>单位：工作日</w:t>
      </w:r>
    </w:p>
    <w:tbl>
      <w:tblPr>
        <w:tblW w:w="87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86"/>
        <w:gridCol w:w="661"/>
        <w:gridCol w:w="827"/>
        <w:gridCol w:w="646"/>
        <w:gridCol w:w="737"/>
        <w:gridCol w:w="706"/>
        <w:gridCol w:w="646"/>
        <w:gridCol w:w="1173"/>
        <w:gridCol w:w="1527"/>
        <w:gridCol w:w="747"/>
      </w:tblGrid>
      <w:tr w:rsidR="00C97237" w14:paraId="7C0F674E" w14:textId="77777777">
        <w:trPr>
          <w:trHeight w:val="300"/>
          <w:tblHeader/>
          <w:jc w:val="center"/>
        </w:trPr>
        <w:tc>
          <w:tcPr>
            <w:tcW w:w="1086" w:type="dxa"/>
            <w:vMerge w:val="restart"/>
            <w:tcMar>
              <w:top w:w="12" w:type="dxa"/>
              <w:left w:w="12" w:type="dxa"/>
              <w:right w:w="12" w:type="dxa"/>
            </w:tcMar>
            <w:vAlign w:val="center"/>
          </w:tcPr>
          <w:p w14:paraId="2702E5C1" w14:textId="77777777" w:rsidR="00C97237" w:rsidRDefault="00000000">
            <w:pPr>
              <w:widowControl/>
              <w:spacing w:line="580" w:lineRule="exact"/>
              <w:jc w:val="center"/>
              <w:textAlignment w:val="center"/>
              <w:rPr>
                <w:rFonts w:ascii="仿宋" w:eastAsia="仿宋" w:hAnsi="仿宋" w:cs="仿宋"/>
                <w:bCs/>
                <w:sz w:val="32"/>
                <w:szCs w:val="32"/>
              </w:rPr>
            </w:pPr>
            <w:r>
              <w:rPr>
                <w:rFonts w:ascii="仿宋" w:eastAsia="仿宋" w:hAnsi="仿宋" w:cs="仿宋" w:hint="eastAsia"/>
                <w:bCs/>
                <w:sz w:val="32"/>
                <w:szCs w:val="32"/>
              </w:rPr>
              <w:t>客户类型</w:t>
            </w:r>
          </w:p>
        </w:tc>
        <w:tc>
          <w:tcPr>
            <w:tcW w:w="4223" w:type="dxa"/>
            <w:gridSpan w:val="6"/>
            <w:tcMar>
              <w:top w:w="12" w:type="dxa"/>
              <w:left w:w="12" w:type="dxa"/>
              <w:right w:w="12" w:type="dxa"/>
            </w:tcMar>
            <w:vAlign w:val="center"/>
          </w:tcPr>
          <w:p w14:paraId="3534F78D"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各环节办理时间</w:t>
            </w:r>
          </w:p>
        </w:tc>
        <w:tc>
          <w:tcPr>
            <w:tcW w:w="1173" w:type="dxa"/>
            <w:vMerge w:val="restart"/>
            <w:tcMar>
              <w:top w:w="12" w:type="dxa"/>
              <w:left w:w="12" w:type="dxa"/>
              <w:right w:w="12" w:type="dxa"/>
            </w:tcMar>
            <w:vAlign w:val="center"/>
          </w:tcPr>
          <w:p w14:paraId="4C09BF47"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合计办理时间</w:t>
            </w:r>
          </w:p>
        </w:tc>
        <w:tc>
          <w:tcPr>
            <w:tcW w:w="1527" w:type="dxa"/>
            <w:vMerge w:val="restart"/>
            <w:tcMar>
              <w:top w:w="12" w:type="dxa"/>
              <w:left w:w="12" w:type="dxa"/>
              <w:right w:w="12" w:type="dxa"/>
            </w:tcMar>
            <w:vAlign w:val="center"/>
          </w:tcPr>
          <w:p w14:paraId="2CFBE594"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现行国家</w:t>
            </w:r>
          </w:p>
          <w:p w14:paraId="56A32FFD"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规定时限</w:t>
            </w:r>
          </w:p>
        </w:tc>
        <w:tc>
          <w:tcPr>
            <w:tcW w:w="747" w:type="dxa"/>
            <w:vMerge w:val="restart"/>
            <w:tcMar>
              <w:top w:w="12" w:type="dxa"/>
              <w:left w:w="12" w:type="dxa"/>
              <w:right w:w="12" w:type="dxa"/>
            </w:tcMar>
            <w:vAlign w:val="center"/>
          </w:tcPr>
          <w:p w14:paraId="4D74D2DA"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压减</w:t>
            </w:r>
          </w:p>
          <w:p w14:paraId="15C9DC26" w14:textId="77777777" w:rsidR="00C97237" w:rsidRDefault="00000000">
            <w:pPr>
              <w:widowControl/>
              <w:spacing w:line="580" w:lineRule="exact"/>
              <w:jc w:val="center"/>
              <w:textAlignment w:val="center"/>
              <w:rPr>
                <w:rFonts w:ascii="仿宋" w:eastAsia="仿宋" w:hAnsi="仿宋" w:cs="仿宋"/>
                <w:bCs/>
                <w:sz w:val="32"/>
                <w:szCs w:val="32"/>
              </w:rPr>
            </w:pPr>
            <w:r>
              <w:rPr>
                <w:rFonts w:ascii="仿宋" w:eastAsia="仿宋" w:hAnsi="仿宋" w:cs="仿宋" w:hint="eastAsia"/>
                <w:bCs/>
                <w:kern w:val="0"/>
                <w:sz w:val="32"/>
                <w:szCs w:val="32"/>
              </w:rPr>
              <w:t>比例</w:t>
            </w:r>
          </w:p>
        </w:tc>
      </w:tr>
      <w:tr w:rsidR="00C97237" w14:paraId="73DC488B" w14:textId="77777777">
        <w:trPr>
          <w:trHeight w:val="748"/>
          <w:tblHeader/>
          <w:jc w:val="center"/>
        </w:trPr>
        <w:tc>
          <w:tcPr>
            <w:tcW w:w="1086" w:type="dxa"/>
            <w:vMerge/>
            <w:tcMar>
              <w:top w:w="12" w:type="dxa"/>
              <w:left w:w="12" w:type="dxa"/>
              <w:right w:w="12" w:type="dxa"/>
            </w:tcMar>
            <w:vAlign w:val="center"/>
          </w:tcPr>
          <w:p w14:paraId="75FB22CE" w14:textId="77777777" w:rsidR="00C97237" w:rsidRDefault="00C97237">
            <w:pPr>
              <w:widowControl/>
              <w:spacing w:line="580" w:lineRule="exact"/>
              <w:jc w:val="center"/>
              <w:textAlignment w:val="center"/>
              <w:rPr>
                <w:rFonts w:ascii="仿宋" w:eastAsia="仿宋" w:hAnsi="仿宋" w:cs="仿宋"/>
                <w:bCs/>
                <w:kern w:val="0"/>
                <w:sz w:val="32"/>
                <w:szCs w:val="32"/>
              </w:rPr>
            </w:pPr>
          </w:p>
        </w:tc>
        <w:tc>
          <w:tcPr>
            <w:tcW w:w="661" w:type="dxa"/>
            <w:tcMar>
              <w:top w:w="12" w:type="dxa"/>
              <w:left w:w="12" w:type="dxa"/>
              <w:right w:w="12" w:type="dxa"/>
            </w:tcMar>
            <w:vAlign w:val="center"/>
          </w:tcPr>
          <w:p w14:paraId="3E732243"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申请受理</w:t>
            </w:r>
          </w:p>
        </w:tc>
        <w:tc>
          <w:tcPr>
            <w:tcW w:w="827" w:type="dxa"/>
            <w:tcMar>
              <w:top w:w="12" w:type="dxa"/>
              <w:left w:w="12" w:type="dxa"/>
              <w:right w:w="12" w:type="dxa"/>
            </w:tcMar>
            <w:vAlign w:val="center"/>
          </w:tcPr>
          <w:p w14:paraId="61F62DB1"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供电方案答复</w:t>
            </w:r>
          </w:p>
        </w:tc>
        <w:tc>
          <w:tcPr>
            <w:tcW w:w="646" w:type="dxa"/>
            <w:tcMar>
              <w:top w:w="12" w:type="dxa"/>
              <w:left w:w="12" w:type="dxa"/>
              <w:right w:w="12" w:type="dxa"/>
            </w:tcMar>
            <w:vAlign w:val="center"/>
          </w:tcPr>
          <w:p w14:paraId="3C43D8D6"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设计审查</w:t>
            </w:r>
          </w:p>
        </w:tc>
        <w:tc>
          <w:tcPr>
            <w:tcW w:w="737" w:type="dxa"/>
            <w:tcMar>
              <w:top w:w="12" w:type="dxa"/>
              <w:left w:w="12" w:type="dxa"/>
              <w:right w:w="12" w:type="dxa"/>
            </w:tcMar>
            <w:vAlign w:val="center"/>
          </w:tcPr>
          <w:p w14:paraId="11E2550C"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中间</w:t>
            </w:r>
          </w:p>
          <w:p w14:paraId="32E575E4"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检查</w:t>
            </w:r>
          </w:p>
        </w:tc>
        <w:tc>
          <w:tcPr>
            <w:tcW w:w="706" w:type="dxa"/>
            <w:tcMar>
              <w:top w:w="12" w:type="dxa"/>
              <w:left w:w="12" w:type="dxa"/>
              <w:right w:w="12" w:type="dxa"/>
            </w:tcMar>
            <w:vAlign w:val="center"/>
          </w:tcPr>
          <w:p w14:paraId="27E87F13"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竣工检验</w:t>
            </w:r>
          </w:p>
        </w:tc>
        <w:tc>
          <w:tcPr>
            <w:tcW w:w="646" w:type="dxa"/>
            <w:tcMar>
              <w:top w:w="12" w:type="dxa"/>
              <w:left w:w="12" w:type="dxa"/>
              <w:right w:w="12" w:type="dxa"/>
            </w:tcMar>
            <w:vAlign w:val="center"/>
          </w:tcPr>
          <w:p w14:paraId="1D5FCE2D" w14:textId="77777777" w:rsidR="00C97237" w:rsidRDefault="00000000">
            <w:pPr>
              <w:widowControl/>
              <w:spacing w:line="580" w:lineRule="exact"/>
              <w:jc w:val="center"/>
              <w:textAlignment w:val="center"/>
              <w:rPr>
                <w:rFonts w:ascii="仿宋" w:eastAsia="仿宋" w:hAnsi="仿宋" w:cs="仿宋"/>
                <w:bCs/>
                <w:kern w:val="0"/>
                <w:sz w:val="32"/>
                <w:szCs w:val="32"/>
              </w:rPr>
            </w:pPr>
            <w:r>
              <w:rPr>
                <w:rFonts w:ascii="仿宋" w:eastAsia="仿宋" w:hAnsi="仿宋" w:cs="仿宋" w:hint="eastAsia"/>
                <w:bCs/>
                <w:kern w:val="0"/>
                <w:sz w:val="32"/>
                <w:szCs w:val="32"/>
              </w:rPr>
              <w:t>装表接电</w:t>
            </w:r>
          </w:p>
        </w:tc>
        <w:tc>
          <w:tcPr>
            <w:tcW w:w="1173" w:type="dxa"/>
            <w:vMerge/>
            <w:tcMar>
              <w:top w:w="12" w:type="dxa"/>
              <w:left w:w="12" w:type="dxa"/>
              <w:right w:w="12" w:type="dxa"/>
            </w:tcMar>
            <w:vAlign w:val="center"/>
          </w:tcPr>
          <w:p w14:paraId="7F7558C1" w14:textId="77777777" w:rsidR="00C97237" w:rsidRDefault="00C97237">
            <w:pPr>
              <w:widowControl/>
              <w:spacing w:line="580" w:lineRule="exact"/>
              <w:jc w:val="center"/>
              <w:textAlignment w:val="center"/>
              <w:rPr>
                <w:rFonts w:ascii="仿宋" w:eastAsia="仿宋" w:hAnsi="仿宋" w:cs="仿宋"/>
                <w:bCs/>
                <w:kern w:val="0"/>
                <w:sz w:val="32"/>
                <w:szCs w:val="32"/>
              </w:rPr>
            </w:pPr>
          </w:p>
        </w:tc>
        <w:tc>
          <w:tcPr>
            <w:tcW w:w="1527" w:type="dxa"/>
            <w:vMerge/>
            <w:tcMar>
              <w:top w:w="12" w:type="dxa"/>
              <w:left w:w="12" w:type="dxa"/>
              <w:right w:w="12" w:type="dxa"/>
            </w:tcMar>
            <w:vAlign w:val="center"/>
          </w:tcPr>
          <w:p w14:paraId="53DADE18" w14:textId="77777777" w:rsidR="00C97237" w:rsidRDefault="00C97237">
            <w:pPr>
              <w:widowControl/>
              <w:spacing w:line="580" w:lineRule="exact"/>
              <w:jc w:val="center"/>
              <w:textAlignment w:val="center"/>
              <w:rPr>
                <w:rFonts w:ascii="仿宋" w:eastAsia="仿宋" w:hAnsi="仿宋" w:cs="仿宋"/>
                <w:bCs/>
                <w:kern w:val="0"/>
                <w:sz w:val="32"/>
                <w:szCs w:val="32"/>
              </w:rPr>
            </w:pPr>
          </w:p>
        </w:tc>
        <w:tc>
          <w:tcPr>
            <w:tcW w:w="747" w:type="dxa"/>
            <w:vMerge/>
            <w:tcMar>
              <w:top w:w="12" w:type="dxa"/>
              <w:left w:w="12" w:type="dxa"/>
              <w:right w:w="12" w:type="dxa"/>
            </w:tcMar>
            <w:vAlign w:val="center"/>
          </w:tcPr>
          <w:p w14:paraId="0E8733D6" w14:textId="77777777" w:rsidR="00C97237" w:rsidRDefault="00C97237">
            <w:pPr>
              <w:widowControl/>
              <w:spacing w:line="580" w:lineRule="exact"/>
              <w:jc w:val="center"/>
              <w:textAlignment w:val="center"/>
              <w:rPr>
                <w:rFonts w:ascii="仿宋" w:eastAsia="仿宋" w:hAnsi="仿宋" w:cs="仿宋"/>
                <w:bCs/>
                <w:kern w:val="0"/>
                <w:sz w:val="32"/>
                <w:szCs w:val="32"/>
              </w:rPr>
            </w:pPr>
          </w:p>
        </w:tc>
      </w:tr>
      <w:tr w:rsidR="00C97237" w14:paraId="7F997B5F" w14:textId="77777777">
        <w:trPr>
          <w:trHeight w:val="1122"/>
          <w:tblHeader/>
          <w:jc w:val="center"/>
        </w:trPr>
        <w:tc>
          <w:tcPr>
            <w:tcW w:w="1086" w:type="dxa"/>
            <w:tcMar>
              <w:top w:w="12" w:type="dxa"/>
              <w:left w:w="12" w:type="dxa"/>
              <w:right w:w="12" w:type="dxa"/>
            </w:tcMar>
            <w:vAlign w:val="center"/>
          </w:tcPr>
          <w:p w14:paraId="64D7F85A"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高压单电源普通客户（重要）</w:t>
            </w:r>
          </w:p>
        </w:tc>
        <w:tc>
          <w:tcPr>
            <w:tcW w:w="661" w:type="dxa"/>
            <w:tcMar>
              <w:top w:w="12" w:type="dxa"/>
              <w:left w:w="12" w:type="dxa"/>
              <w:right w:w="12" w:type="dxa"/>
            </w:tcMar>
            <w:vAlign w:val="center"/>
          </w:tcPr>
          <w:p w14:paraId="4C5F7846"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w:t>
            </w:r>
          </w:p>
        </w:tc>
        <w:tc>
          <w:tcPr>
            <w:tcW w:w="827" w:type="dxa"/>
            <w:tcMar>
              <w:top w:w="12" w:type="dxa"/>
              <w:left w:w="12" w:type="dxa"/>
              <w:right w:w="12" w:type="dxa"/>
            </w:tcMar>
            <w:vAlign w:val="center"/>
          </w:tcPr>
          <w:p w14:paraId="0595FEA2"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10</w:t>
            </w:r>
          </w:p>
        </w:tc>
        <w:tc>
          <w:tcPr>
            <w:tcW w:w="646" w:type="dxa"/>
            <w:tcMar>
              <w:top w:w="12" w:type="dxa"/>
              <w:left w:w="12" w:type="dxa"/>
              <w:right w:w="12" w:type="dxa"/>
            </w:tcMar>
            <w:vAlign w:val="center"/>
          </w:tcPr>
          <w:p w14:paraId="66564139"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3’</w:t>
            </w:r>
          </w:p>
        </w:tc>
        <w:tc>
          <w:tcPr>
            <w:tcW w:w="737" w:type="dxa"/>
            <w:tcMar>
              <w:top w:w="12" w:type="dxa"/>
              <w:left w:w="12" w:type="dxa"/>
              <w:right w:w="12" w:type="dxa"/>
            </w:tcMar>
            <w:vAlign w:val="center"/>
          </w:tcPr>
          <w:p w14:paraId="161126A3"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2’</w:t>
            </w:r>
          </w:p>
        </w:tc>
        <w:tc>
          <w:tcPr>
            <w:tcW w:w="706" w:type="dxa"/>
            <w:tcMar>
              <w:top w:w="12" w:type="dxa"/>
              <w:left w:w="12" w:type="dxa"/>
              <w:right w:w="12" w:type="dxa"/>
            </w:tcMar>
            <w:vAlign w:val="center"/>
          </w:tcPr>
          <w:p w14:paraId="2B040984"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3</w:t>
            </w:r>
          </w:p>
        </w:tc>
        <w:tc>
          <w:tcPr>
            <w:tcW w:w="646" w:type="dxa"/>
            <w:tcMar>
              <w:top w:w="12" w:type="dxa"/>
              <w:left w:w="12" w:type="dxa"/>
              <w:right w:w="12" w:type="dxa"/>
            </w:tcMar>
            <w:vAlign w:val="center"/>
          </w:tcPr>
          <w:p w14:paraId="54EDDFAC"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3</w:t>
            </w:r>
          </w:p>
        </w:tc>
        <w:tc>
          <w:tcPr>
            <w:tcW w:w="1173" w:type="dxa"/>
            <w:tcMar>
              <w:top w:w="12" w:type="dxa"/>
              <w:left w:w="12" w:type="dxa"/>
              <w:right w:w="12" w:type="dxa"/>
            </w:tcMar>
            <w:vAlign w:val="center"/>
          </w:tcPr>
          <w:p w14:paraId="44AAB7B4"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16（21’）</w:t>
            </w:r>
          </w:p>
        </w:tc>
        <w:tc>
          <w:tcPr>
            <w:tcW w:w="1527" w:type="dxa"/>
            <w:tcMar>
              <w:top w:w="12" w:type="dxa"/>
              <w:left w:w="12" w:type="dxa"/>
              <w:right w:w="12" w:type="dxa"/>
            </w:tcMar>
            <w:vAlign w:val="center"/>
          </w:tcPr>
          <w:p w14:paraId="645655A5"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17（22’）</w:t>
            </w:r>
          </w:p>
        </w:tc>
        <w:tc>
          <w:tcPr>
            <w:tcW w:w="747" w:type="dxa"/>
            <w:tcMar>
              <w:top w:w="12" w:type="dxa"/>
              <w:left w:w="12" w:type="dxa"/>
              <w:right w:w="12" w:type="dxa"/>
            </w:tcMar>
            <w:vAlign w:val="center"/>
          </w:tcPr>
          <w:p w14:paraId="5F20924D"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5.9%</w:t>
            </w:r>
          </w:p>
        </w:tc>
      </w:tr>
      <w:tr w:rsidR="00C97237" w14:paraId="4414AD50" w14:textId="77777777">
        <w:trPr>
          <w:trHeight w:val="1130"/>
          <w:tblHeader/>
          <w:jc w:val="center"/>
        </w:trPr>
        <w:tc>
          <w:tcPr>
            <w:tcW w:w="1086" w:type="dxa"/>
            <w:tcMar>
              <w:top w:w="12" w:type="dxa"/>
              <w:left w:w="12" w:type="dxa"/>
              <w:right w:w="12" w:type="dxa"/>
            </w:tcMar>
            <w:vAlign w:val="center"/>
          </w:tcPr>
          <w:p w14:paraId="3E1EDED4"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高压双电源普通客户（重要）</w:t>
            </w:r>
          </w:p>
        </w:tc>
        <w:tc>
          <w:tcPr>
            <w:tcW w:w="661" w:type="dxa"/>
            <w:tcMar>
              <w:top w:w="12" w:type="dxa"/>
              <w:left w:w="12" w:type="dxa"/>
              <w:right w:w="12" w:type="dxa"/>
            </w:tcMar>
            <w:vAlign w:val="center"/>
          </w:tcPr>
          <w:p w14:paraId="41573379"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w:t>
            </w:r>
          </w:p>
        </w:tc>
        <w:tc>
          <w:tcPr>
            <w:tcW w:w="827" w:type="dxa"/>
            <w:tcMar>
              <w:top w:w="12" w:type="dxa"/>
              <w:left w:w="12" w:type="dxa"/>
              <w:right w:w="12" w:type="dxa"/>
            </w:tcMar>
            <w:vAlign w:val="center"/>
          </w:tcPr>
          <w:p w14:paraId="495E753C"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18</w:t>
            </w:r>
          </w:p>
        </w:tc>
        <w:tc>
          <w:tcPr>
            <w:tcW w:w="646" w:type="dxa"/>
            <w:tcMar>
              <w:top w:w="12" w:type="dxa"/>
              <w:left w:w="12" w:type="dxa"/>
              <w:right w:w="12" w:type="dxa"/>
            </w:tcMar>
            <w:vAlign w:val="center"/>
          </w:tcPr>
          <w:p w14:paraId="47C45530"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3’</w:t>
            </w:r>
          </w:p>
        </w:tc>
        <w:tc>
          <w:tcPr>
            <w:tcW w:w="737" w:type="dxa"/>
            <w:tcMar>
              <w:top w:w="12" w:type="dxa"/>
              <w:left w:w="12" w:type="dxa"/>
              <w:right w:w="12" w:type="dxa"/>
            </w:tcMar>
            <w:vAlign w:val="center"/>
          </w:tcPr>
          <w:p w14:paraId="5204FCD6"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2’</w:t>
            </w:r>
          </w:p>
        </w:tc>
        <w:tc>
          <w:tcPr>
            <w:tcW w:w="706" w:type="dxa"/>
            <w:tcMar>
              <w:top w:w="12" w:type="dxa"/>
              <w:left w:w="12" w:type="dxa"/>
              <w:right w:w="12" w:type="dxa"/>
            </w:tcMar>
            <w:vAlign w:val="center"/>
          </w:tcPr>
          <w:p w14:paraId="246474E3"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3</w:t>
            </w:r>
          </w:p>
        </w:tc>
        <w:tc>
          <w:tcPr>
            <w:tcW w:w="646" w:type="dxa"/>
            <w:tcMar>
              <w:top w:w="12" w:type="dxa"/>
              <w:left w:w="12" w:type="dxa"/>
              <w:right w:w="12" w:type="dxa"/>
            </w:tcMar>
            <w:vAlign w:val="center"/>
          </w:tcPr>
          <w:p w14:paraId="3CE4E575"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3</w:t>
            </w:r>
          </w:p>
        </w:tc>
        <w:tc>
          <w:tcPr>
            <w:tcW w:w="1173" w:type="dxa"/>
            <w:tcMar>
              <w:top w:w="12" w:type="dxa"/>
              <w:left w:w="12" w:type="dxa"/>
              <w:right w:w="12" w:type="dxa"/>
            </w:tcMar>
            <w:vAlign w:val="center"/>
          </w:tcPr>
          <w:p w14:paraId="34438DCD"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24（29’）</w:t>
            </w:r>
          </w:p>
        </w:tc>
        <w:tc>
          <w:tcPr>
            <w:tcW w:w="1527" w:type="dxa"/>
            <w:tcMar>
              <w:top w:w="12" w:type="dxa"/>
              <w:left w:w="12" w:type="dxa"/>
              <w:right w:w="12" w:type="dxa"/>
            </w:tcMar>
            <w:vAlign w:val="center"/>
          </w:tcPr>
          <w:p w14:paraId="1EA3B237"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27（32’）</w:t>
            </w:r>
          </w:p>
        </w:tc>
        <w:tc>
          <w:tcPr>
            <w:tcW w:w="747" w:type="dxa"/>
            <w:tcMar>
              <w:top w:w="12" w:type="dxa"/>
              <w:left w:w="12" w:type="dxa"/>
              <w:right w:w="12" w:type="dxa"/>
            </w:tcMar>
            <w:vAlign w:val="center"/>
          </w:tcPr>
          <w:p w14:paraId="08F89910" w14:textId="77777777" w:rsidR="00C97237" w:rsidRDefault="00000000">
            <w:pPr>
              <w:widowControl/>
              <w:spacing w:line="580" w:lineRule="exact"/>
              <w:jc w:val="center"/>
              <w:textAlignment w:val="center"/>
              <w:rPr>
                <w:rFonts w:ascii="仿宋" w:eastAsia="仿宋" w:hAnsi="仿宋" w:cs="仿宋"/>
                <w:kern w:val="0"/>
                <w:sz w:val="32"/>
                <w:szCs w:val="32"/>
              </w:rPr>
            </w:pPr>
            <w:r>
              <w:rPr>
                <w:rFonts w:ascii="仿宋" w:eastAsia="仿宋" w:hAnsi="仿宋" w:cs="仿宋" w:hint="eastAsia"/>
                <w:kern w:val="0"/>
                <w:sz w:val="32"/>
                <w:szCs w:val="32"/>
              </w:rPr>
              <w:t>11.1%</w:t>
            </w:r>
          </w:p>
        </w:tc>
      </w:tr>
    </w:tbl>
    <w:p w14:paraId="6849C03C" w14:textId="77777777" w:rsidR="00C97237" w:rsidRDefault="00000000">
      <w:pPr>
        <w:widowControl/>
        <w:spacing w:line="580" w:lineRule="exact"/>
        <w:jc w:val="left"/>
        <w:rPr>
          <w:rFonts w:ascii="仿宋" w:eastAsia="仿宋" w:hAnsi="仿宋" w:cs="仿宋"/>
          <w:sz w:val="32"/>
          <w:szCs w:val="32"/>
          <w:lang w:val="zh-CN" w:bidi="ar"/>
        </w:rPr>
      </w:pPr>
      <w:r>
        <w:rPr>
          <w:rFonts w:ascii="仿宋" w:eastAsia="仿宋" w:hAnsi="仿宋" w:cs="仿宋" w:hint="eastAsia"/>
          <w:sz w:val="32"/>
          <w:szCs w:val="32"/>
        </w:rPr>
        <w:t>注：1.对于</w:t>
      </w:r>
      <w:r>
        <w:rPr>
          <w:rFonts w:ascii="仿宋" w:eastAsia="仿宋" w:hAnsi="仿宋" w:cs="仿宋" w:hint="eastAsia"/>
          <w:bCs/>
          <w:sz w:val="32"/>
          <w:szCs w:val="32"/>
        </w:rPr>
        <w:t>普通高压客户，用电报装为“用电申请、供电方案答复、客户外部工程实施、装表接电”4个环节。</w:t>
      </w:r>
      <w:r>
        <w:rPr>
          <w:rFonts w:ascii="仿宋" w:eastAsia="仿宋" w:hAnsi="仿宋" w:cs="仿宋" w:hint="eastAsia"/>
          <w:kern w:val="0"/>
          <w:sz w:val="32"/>
          <w:szCs w:val="32"/>
          <w:lang w:bidi="ar"/>
        </w:rPr>
        <w:t xml:space="preserve"> 2.对于重要客户和高风险客户，用电报装为“</w:t>
      </w:r>
      <w:r>
        <w:rPr>
          <w:rFonts w:ascii="仿宋" w:eastAsia="仿宋" w:hAnsi="仿宋" w:cs="仿宋" w:hint="eastAsia"/>
          <w:bCs/>
          <w:kern w:val="0"/>
          <w:sz w:val="32"/>
          <w:szCs w:val="32"/>
          <w:lang w:bidi="ar"/>
        </w:rPr>
        <w:t>用电申请</w:t>
      </w:r>
      <w:r>
        <w:rPr>
          <w:rFonts w:ascii="仿宋" w:eastAsia="仿宋" w:hAnsi="仿宋" w:cs="仿宋" w:hint="eastAsia"/>
          <w:kern w:val="0"/>
          <w:sz w:val="32"/>
          <w:szCs w:val="32"/>
          <w:lang w:bidi="ar"/>
        </w:rPr>
        <w:t>、供电方案答复、设计审查、中间检查、</w:t>
      </w:r>
      <w:r>
        <w:rPr>
          <w:rFonts w:ascii="仿宋" w:eastAsia="仿宋" w:hAnsi="仿宋" w:cs="仿宋" w:hint="eastAsia"/>
          <w:bCs/>
          <w:kern w:val="0"/>
          <w:sz w:val="32"/>
          <w:szCs w:val="32"/>
          <w:lang w:bidi="ar"/>
        </w:rPr>
        <w:t>客户外部工程实施</w:t>
      </w:r>
      <w:r>
        <w:rPr>
          <w:rFonts w:ascii="仿宋" w:eastAsia="仿宋" w:hAnsi="仿宋" w:cs="仿宋" w:hint="eastAsia"/>
          <w:kern w:val="0"/>
          <w:sz w:val="32"/>
          <w:szCs w:val="32"/>
          <w:lang w:bidi="ar"/>
        </w:rPr>
        <w:t>、装表接电”6个环节。</w:t>
      </w:r>
    </w:p>
    <w:p w14:paraId="7060A665"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五、保障措施</w:t>
      </w:r>
    </w:p>
    <w:p w14:paraId="46DC6069"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（一）坚持协同推进。</w:t>
      </w:r>
      <w:r>
        <w:rPr>
          <w:rFonts w:ascii="仿宋" w:eastAsia="仿宋" w:hAnsi="仿宋" w:cs="仿宋" w:hint="eastAsia"/>
          <w:kern w:val="0"/>
          <w:sz w:val="32"/>
          <w:szCs w:val="32"/>
          <w:shd w:val="clear" w:color="auto" w:fill="FFFFFF"/>
        </w:rPr>
        <w:t>进一步提高政治站位，充分认识</w:t>
      </w:r>
      <w:r>
        <w:rPr>
          <w:rFonts w:ascii="仿宋" w:eastAsia="仿宋" w:hAnsi="仿宋" w:cs="仿宋" w:hint="eastAsia"/>
          <w:kern w:val="0"/>
          <w:sz w:val="32"/>
          <w:szCs w:val="32"/>
          <w:shd w:val="clear" w:color="auto" w:fill="FFFFFF"/>
        </w:rPr>
        <w:lastRenderedPageBreak/>
        <w:t>优化用电营商环境、提升“获得电力”服务水平，对促进偃师区经济社会发展的重要意义。加强组织领导，深化政企协同，供电企业与各级政府相关部门加强沟通联络，联动协同推动各项工作有序开展。</w:t>
      </w:r>
    </w:p>
    <w:p w14:paraId="0F6B6F65" w14:textId="77777777" w:rsidR="00C97237" w:rsidRDefault="00000000">
      <w:pPr>
        <w:widowControl/>
        <w:spacing w:line="580" w:lineRule="exact"/>
        <w:ind w:firstLine="643"/>
        <w:jc w:val="left"/>
        <w:rPr>
          <w:rFonts w:ascii="仿宋" w:eastAsia="仿宋" w:hAnsi="仿宋" w:cs="仿宋"/>
          <w:kern w:val="0"/>
          <w:sz w:val="32"/>
          <w:szCs w:val="32"/>
          <w:shd w:val="clear" w:color="auto" w:fill="FFFFFF"/>
          <w:lang w:bidi="ar"/>
        </w:rPr>
      </w:pPr>
      <w:r>
        <w:rPr>
          <w:rFonts w:ascii="仿宋" w:eastAsia="仿宋" w:hAnsi="仿宋" w:cs="仿宋" w:hint="eastAsia"/>
          <w:b/>
          <w:sz w:val="32"/>
          <w:szCs w:val="32"/>
        </w:rPr>
        <w:t>（二）强化监督评价。</w:t>
      </w:r>
      <w:r>
        <w:rPr>
          <w:rFonts w:ascii="仿宋" w:eastAsia="仿宋" w:hAnsi="仿宋" w:cs="仿宋" w:hint="eastAsia"/>
          <w:bCs/>
          <w:kern w:val="0"/>
          <w:sz w:val="32"/>
          <w:szCs w:val="32"/>
          <w:shd w:val="clear" w:color="auto" w:fill="FFFFFF"/>
          <w:lang w:bidi="ar"/>
        </w:rPr>
        <w:t>制定</w:t>
      </w:r>
      <w:r>
        <w:rPr>
          <w:rFonts w:ascii="仿宋" w:eastAsia="仿宋" w:hAnsi="仿宋" w:cs="仿宋" w:hint="eastAsia"/>
          <w:kern w:val="0"/>
          <w:sz w:val="32"/>
          <w:szCs w:val="32"/>
          <w:shd w:val="clear" w:color="auto" w:fill="FFFFFF"/>
          <w:lang w:bidi="ar"/>
        </w:rPr>
        <w:t>升级版方案细化任务</w:t>
      </w:r>
      <w:r>
        <w:rPr>
          <w:rFonts w:ascii="仿宋" w:eastAsia="仿宋" w:hAnsi="仿宋" w:cs="仿宋" w:hint="eastAsia"/>
          <w:bCs/>
          <w:kern w:val="0"/>
          <w:sz w:val="32"/>
          <w:szCs w:val="32"/>
          <w:shd w:val="clear" w:color="auto" w:fill="FFFFFF"/>
          <w:lang w:bidi="ar"/>
        </w:rPr>
        <w:t>台账</w:t>
      </w:r>
      <w:r>
        <w:rPr>
          <w:rFonts w:ascii="仿宋" w:eastAsia="仿宋" w:hAnsi="仿宋" w:cs="仿宋" w:hint="eastAsia"/>
          <w:kern w:val="0"/>
          <w:sz w:val="32"/>
          <w:szCs w:val="32"/>
          <w:shd w:val="clear" w:color="auto" w:fill="FFFFFF"/>
          <w:lang w:bidi="ar"/>
        </w:rPr>
        <w:t>，将提升“获得电力”服务水平工作完成情况与年度营商环境“获得电力”指标评价相结合，健全考核和激励机制，强化指标考核，压实工作责任。</w:t>
      </w:r>
    </w:p>
    <w:p w14:paraId="279D219A" w14:textId="77777777" w:rsidR="00C97237" w:rsidRDefault="00000000">
      <w:pPr>
        <w:spacing w:line="580" w:lineRule="exact"/>
        <w:ind w:firstLineChars="200" w:firstLine="643"/>
        <w:rPr>
          <w:rFonts w:ascii="仿宋" w:eastAsia="仿宋" w:hAnsi="仿宋" w:cs="仿宋"/>
          <w:bCs/>
          <w:sz w:val="32"/>
          <w:szCs w:val="32"/>
        </w:rPr>
      </w:pPr>
      <w:r>
        <w:rPr>
          <w:rFonts w:ascii="仿宋" w:eastAsia="仿宋" w:hAnsi="仿宋" w:cs="仿宋" w:hint="eastAsia"/>
          <w:b/>
          <w:sz w:val="32"/>
          <w:szCs w:val="32"/>
        </w:rPr>
        <w:t>（三）营造良好氛围。</w:t>
      </w:r>
      <w:r>
        <w:rPr>
          <w:rFonts w:ascii="仿宋" w:eastAsia="仿宋" w:hAnsi="仿宋" w:cs="仿宋" w:hint="eastAsia"/>
          <w:bCs/>
          <w:sz w:val="32"/>
          <w:szCs w:val="32"/>
          <w:lang w:val="zh-CN"/>
        </w:rPr>
        <w:t>综合运用电视、网络、报刊等新闻媒体以及政务网、“</w:t>
      </w:r>
      <w:r>
        <w:rPr>
          <w:rFonts w:ascii="仿宋" w:eastAsia="仿宋" w:hAnsi="仿宋" w:cs="仿宋" w:hint="eastAsia"/>
          <w:bCs/>
          <w:sz w:val="32"/>
          <w:szCs w:val="32"/>
        </w:rPr>
        <w:t>网上国网</w:t>
      </w:r>
      <w:r>
        <w:rPr>
          <w:rFonts w:ascii="仿宋" w:eastAsia="仿宋" w:hAnsi="仿宋" w:cs="仿宋" w:hint="eastAsia"/>
          <w:bCs/>
          <w:sz w:val="32"/>
          <w:szCs w:val="32"/>
          <w:lang w:val="zh-CN"/>
        </w:rPr>
        <w:t>”</w:t>
      </w:r>
      <w:r>
        <w:rPr>
          <w:rFonts w:ascii="仿宋" w:eastAsia="仿宋" w:hAnsi="仿宋" w:cs="仿宋" w:hint="eastAsia"/>
          <w:bCs/>
          <w:sz w:val="32"/>
          <w:szCs w:val="32"/>
        </w:rPr>
        <w:t>APP</w:t>
      </w:r>
      <w:r>
        <w:rPr>
          <w:rFonts w:ascii="仿宋" w:eastAsia="仿宋" w:hAnsi="仿宋" w:cs="仿宋" w:hint="eastAsia"/>
          <w:bCs/>
          <w:sz w:val="32"/>
          <w:szCs w:val="32"/>
          <w:lang w:val="zh-CN"/>
        </w:rPr>
        <w:t>、</w:t>
      </w:r>
      <w:r>
        <w:rPr>
          <w:rFonts w:ascii="仿宋" w:eastAsia="仿宋" w:hAnsi="仿宋" w:cs="仿宋" w:hint="eastAsia"/>
          <w:bCs/>
          <w:sz w:val="32"/>
          <w:szCs w:val="32"/>
        </w:rPr>
        <w:t>供电营业场所</w:t>
      </w:r>
      <w:r>
        <w:rPr>
          <w:rFonts w:ascii="仿宋" w:eastAsia="仿宋" w:hAnsi="仿宋" w:cs="仿宋" w:hint="eastAsia"/>
          <w:bCs/>
          <w:sz w:val="32"/>
          <w:szCs w:val="32"/>
          <w:lang w:val="zh-CN"/>
        </w:rPr>
        <w:t>、</w:t>
      </w:r>
      <w:r>
        <w:rPr>
          <w:rFonts w:ascii="仿宋" w:eastAsia="仿宋" w:hAnsi="仿宋" w:cs="仿宋" w:hint="eastAsia"/>
          <w:bCs/>
          <w:sz w:val="32"/>
          <w:szCs w:val="32"/>
        </w:rPr>
        <w:t>车体广告</w:t>
      </w:r>
      <w:r>
        <w:rPr>
          <w:rFonts w:ascii="仿宋" w:eastAsia="仿宋" w:hAnsi="仿宋" w:cs="仿宋" w:hint="eastAsia"/>
          <w:bCs/>
          <w:sz w:val="32"/>
          <w:szCs w:val="32"/>
          <w:lang w:val="zh-CN"/>
        </w:rPr>
        <w:t>等途径和方式，加强对优化用电营商环境措施和成效的宣传解读。加强与新闻媒体的联系，积极发掘优化用电营商环境典型做法，开展宣传报道，为全面提升“获得电力”服务水平</w:t>
      </w:r>
      <w:r>
        <w:rPr>
          <w:rFonts w:ascii="仿宋" w:eastAsia="仿宋" w:hAnsi="仿宋" w:cs="仿宋" w:hint="eastAsia"/>
          <w:bCs/>
          <w:sz w:val="32"/>
          <w:szCs w:val="32"/>
        </w:rPr>
        <w:t>营造</w:t>
      </w:r>
      <w:r>
        <w:rPr>
          <w:rFonts w:ascii="仿宋" w:eastAsia="仿宋" w:hAnsi="仿宋" w:cs="仿宋" w:hint="eastAsia"/>
          <w:bCs/>
          <w:sz w:val="32"/>
          <w:szCs w:val="32"/>
          <w:lang w:val="zh-CN"/>
        </w:rPr>
        <w:t>良好氛围</w:t>
      </w:r>
      <w:r>
        <w:rPr>
          <w:rFonts w:ascii="仿宋" w:eastAsia="仿宋" w:hAnsi="仿宋" w:cs="仿宋" w:hint="eastAsia"/>
          <w:bCs/>
          <w:sz w:val="32"/>
          <w:szCs w:val="32"/>
        </w:rPr>
        <w:t>。</w:t>
      </w:r>
    </w:p>
    <w:p w14:paraId="521ED55B" w14:textId="77777777" w:rsidR="00C97237" w:rsidRDefault="00C97237">
      <w:pPr>
        <w:spacing w:line="580" w:lineRule="exact"/>
        <w:jc w:val="center"/>
        <w:rPr>
          <w:rFonts w:ascii="黑体" w:eastAsia="黑体" w:hAnsi="黑体" w:cs="黑体"/>
          <w:sz w:val="44"/>
          <w:szCs w:val="44"/>
        </w:rPr>
      </w:pPr>
    </w:p>
    <w:p w14:paraId="03EBD7AF" w14:textId="77777777" w:rsidR="00C97237" w:rsidRDefault="00C97237">
      <w:pPr>
        <w:spacing w:line="580" w:lineRule="exact"/>
        <w:jc w:val="center"/>
        <w:rPr>
          <w:rFonts w:ascii="黑体" w:eastAsia="黑体" w:hAnsi="黑体" w:cs="黑体"/>
          <w:sz w:val="44"/>
          <w:szCs w:val="44"/>
        </w:rPr>
      </w:pPr>
    </w:p>
    <w:p w14:paraId="09BDFCF7" w14:textId="77777777" w:rsidR="00C97237" w:rsidRDefault="00C97237">
      <w:pPr>
        <w:spacing w:line="580" w:lineRule="exact"/>
        <w:rPr>
          <w:rFonts w:ascii="黑体" w:eastAsia="黑体" w:hAnsi="黑体" w:cs="黑体"/>
          <w:sz w:val="44"/>
          <w:szCs w:val="44"/>
        </w:rPr>
      </w:pPr>
    </w:p>
    <w:p w14:paraId="589E3F89" w14:textId="77777777" w:rsidR="00C97237" w:rsidRDefault="00C97237">
      <w:pPr>
        <w:spacing w:line="580" w:lineRule="exact"/>
        <w:jc w:val="center"/>
        <w:rPr>
          <w:rFonts w:ascii="黑体" w:eastAsia="黑体" w:hAnsi="黑体" w:cs="黑体"/>
          <w:sz w:val="44"/>
          <w:szCs w:val="44"/>
        </w:rPr>
      </w:pPr>
    </w:p>
    <w:p w14:paraId="49F84043" w14:textId="77777777" w:rsidR="00C97237" w:rsidRDefault="00C97237">
      <w:pPr>
        <w:spacing w:line="580" w:lineRule="exact"/>
        <w:jc w:val="center"/>
        <w:rPr>
          <w:rFonts w:ascii="黑体" w:eastAsia="黑体" w:hAnsi="黑体" w:cs="黑体"/>
          <w:sz w:val="44"/>
          <w:szCs w:val="44"/>
        </w:rPr>
      </w:pPr>
    </w:p>
    <w:p w14:paraId="53C62DD8" w14:textId="77777777" w:rsidR="00C97237" w:rsidRDefault="00C97237">
      <w:pPr>
        <w:spacing w:line="580" w:lineRule="exact"/>
        <w:jc w:val="center"/>
        <w:rPr>
          <w:rFonts w:ascii="黑体" w:eastAsia="黑体" w:hAnsi="黑体" w:cs="黑体"/>
          <w:sz w:val="44"/>
          <w:szCs w:val="44"/>
        </w:rPr>
      </w:pPr>
    </w:p>
    <w:p w14:paraId="74D999B2" w14:textId="77777777" w:rsidR="00C97237" w:rsidRDefault="00C97237">
      <w:pPr>
        <w:spacing w:line="580" w:lineRule="exact"/>
        <w:jc w:val="center"/>
        <w:rPr>
          <w:rFonts w:ascii="黑体" w:eastAsia="黑体" w:hAnsi="黑体" w:cs="黑体"/>
          <w:sz w:val="44"/>
          <w:szCs w:val="44"/>
        </w:rPr>
      </w:pPr>
    </w:p>
    <w:p w14:paraId="5AEA46E3" w14:textId="77777777" w:rsidR="00C97237" w:rsidRDefault="00C97237">
      <w:pPr>
        <w:spacing w:line="580" w:lineRule="exact"/>
        <w:jc w:val="center"/>
        <w:rPr>
          <w:rFonts w:ascii="黑体" w:eastAsia="黑体" w:hAnsi="黑体" w:cs="黑体"/>
          <w:sz w:val="44"/>
          <w:szCs w:val="44"/>
        </w:rPr>
      </w:pPr>
    </w:p>
    <w:p w14:paraId="68AE4ACE" w14:textId="77777777" w:rsidR="00C97237" w:rsidRDefault="00C97237">
      <w:pPr>
        <w:spacing w:line="580" w:lineRule="exact"/>
        <w:jc w:val="center"/>
        <w:rPr>
          <w:rFonts w:ascii="黑体" w:eastAsia="黑体" w:hAnsi="黑体" w:cs="黑体"/>
          <w:sz w:val="44"/>
          <w:szCs w:val="44"/>
        </w:rPr>
      </w:pPr>
    </w:p>
    <w:p w14:paraId="0178A099" w14:textId="77777777" w:rsidR="00C97237" w:rsidRDefault="00000000">
      <w:pPr>
        <w:spacing w:line="580" w:lineRule="exact"/>
        <w:jc w:val="left"/>
        <w:rPr>
          <w:rFonts w:ascii="仿宋" w:eastAsia="仿宋" w:hAnsi="仿宋" w:cs="仿宋"/>
          <w:spacing w:val="16"/>
          <w:sz w:val="32"/>
          <w:szCs w:val="32"/>
        </w:rPr>
      </w:pPr>
      <w:r>
        <w:rPr>
          <w:rFonts w:ascii="黑体" w:eastAsia="黑体" w:hAnsi="黑体" w:cs="黑体" w:hint="eastAsia"/>
          <w:sz w:val="44"/>
          <w:szCs w:val="44"/>
        </w:rPr>
        <w:t>附件5</w:t>
      </w:r>
    </w:p>
    <w:p w14:paraId="0BB5C64E" w14:textId="77777777" w:rsidR="00C97237" w:rsidRDefault="00000000">
      <w:pPr>
        <w:widowControl/>
        <w:kinsoku w:val="0"/>
        <w:autoSpaceDE w:val="0"/>
        <w:autoSpaceDN w:val="0"/>
        <w:adjustRightInd w:val="0"/>
        <w:snapToGrid w:val="0"/>
        <w:spacing w:line="580" w:lineRule="exact"/>
        <w:ind w:firstLineChars="200" w:firstLine="944"/>
        <w:jc w:val="center"/>
        <w:textAlignment w:val="baseline"/>
        <w:rPr>
          <w:rFonts w:ascii="黑体" w:eastAsia="黑体" w:hAnsi="黑体" w:cs="黑体"/>
          <w:sz w:val="44"/>
          <w:szCs w:val="44"/>
        </w:rPr>
      </w:pPr>
      <w:r>
        <w:rPr>
          <w:rFonts w:ascii="黑体" w:eastAsia="黑体" w:hAnsi="黑体" w:cs="黑体" w:hint="eastAsia"/>
          <w:spacing w:val="16"/>
          <w:sz w:val="44"/>
          <w:szCs w:val="44"/>
        </w:rPr>
        <w:lastRenderedPageBreak/>
        <w:t>偃师区</w:t>
      </w:r>
      <w:r>
        <w:rPr>
          <w:rFonts w:ascii="黑体" w:eastAsia="黑体" w:hAnsi="黑体" w:cs="黑体" w:hint="eastAsia"/>
          <w:spacing w:val="9"/>
          <w:sz w:val="44"/>
          <w:szCs w:val="44"/>
        </w:rPr>
        <w:t>获得用气提升专项行动方案</w:t>
      </w:r>
    </w:p>
    <w:p w14:paraId="57856511"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为贯彻落实</w:t>
      </w:r>
      <w:r>
        <w:rPr>
          <w:rFonts w:ascii="仿宋" w:eastAsia="仿宋" w:hAnsi="仿宋" w:cs="仿宋" w:hint="eastAsia"/>
          <w:spacing w:val="5"/>
          <w:sz w:val="31"/>
          <w:szCs w:val="31"/>
        </w:rPr>
        <w:t>偃师区及区委区政府</w:t>
      </w:r>
      <w:r>
        <w:rPr>
          <w:rFonts w:ascii="仿宋" w:eastAsia="仿宋" w:hAnsi="仿宋" w:cs="仿宋"/>
          <w:spacing w:val="5"/>
          <w:sz w:val="31"/>
          <w:szCs w:val="31"/>
        </w:rPr>
        <w:t>关于优化营商环境工作部署，全力推进营商环境改革，加快政策集成创新，更高标准、更高水平、更深层次推动</w:t>
      </w:r>
      <w:r>
        <w:rPr>
          <w:rFonts w:ascii="仿宋" w:eastAsia="仿宋" w:hAnsi="仿宋" w:cs="仿宋" w:hint="eastAsia"/>
          <w:spacing w:val="5"/>
          <w:sz w:val="31"/>
          <w:szCs w:val="31"/>
        </w:rPr>
        <w:t>我区</w:t>
      </w:r>
      <w:r>
        <w:rPr>
          <w:rFonts w:ascii="仿宋" w:eastAsia="仿宋" w:hAnsi="仿宋" w:cs="仿宋"/>
          <w:spacing w:val="5"/>
          <w:sz w:val="31"/>
          <w:szCs w:val="31"/>
        </w:rPr>
        <w:t>获得用气营商环境建设，明确2022年重点目标，制定本方案。</w:t>
      </w:r>
    </w:p>
    <w:p w14:paraId="33833480"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黑体" w:eastAsia="黑体" w:hAnsi="黑体" w:cs="黑体"/>
          <w:b/>
          <w:bCs/>
          <w:spacing w:val="5"/>
          <w:sz w:val="31"/>
          <w:szCs w:val="31"/>
        </w:rPr>
      </w:pPr>
      <w:r>
        <w:rPr>
          <w:rFonts w:ascii="黑体" w:eastAsia="黑体" w:hAnsi="黑体" w:cs="黑体" w:hint="eastAsia"/>
          <w:b/>
          <w:bCs/>
          <w:spacing w:val="5"/>
          <w:sz w:val="31"/>
          <w:szCs w:val="31"/>
        </w:rPr>
        <w:t>一、总体要求</w:t>
      </w:r>
    </w:p>
    <w:p w14:paraId="4B81E346"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按照</w:t>
      </w:r>
      <w:r>
        <w:rPr>
          <w:rFonts w:ascii="仿宋" w:eastAsia="仿宋" w:hAnsi="仿宋" w:cs="仿宋" w:hint="eastAsia"/>
          <w:spacing w:val="5"/>
          <w:sz w:val="31"/>
          <w:szCs w:val="31"/>
        </w:rPr>
        <w:t>市</w:t>
      </w:r>
      <w:r>
        <w:rPr>
          <w:rFonts w:ascii="仿宋" w:eastAsia="仿宋" w:hAnsi="仿宋" w:cs="仿宋"/>
          <w:spacing w:val="5"/>
          <w:sz w:val="31"/>
          <w:szCs w:val="31"/>
        </w:rPr>
        <w:t>第十二次党代会和</w:t>
      </w:r>
      <w:r>
        <w:rPr>
          <w:rFonts w:ascii="仿宋" w:eastAsia="仿宋" w:hAnsi="仿宋" w:cs="仿宋" w:hint="eastAsia"/>
          <w:spacing w:val="5"/>
          <w:sz w:val="31"/>
          <w:szCs w:val="31"/>
        </w:rPr>
        <w:t>区</w:t>
      </w:r>
      <w:r>
        <w:rPr>
          <w:rFonts w:ascii="仿宋" w:eastAsia="仿宋" w:hAnsi="仿宋" w:cs="仿宋"/>
          <w:spacing w:val="5"/>
          <w:sz w:val="31"/>
          <w:szCs w:val="31"/>
        </w:rPr>
        <w:t>委经济工作会议要求，对标先进，聚焦营商环境获得用气评价和</w:t>
      </w:r>
      <w:r>
        <w:rPr>
          <w:rFonts w:ascii="仿宋" w:eastAsia="仿宋" w:hAnsi="仿宋" w:cs="仿宋" w:hint="eastAsia"/>
          <w:spacing w:val="5"/>
          <w:sz w:val="31"/>
          <w:szCs w:val="31"/>
        </w:rPr>
        <w:t>市</w:t>
      </w:r>
      <w:r>
        <w:rPr>
          <w:rFonts w:ascii="仿宋" w:eastAsia="仿宋" w:hAnsi="仿宋" w:cs="仿宋"/>
          <w:spacing w:val="5"/>
          <w:sz w:val="31"/>
          <w:szCs w:val="31"/>
        </w:rPr>
        <w:t>场主体反映强烈的突出问题，深入开展专项整改提升行动，补齐短板，巩固成效，全面提升全</w:t>
      </w:r>
      <w:r>
        <w:rPr>
          <w:rFonts w:ascii="仿宋" w:eastAsia="仿宋" w:hAnsi="仿宋" w:cs="仿宋" w:hint="eastAsia"/>
          <w:spacing w:val="5"/>
          <w:sz w:val="31"/>
          <w:szCs w:val="31"/>
        </w:rPr>
        <w:t>区</w:t>
      </w:r>
      <w:r>
        <w:rPr>
          <w:rFonts w:ascii="仿宋" w:eastAsia="仿宋" w:hAnsi="仿宋" w:cs="仿宋"/>
          <w:spacing w:val="5"/>
          <w:sz w:val="31"/>
          <w:szCs w:val="31"/>
        </w:rPr>
        <w:t>用气供给效率和水平，切实降低</w:t>
      </w:r>
      <w:r>
        <w:rPr>
          <w:rFonts w:ascii="仿宋" w:eastAsia="仿宋" w:hAnsi="仿宋" w:cs="仿宋" w:hint="eastAsia"/>
          <w:spacing w:val="5"/>
          <w:sz w:val="31"/>
          <w:szCs w:val="31"/>
        </w:rPr>
        <w:t>市</w:t>
      </w:r>
      <w:r>
        <w:rPr>
          <w:rFonts w:ascii="仿宋" w:eastAsia="仿宋" w:hAnsi="仿宋" w:cs="仿宋"/>
          <w:spacing w:val="5"/>
          <w:sz w:val="31"/>
          <w:szCs w:val="31"/>
        </w:rPr>
        <w:t>场主体成本负担，力争在2022年全省营商环境评价中</w:t>
      </w:r>
      <w:r>
        <w:rPr>
          <w:rFonts w:ascii="仿宋" w:eastAsia="仿宋" w:hAnsi="仿宋" w:cs="仿宋" w:hint="eastAsia"/>
          <w:spacing w:val="5"/>
          <w:sz w:val="31"/>
          <w:szCs w:val="31"/>
        </w:rPr>
        <w:t>力争进入全省第一梯队。</w:t>
      </w:r>
    </w:p>
    <w:p w14:paraId="50F8C6ED"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黑体" w:eastAsia="黑体" w:hAnsi="黑体" w:cs="黑体"/>
          <w:b/>
          <w:bCs/>
          <w:spacing w:val="5"/>
          <w:sz w:val="31"/>
          <w:szCs w:val="31"/>
        </w:rPr>
      </w:pPr>
      <w:r>
        <w:rPr>
          <w:rFonts w:ascii="黑体" w:eastAsia="黑体" w:hAnsi="黑体" w:cs="黑体" w:hint="eastAsia"/>
          <w:b/>
          <w:bCs/>
          <w:spacing w:val="5"/>
          <w:sz w:val="31"/>
          <w:szCs w:val="31"/>
        </w:rPr>
        <w:t>二、工作目标</w:t>
      </w:r>
    </w:p>
    <w:p w14:paraId="72F44B69"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对照国内前沿水平，在《河南省营商环境优化提升行动方案(2022版)》的基础上进一步提升。到2022年底，供气用户报装时间压缩至1个工作日以内(以上时间不包括施工图设计、工程施工、办理相关行政审批等经营企业无法控制的时间)。</w:t>
      </w:r>
    </w:p>
    <w:p w14:paraId="20FDE8C4"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黑体" w:eastAsia="黑体" w:hAnsi="黑体" w:cs="黑体"/>
          <w:b/>
          <w:bCs/>
          <w:spacing w:val="5"/>
          <w:sz w:val="31"/>
          <w:szCs w:val="31"/>
        </w:rPr>
      </w:pPr>
      <w:r>
        <w:rPr>
          <w:rFonts w:ascii="黑体" w:eastAsia="黑体" w:hAnsi="黑体" w:cs="黑体" w:hint="eastAsia"/>
          <w:b/>
          <w:bCs/>
          <w:spacing w:val="5"/>
          <w:sz w:val="31"/>
          <w:szCs w:val="31"/>
        </w:rPr>
        <w:t>三、主要举措</w:t>
      </w:r>
    </w:p>
    <w:p w14:paraId="47D77727"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(一)主动对接服务</w:t>
      </w:r>
    </w:p>
    <w:p w14:paraId="3002E5BE"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将供气报装申请，提前至工程建设许可阶段，与建设工程规划许可证等事项并联办理，且不互为前置。建设单位可在此阶段提出供气报装及接入服务需求，由综合窗口受理后将相关材料推送至供气经营企业，由供气经营企业主动与建</w:t>
      </w:r>
      <w:r>
        <w:rPr>
          <w:rFonts w:ascii="仿宋" w:eastAsia="仿宋" w:hAnsi="仿宋" w:cs="仿宋" w:hint="eastAsia"/>
          <w:spacing w:val="5"/>
          <w:sz w:val="31"/>
          <w:szCs w:val="31"/>
        </w:rPr>
        <w:lastRenderedPageBreak/>
        <w:t>设单位联系，提供上门服务，对接具体技术需求及接入方案。建设用地红线外接入工程要与红线内项目同步推进，在项目施工过程中完成红线外供气设施建设；项目竣工验收后直接办理燃气接入事宜，实现用户零跑腿。</w:t>
      </w:r>
    </w:p>
    <w:p w14:paraId="7A3463F1"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46EAFE0D"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责任单位：</w:t>
      </w:r>
      <w:r>
        <w:rPr>
          <w:rFonts w:ascii="仿宋" w:eastAsia="仿宋" w:hAnsi="仿宋" w:cs="仿宋" w:hint="eastAsia"/>
          <w:spacing w:val="5"/>
          <w:sz w:val="31"/>
          <w:szCs w:val="31"/>
        </w:rPr>
        <w:t>区</w:t>
      </w:r>
      <w:r>
        <w:rPr>
          <w:rFonts w:ascii="仿宋" w:eastAsia="仿宋" w:hAnsi="仿宋" w:cs="仿宋"/>
          <w:spacing w:val="5"/>
          <w:sz w:val="31"/>
          <w:szCs w:val="31"/>
        </w:rPr>
        <w:t>住建局、</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偃师市自然资源和规划局偃师分局偃师分局、偃师中裕燃气有限公司</w:t>
      </w:r>
    </w:p>
    <w:p w14:paraId="402108F9"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(二)进一步压减报装时间</w:t>
      </w:r>
    </w:p>
    <w:p w14:paraId="4E62008A"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一是切实精简办理环节，进一步整合优化燃气报装流程，统一设置为报装开通1个环节。</w:t>
      </w:r>
    </w:p>
    <w:p w14:paraId="20BB7DEF"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二是规范工作流程、压缩工作时间，从受理申请当日起到验收开通，供气经营企业内部审批办理时限不超过1个工作日（以上时间不包括施工图设计及审查、工程施工、办理相关行政审批等经营企业无法控制的时间）。</w:t>
      </w:r>
    </w:p>
    <w:p w14:paraId="53DAFE75"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三是无需新建外线配套工程的，当日受理、当日开通。</w:t>
      </w:r>
    </w:p>
    <w:p w14:paraId="1360B708"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005A704C"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责任单位：</w:t>
      </w:r>
      <w:r>
        <w:rPr>
          <w:rFonts w:ascii="仿宋" w:eastAsia="仿宋" w:hAnsi="仿宋" w:cs="仿宋" w:hint="eastAsia"/>
          <w:spacing w:val="5"/>
          <w:sz w:val="31"/>
          <w:szCs w:val="31"/>
        </w:rPr>
        <w:t>区城市管理局、偃师中裕燃气有限公司</w:t>
      </w:r>
    </w:p>
    <w:p w14:paraId="2892C48A"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(三)提高行政审批效率</w:t>
      </w:r>
    </w:p>
    <w:p w14:paraId="218AAD11"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建设项目用地红线外的燃气接入工程行政审批实行同步申请、并联办理，自然资源、住房城乡建设、城市管理、园林绿化等部门，应公布申请行政审批所需提供资料清单，同步受理、并行办理相关许可。在工程建设项目审批系统中，对红线外燃气接入工程单独设置审批流程，推行告知承诺制，最大限度减少审批材料和审批时间，提高服务事项的接</w:t>
      </w:r>
      <w:r>
        <w:rPr>
          <w:rFonts w:ascii="仿宋" w:eastAsia="仿宋" w:hAnsi="仿宋" w:cs="仿宋" w:hint="eastAsia"/>
          <w:spacing w:val="5"/>
          <w:sz w:val="31"/>
          <w:szCs w:val="31"/>
        </w:rPr>
        <w:lastRenderedPageBreak/>
        <w:t>入效率；材料齐全的，应于5个工作日内完成审批工作。探索社会投资小型低风险工程建设项目的配套燃气接入工程零审批，免行政审批，施工前将施工方案推送至交通、公安、城市管理和市政部门，施工结束后按标准修复道路和绿地。</w:t>
      </w:r>
    </w:p>
    <w:p w14:paraId="601E1940"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7DBB8F4D"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责任单位：</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区</w:t>
      </w:r>
      <w:r>
        <w:rPr>
          <w:rFonts w:ascii="仿宋" w:eastAsia="仿宋" w:hAnsi="仿宋" w:cs="仿宋"/>
          <w:spacing w:val="5"/>
          <w:sz w:val="31"/>
          <w:szCs w:val="31"/>
        </w:rPr>
        <w:t>住建局、</w:t>
      </w:r>
      <w:r>
        <w:rPr>
          <w:rFonts w:ascii="仿宋" w:eastAsia="仿宋" w:hAnsi="仿宋" w:cs="仿宋" w:hint="eastAsia"/>
          <w:spacing w:val="5"/>
          <w:sz w:val="31"/>
          <w:szCs w:val="31"/>
        </w:rPr>
        <w:t>偃师市自然资源和规划局偃师分局偃师分局、区</w:t>
      </w:r>
      <w:r>
        <w:rPr>
          <w:rFonts w:ascii="仿宋" w:eastAsia="仿宋" w:hAnsi="仿宋" w:cs="仿宋"/>
          <w:spacing w:val="5"/>
          <w:sz w:val="31"/>
          <w:szCs w:val="31"/>
        </w:rPr>
        <w:t>政务服务和大数据管理局、</w:t>
      </w:r>
      <w:r>
        <w:rPr>
          <w:rFonts w:ascii="仿宋" w:eastAsia="仿宋" w:hAnsi="仿宋" w:cs="仿宋" w:hint="eastAsia"/>
          <w:spacing w:val="5"/>
          <w:sz w:val="31"/>
          <w:szCs w:val="31"/>
        </w:rPr>
        <w:t>偃师区</w:t>
      </w:r>
      <w:r>
        <w:rPr>
          <w:rFonts w:ascii="仿宋" w:eastAsia="仿宋" w:hAnsi="仿宋" w:cs="仿宋"/>
          <w:spacing w:val="5"/>
          <w:sz w:val="31"/>
          <w:szCs w:val="31"/>
        </w:rPr>
        <w:t>公安局</w:t>
      </w:r>
      <w:r>
        <w:rPr>
          <w:rFonts w:ascii="仿宋" w:eastAsia="仿宋" w:hAnsi="仿宋" w:cs="仿宋" w:hint="eastAsia"/>
          <w:spacing w:val="5"/>
          <w:sz w:val="31"/>
          <w:szCs w:val="31"/>
        </w:rPr>
        <w:t>偃师分局、偃师中裕燃气有限公司</w:t>
      </w:r>
    </w:p>
    <w:p w14:paraId="1F75821F"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(四)外线工程限时</w:t>
      </w:r>
    </w:p>
    <w:p w14:paraId="7A0DB08E"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优化施工组织，高效推进外线工程建设。对用地红线外接入管线在150米以下的小型工程，在取得各项行政审批手续具备施工条件后，5天内完成外线工程施工，进一步压减燃气接入时间。</w:t>
      </w:r>
    </w:p>
    <w:p w14:paraId="7A3B3ADB"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4D4DECC0"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责任单位：</w:t>
      </w:r>
      <w:r>
        <w:rPr>
          <w:rFonts w:ascii="仿宋" w:eastAsia="仿宋" w:hAnsi="仿宋" w:cs="仿宋" w:hint="eastAsia"/>
          <w:spacing w:val="5"/>
          <w:sz w:val="31"/>
          <w:szCs w:val="31"/>
        </w:rPr>
        <w:t>区城市管理局、偃师中裕燃气有限公司</w:t>
      </w:r>
    </w:p>
    <w:p w14:paraId="41807211"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(五)规范收费行为</w:t>
      </w:r>
    </w:p>
    <w:p w14:paraId="77A4DABA"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一是</w:t>
      </w:r>
      <w:r>
        <w:rPr>
          <w:rFonts w:ascii="仿宋" w:eastAsia="仿宋" w:hAnsi="仿宋" w:cs="仿宋"/>
          <w:spacing w:val="5"/>
          <w:sz w:val="31"/>
          <w:szCs w:val="31"/>
        </w:rPr>
        <w:t>按照《国务院办公厅转发国家发展改革委等部门关于清理规范城镇供水供电供气供暖行业收费促进行业高质量发展意见的通知》(国办函〔2020〕129号)和《河南省清理规范城镇供水供电气供暖行业收费促进行业高质量发展实施方案》(豫政办〔2021〕66号)要求，全面清理取消国家和我省明确的各项不合理收费。供气经营企业要按照政府有关规定收取燃气相关费用国家或我省没有相关政策规定的，</w:t>
      </w:r>
      <w:r>
        <w:rPr>
          <w:rFonts w:ascii="仿宋" w:eastAsia="仿宋" w:hAnsi="仿宋" w:cs="仿宋"/>
          <w:spacing w:val="5"/>
          <w:sz w:val="31"/>
          <w:szCs w:val="31"/>
        </w:rPr>
        <w:lastRenderedPageBreak/>
        <w:t>公司不得额外收取其他费用，做到用气企业投资产权边界外“零收费”。并且对红线外施工费用免费。</w:t>
      </w:r>
    </w:p>
    <w:p w14:paraId="0A6808A3"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二是严格按照政府规定的销售价格向终端用户收取用气费用，严禁以气费为基数加收服务类费用或其他费用。</w:t>
      </w:r>
    </w:p>
    <w:p w14:paraId="541FFA74"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三是要建立各项收费及费用分摊相关信息公示制度，对符合相关政策规定的可保留收费项目要列出清单，实行明码标价，做到清单之外无收费。</w:t>
      </w:r>
    </w:p>
    <w:p w14:paraId="69D8188B"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2232759F"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责任单位：</w:t>
      </w:r>
      <w:r>
        <w:rPr>
          <w:rFonts w:ascii="仿宋" w:eastAsia="仿宋" w:hAnsi="仿宋" w:cs="仿宋" w:hint="eastAsia"/>
          <w:spacing w:val="5"/>
          <w:sz w:val="31"/>
          <w:szCs w:val="31"/>
        </w:rPr>
        <w:t>区</w:t>
      </w:r>
      <w:r>
        <w:rPr>
          <w:rFonts w:ascii="仿宋" w:eastAsia="仿宋" w:hAnsi="仿宋" w:cs="仿宋"/>
          <w:spacing w:val="5"/>
          <w:sz w:val="31"/>
          <w:szCs w:val="31"/>
        </w:rPr>
        <w:t>发展改革委、</w:t>
      </w:r>
      <w:r>
        <w:rPr>
          <w:rFonts w:ascii="仿宋" w:eastAsia="仿宋" w:hAnsi="仿宋" w:cs="仿宋" w:hint="eastAsia"/>
          <w:spacing w:val="5"/>
          <w:sz w:val="31"/>
          <w:szCs w:val="31"/>
        </w:rPr>
        <w:t>区市</w:t>
      </w:r>
      <w:r>
        <w:rPr>
          <w:rFonts w:ascii="仿宋" w:eastAsia="仿宋" w:hAnsi="仿宋" w:cs="仿宋"/>
          <w:spacing w:val="5"/>
          <w:sz w:val="31"/>
          <w:szCs w:val="31"/>
        </w:rPr>
        <w:t>场监管局、</w:t>
      </w:r>
      <w:r>
        <w:rPr>
          <w:rFonts w:ascii="仿宋" w:eastAsia="仿宋" w:hAnsi="仿宋" w:cs="仿宋" w:hint="eastAsia"/>
          <w:spacing w:val="5"/>
          <w:sz w:val="31"/>
          <w:szCs w:val="31"/>
        </w:rPr>
        <w:t>区</w:t>
      </w:r>
      <w:r>
        <w:rPr>
          <w:rFonts w:ascii="仿宋" w:eastAsia="仿宋" w:hAnsi="仿宋" w:cs="仿宋"/>
          <w:spacing w:val="5"/>
          <w:sz w:val="31"/>
          <w:szCs w:val="31"/>
        </w:rPr>
        <w:t>财政局、</w:t>
      </w:r>
      <w:r>
        <w:rPr>
          <w:rFonts w:ascii="仿宋" w:eastAsia="仿宋" w:hAnsi="仿宋" w:cs="仿宋" w:hint="eastAsia"/>
          <w:spacing w:val="5"/>
          <w:sz w:val="31"/>
          <w:szCs w:val="31"/>
        </w:rPr>
        <w:t>区城市管理局、偃师中裕燃气有限公司</w:t>
      </w:r>
    </w:p>
    <w:p w14:paraId="04D72889"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(六)提升服务水平</w:t>
      </w:r>
    </w:p>
    <w:p w14:paraId="4D3AC618"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一是增强服务意识，进一步改善现有办理渠道，拓展在线办理途径，推动</w:t>
      </w:r>
      <w:r>
        <w:rPr>
          <w:rFonts w:ascii="仿宋" w:eastAsia="仿宋" w:hAnsi="仿宋" w:cs="仿宋"/>
          <w:spacing w:val="5"/>
          <w:sz w:val="31"/>
          <w:szCs w:val="31"/>
        </w:rPr>
        <w:t>申请报装、维修、过户、缴费等</w:t>
      </w:r>
      <w:r>
        <w:rPr>
          <w:rFonts w:ascii="仿宋" w:eastAsia="仿宋" w:hAnsi="仿宋" w:cs="仿宋" w:hint="eastAsia"/>
          <w:spacing w:val="5"/>
          <w:sz w:val="31"/>
          <w:szCs w:val="31"/>
        </w:rPr>
        <w:t>线上“一网通办”，线下“一窗受理”，切实为用户提供“一站式”服务。</w:t>
      </w:r>
    </w:p>
    <w:p w14:paraId="62CE54A4"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二是加大推广和服务力度，加大线上业务办理的比例，提升业务办理效率。</w:t>
      </w:r>
    </w:p>
    <w:p w14:paraId="20921430"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三是</w:t>
      </w:r>
      <w:r>
        <w:rPr>
          <w:rFonts w:ascii="仿宋" w:eastAsia="仿宋" w:hAnsi="仿宋" w:cs="仿宋"/>
          <w:spacing w:val="5"/>
          <w:sz w:val="31"/>
          <w:szCs w:val="31"/>
        </w:rPr>
        <w:t>加强服务投诉监管力度，建立投诉事项、舆情动态、重点问题及疑难投诉处理情况分析研判机制，加强投诉处理监控力度，对投诉督办案件实施100%回访，提高用户满意度</w:t>
      </w:r>
      <w:r>
        <w:rPr>
          <w:rFonts w:ascii="仿宋" w:eastAsia="仿宋" w:hAnsi="仿宋" w:cs="仿宋" w:hint="eastAsia"/>
          <w:spacing w:val="5"/>
          <w:sz w:val="31"/>
          <w:szCs w:val="31"/>
        </w:rPr>
        <w:t>。</w:t>
      </w:r>
    </w:p>
    <w:p w14:paraId="1F1D2B8A"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3D1C0627"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责任单位：</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区</w:t>
      </w:r>
      <w:r>
        <w:rPr>
          <w:rFonts w:ascii="仿宋" w:eastAsia="仿宋" w:hAnsi="仿宋" w:cs="仿宋"/>
          <w:spacing w:val="5"/>
          <w:sz w:val="31"/>
          <w:szCs w:val="31"/>
        </w:rPr>
        <w:t>政务服务和大数据管理局</w:t>
      </w:r>
      <w:r>
        <w:rPr>
          <w:rFonts w:ascii="仿宋" w:eastAsia="仿宋" w:hAnsi="仿宋" w:cs="仿宋" w:hint="eastAsia"/>
          <w:spacing w:val="5"/>
          <w:sz w:val="31"/>
          <w:szCs w:val="31"/>
        </w:rPr>
        <w:t>、偃师中裕燃气有限公司</w:t>
      </w:r>
    </w:p>
    <w:p w14:paraId="7724E8C5"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lastRenderedPageBreak/>
        <w:t>(七)加快放开经营服务市场</w:t>
      </w:r>
    </w:p>
    <w:p w14:paraId="5E02CF44"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hint="eastAsia"/>
          <w:spacing w:val="5"/>
          <w:sz w:val="31"/>
          <w:szCs w:val="31"/>
        </w:rPr>
        <w:t>深化供气行业体制机制改革，进一步放开市场准入限制，鼓励推进企业主营业务和工程设计施工业务分离，促进设计施工、工程验收、运行维护等环节公平竞争。加快构建供气工程安装竞争性市场体系，利用市场化机制形成供气工程安装收费标准，进一步降低工程安装成本。</w:t>
      </w:r>
    </w:p>
    <w:p w14:paraId="2CD64DBA"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3470B33C"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责任单位：</w:t>
      </w:r>
      <w:r>
        <w:rPr>
          <w:rFonts w:ascii="仿宋" w:eastAsia="仿宋" w:hAnsi="仿宋" w:cs="仿宋" w:hint="eastAsia"/>
          <w:spacing w:val="5"/>
          <w:sz w:val="31"/>
          <w:szCs w:val="31"/>
        </w:rPr>
        <w:t>区</w:t>
      </w:r>
      <w:r>
        <w:rPr>
          <w:rFonts w:ascii="仿宋" w:eastAsia="仿宋" w:hAnsi="仿宋" w:cs="仿宋"/>
          <w:spacing w:val="5"/>
          <w:sz w:val="31"/>
          <w:szCs w:val="31"/>
        </w:rPr>
        <w:t>发展改革委、</w:t>
      </w:r>
      <w:r>
        <w:rPr>
          <w:rFonts w:ascii="仿宋" w:eastAsia="仿宋" w:hAnsi="仿宋" w:cs="仿宋" w:hint="eastAsia"/>
          <w:spacing w:val="5"/>
          <w:sz w:val="31"/>
          <w:szCs w:val="31"/>
        </w:rPr>
        <w:t>区市</w:t>
      </w:r>
      <w:r>
        <w:rPr>
          <w:rFonts w:ascii="仿宋" w:eastAsia="仿宋" w:hAnsi="仿宋" w:cs="仿宋"/>
          <w:spacing w:val="5"/>
          <w:sz w:val="31"/>
          <w:szCs w:val="31"/>
        </w:rPr>
        <w:t>场监管局、</w:t>
      </w:r>
      <w:r>
        <w:rPr>
          <w:rFonts w:ascii="仿宋" w:eastAsia="仿宋" w:hAnsi="仿宋" w:cs="仿宋" w:hint="eastAsia"/>
          <w:spacing w:val="5"/>
          <w:sz w:val="31"/>
          <w:szCs w:val="31"/>
        </w:rPr>
        <w:t>区城市管理局、偃师中裕燃气有限公司</w:t>
      </w:r>
    </w:p>
    <w:p w14:paraId="6298D664"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(八)完善燃气智慧运营系统建设</w:t>
      </w:r>
    </w:p>
    <w:p w14:paraId="1C65B31D"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搭建智能调度、智慧运营、安检可视化等数字化系统，在重点工商业用户实时监控、高中压管网输配状况、智慧运营系统、安检可视化等方面提升燃气企业智能化水平，推动企业向自动化、数字化、网络化、智能化方向梯次推进、提档进阶，促进我</w:t>
      </w:r>
      <w:r>
        <w:rPr>
          <w:rFonts w:ascii="仿宋" w:eastAsia="仿宋" w:hAnsi="仿宋" w:cs="仿宋" w:hint="eastAsia"/>
          <w:spacing w:val="5"/>
          <w:sz w:val="31"/>
          <w:szCs w:val="31"/>
        </w:rPr>
        <w:t>区</w:t>
      </w:r>
      <w:r>
        <w:rPr>
          <w:rFonts w:ascii="仿宋" w:eastAsia="仿宋" w:hAnsi="仿宋" w:cs="仿宋"/>
          <w:spacing w:val="5"/>
          <w:sz w:val="31"/>
          <w:szCs w:val="31"/>
        </w:rPr>
        <w:t>燃气智慧运营系统增效升级。</w:t>
      </w:r>
    </w:p>
    <w:p w14:paraId="049531E3"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6AA7767A"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责任单位：</w:t>
      </w:r>
      <w:r>
        <w:rPr>
          <w:rFonts w:ascii="仿宋" w:eastAsia="仿宋" w:hAnsi="仿宋" w:cs="仿宋" w:hint="eastAsia"/>
          <w:spacing w:val="5"/>
          <w:sz w:val="31"/>
          <w:szCs w:val="31"/>
        </w:rPr>
        <w:t>区城市管理局、偃师中裕燃气有限公司</w:t>
      </w:r>
    </w:p>
    <w:p w14:paraId="35791C2F"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黑体" w:eastAsia="黑体" w:hAnsi="黑体" w:cs="黑体"/>
          <w:b/>
          <w:bCs/>
          <w:spacing w:val="5"/>
          <w:sz w:val="31"/>
          <w:szCs w:val="31"/>
        </w:rPr>
      </w:pPr>
      <w:r>
        <w:rPr>
          <w:rFonts w:ascii="黑体" w:eastAsia="黑体" w:hAnsi="黑体" w:cs="黑体" w:hint="eastAsia"/>
          <w:b/>
          <w:bCs/>
          <w:spacing w:val="5"/>
          <w:sz w:val="31"/>
          <w:szCs w:val="31"/>
        </w:rPr>
        <w:t>四、指标对比</w:t>
      </w:r>
    </w:p>
    <w:tbl>
      <w:tblPr>
        <w:tblStyle w:val="TableNormal"/>
        <w:tblW w:w="932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454"/>
        <w:gridCol w:w="1844"/>
        <w:gridCol w:w="1529"/>
        <w:gridCol w:w="1439"/>
      </w:tblGrid>
      <w:tr w:rsidR="00C97237" w14:paraId="04D41274" w14:textId="77777777">
        <w:trPr>
          <w:trHeight w:val="608"/>
        </w:trPr>
        <w:tc>
          <w:tcPr>
            <w:tcW w:w="3060" w:type="dxa"/>
          </w:tcPr>
          <w:p w14:paraId="023B0634"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指标(项目)</w:t>
            </w:r>
          </w:p>
        </w:tc>
        <w:tc>
          <w:tcPr>
            <w:tcW w:w="1454" w:type="dxa"/>
          </w:tcPr>
          <w:p w14:paraId="2D69A52D"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现状水平</w:t>
            </w:r>
          </w:p>
        </w:tc>
        <w:tc>
          <w:tcPr>
            <w:tcW w:w="1844" w:type="dxa"/>
          </w:tcPr>
          <w:p w14:paraId="48F2703D"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2022年6月目标</w:t>
            </w:r>
          </w:p>
        </w:tc>
        <w:tc>
          <w:tcPr>
            <w:tcW w:w="1529" w:type="dxa"/>
          </w:tcPr>
          <w:p w14:paraId="17C8AA2E"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2022年12月目标</w:t>
            </w:r>
          </w:p>
        </w:tc>
        <w:tc>
          <w:tcPr>
            <w:tcW w:w="1439" w:type="dxa"/>
          </w:tcPr>
          <w:p w14:paraId="08356E45"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国内前沿水平</w:t>
            </w:r>
          </w:p>
        </w:tc>
      </w:tr>
      <w:tr w:rsidR="00C97237" w14:paraId="598E6ACF" w14:textId="77777777">
        <w:trPr>
          <w:trHeight w:val="552"/>
        </w:trPr>
        <w:tc>
          <w:tcPr>
            <w:tcW w:w="3060" w:type="dxa"/>
          </w:tcPr>
          <w:p w14:paraId="56D4A742"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获得用气办理环节(个)</w:t>
            </w:r>
          </w:p>
        </w:tc>
        <w:tc>
          <w:tcPr>
            <w:tcW w:w="1454" w:type="dxa"/>
          </w:tcPr>
          <w:p w14:paraId="372174E1"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2</w:t>
            </w:r>
          </w:p>
        </w:tc>
        <w:tc>
          <w:tcPr>
            <w:tcW w:w="1844" w:type="dxa"/>
          </w:tcPr>
          <w:p w14:paraId="198DB6C7"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1</w:t>
            </w:r>
          </w:p>
        </w:tc>
        <w:tc>
          <w:tcPr>
            <w:tcW w:w="1529" w:type="dxa"/>
          </w:tcPr>
          <w:p w14:paraId="6CA9BE5E"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1</w:t>
            </w:r>
          </w:p>
        </w:tc>
        <w:tc>
          <w:tcPr>
            <w:tcW w:w="1439" w:type="dxa"/>
          </w:tcPr>
          <w:p w14:paraId="46F90054"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2</w:t>
            </w:r>
          </w:p>
        </w:tc>
      </w:tr>
      <w:tr w:rsidR="00C97237" w14:paraId="754D65B3" w14:textId="77777777">
        <w:trPr>
          <w:trHeight w:val="540"/>
        </w:trPr>
        <w:tc>
          <w:tcPr>
            <w:tcW w:w="3060" w:type="dxa"/>
          </w:tcPr>
          <w:p w14:paraId="47A46E4D"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获得用气时间(工作日)</w:t>
            </w:r>
          </w:p>
        </w:tc>
        <w:tc>
          <w:tcPr>
            <w:tcW w:w="1454" w:type="dxa"/>
          </w:tcPr>
          <w:p w14:paraId="0A28576B"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2.5</w:t>
            </w:r>
          </w:p>
        </w:tc>
        <w:tc>
          <w:tcPr>
            <w:tcW w:w="1844" w:type="dxa"/>
          </w:tcPr>
          <w:p w14:paraId="48AE565F"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1</w:t>
            </w:r>
          </w:p>
        </w:tc>
        <w:tc>
          <w:tcPr>
            <w:tcW w:w="1529" w:type="dxa"/>
          </w:tcPr>
          <w:p w14:paraId="633464AF"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1</w:t>
            </w:r>
          </w:p>
        </w:tc>
        <w:tc>
          <w:tcPr>
            <w:tcW w:w="1439" w:type="dxa"/>
          </w:tcPr>
          <w:p w14:paraId="6C07762C"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pacing w:val="8"/>
                <w:sz w:val="20"/>
                <w:szCs w:val="20"/>
              </w:rPr>
            </w:pPr>
            <w:r>
              <w:rPr>
                <w:rFonts w:ascii="仿宋" w:eastAsia="仿宋" w:hAnsi="仿宋" w:cs="仿宋" w:hint="eastAsia"/>
                <w:spacing w:val="8"/>
                <w:sz w:val="20"/>
                <w:szCs w:val="20"/>
              </w:rPr>
              <w:t>2</w:t>
            </w:r>
          </w:p>
        </w:tc>
      </w:tr>
    </w:tbl>
    <w:p w14:paraId="35437DA3"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黑体" w:eastAsia="黑体" w:hAnsi="黑体" w:cs="黑体"/>
          <w:b/>
          <w:bCs/>
          <w:spacing w:val="5"/>
          <w:sz w:val="31"/>
          <w:szCs w:val="31"/>
        </w:rPr>
      </w:pPr>
      <w:r>
        <w:rPr>
          <w:rFonts w:ascii="黑体" w:eastAsia="黑体" w:hAnsi="黑体" w:cs="黑体" w:hint="eastAsia"/>
          <w:b/>
          <w:bCs/>
          <w:spacing w:val="5"/>
          <w:sz w:val="31"/>
          <w:szCs w:val="31"/>
        </w:rPr>
        <w:t>五、保障措施</w:t>
      </w:r>
    </w:p>
    <w:p w14:paraId="7937A88F"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(一)加强组织协调</w:t>
      </w:r>
    </w:p>
    <w:p w14:paraId="674A67B0"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lastRenderedPageBreak/>
        <w:t>结合我</w:t>
      </w:r>
      <w:r>
        <w:rPr>
          <w:rFonts w:ascii="仿宋" w:eastAsia="仿宋" w:hAnsi="仿宋" w:cs="仿宋" w:hint="eastAsia"/>
          <w:spacing w:val="5"/>
          <w:sz w:val="31"/>
          <w:szCs w:val="31"/>
        </w:rPr>
        <w:t>区</w:t>
      </w:r>
      <w:r>
        <w:rPr>
          <w:rFonts w:ascii="仿宋" w:eastAsia="仿宋" w:hAnsi="仿宋" w:cs="仿宋"/>
          <w:spacing w:val="5"/>
          <w:sz w:val="31"/>
          <w:szCs w:val="31"/>
        </w:rPr>
        <w:t>实际，做好涉及供气的审批事项办理工作，搞好组织协调和指导服务，督促</w:t>
      </w:r>
      <w:r>
        <w:rPr>
          <w:rFonts w:ascii="仿宋" w:eastAsia="仿宋" w:hAnsi="仿宋" w:cs="仿宋" w:hint="eastAsia"/>
          <w:spacing w:val="5"/>
          <w:sz w:val="31"/>
          <w:szCs w:val="31"/>
        </w:rPr>
        <w:t>供气经营</w:t>
      </w:r>
      <w:r>
        <w:rPr>
          <w:rFonts w:ascii="仿宋" w:eastAsia="仿宋" w:hAnsi="仿宋" w:cs="仿宋"/>
          <w:spacing w:val="5"/>
          <w:sz w:val="31"/>
          <w:szCs w:val="31"/>
        </w:rPr>
        <w:t>企业抓好落实，并对服务质量、承诺时限等进行监督。</w:t>
      </w:r>
    </w:p>
    <w:p w14:paraId="2C78C0F3"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(二)不断改进提升</w:t>
      </w:r>
    </w:p>
    <w:p w14:paraId="2F8F0757"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在燃气报装工作中，充分听取申请人意见建议，有针对性地加以改进和解决，做好申报资料范本、共性问题解答等基础性工作，提高报装申请一次性成功率。</w:t>
      </w:r>
    </w:p>
    <w:p w14:paraId="1D195F03"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方正楷体_GB2312" w:eastAsia="方正楷体_GB2312" w:hAnsi="方正楷体_GB2312" w:cs="方正楷体_GB2312"/>
          <w:b/>
          <w:bCs/>
          <w:spacing w:val="5"/>
          <w:sz w:val="31"/>
          <w:szCs w:val="31"/>
        </w:rPr>
      </w:pPr>
      <w:r>
        <w:rPr>
          <w:rFonts w:ascii="方正楷体_GB2312" w:eastAsia="方正楷体_GB2312" w:hAnsi="方正楷体_GB2312" w:cs="方正楷体_GB2312" w:hint="eastAsia"/>
          <w:b/>
          <w:bCs/>
          <w:spacing w:val="5"/>
          <w:sz w:val="31"/>
          <w:szCs w:val="31"/>
        </w:rPr>
        <w:t>(三)加强宣传培训</w:t>
      </w:r>
    </w:p>
    <w:p w14:paraId="715EB7B9"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加大有关政策、标准、流程等宣传力度，提前告知所需资料、办事程序、服务内容、办理时限及收费标准等注意事项。加强对窗口工作人员的培训，提高服务质量和办事效率，提升办事企业和群众的满意度。</w:t>
      </w:r>
    </w:p>
    <w:p w14:paraId="59BB38E7" w14:textId="77777777" w:rsidR="00C97237" w:rsidRDefault="00C97237">
      <w:pPr>
        <w:widowControl/>
        <w:kinsoku w:val="0"/>
        <w:autoSpaceDE w:val="0"/>
        <w:autoSpaceDN w:val="0"/>
        <w:adjustRightInd w:val="0"/>
        <w:snapToGrid w:val="0"/>
        <w:spacing w:line="580" w:lineRule="exact"/>
        <w:ind w:right="81" w:firstLineChars="200" w:firstLine="660"/>
        <w:textAlignment w:val="baseline"/>
        <w:rPr>
          <w:rFonts w:ascii="仿宋" w:eastAsia="仿宋" w:hAnsi="仿宋" w:cs="仿宋"/>
          <w:strike/>
          <w:spacing w:val="5"/>
          <w:sz w:val="32"/>
          <w:szCs w:val="32"/>
        </w:rPr>
      </w:pPr>
    </w:p>
    <w:p w14:paraId="7E82EA21" w14:textId="77777777" w:rsidR="00C97237" w:rsidRDefault="00C97237">
      <w:pPr>
        <w:spacing w:line="580" w:lineRule="exact"/>
        <w:jc w:val="center"/>
        <w:rPr>
          <w:rFonts w:ascii="黑体" w:eastAsia="黑体" w:hAnsi="黑体" w:cs="黑体"/>
          <w:sz w:val="44"/>
          <w:szCs w:val="44"/>
        </w:rPr>
      </w:pPr>
    </w:p>
    <w:p w14:paraId="7F5CE99F" w14:textId="77777777" w:rsidR="00C97237" w:rsidRDefault="00C97237">
      <w:pPr>
        <w:spacing w:line="580" w:lineRule="exact"/>
        <w:jc w:val="center"/>
        <w:rPr>
          <w:rFonts w:ascii="黑体" w:eastAsia="黑体" w:hAnsi="黑体" w:cs="黑体"/>
          <w:sz w:val="44"/>
          <w:szCs w:val="44"/>
        </w:rPr>
      </w:pPr>
    </w:p>
    <w:p w14:paraId="2A7B7FDC" w14:textId="77777777" w:rsidR="00C97237" w:rsidRDefault="00C97237">
      <w:pPr>
        <w:spacing w:line="580" w:lineRule="exact"/>
        <w:jc w:val="center"/>
        <w:rPr>
          <w:rFonts w:ascii="黑体" w:eastAsia="黑体" w:hAnsi="黑体" w:cs="黑体"/>
          <w:sz w:val="44"/>
          <w:szCs w:val="44"/>
        </w:rPr>
      </w:pPr>
    </w:p>
    <w:p w14:paraId="5EE4E194" w14:textId="77777777" w:rsidR="00C97237" w:rsidRDefault="00C97237">
      <w:pPr>
        <w:spacing w:line="580" w:lineRule="exact"/>
        <w:jc w:val="center"/>
        <w:rPr>
          <w:rFonts w:ascii="黑体" w:eastAsia="黑体" w:hAnsi="黑体" w:cs="黑体"/>
          <w:sz w:val="44"/>
          <w:szCs w:val="44"/>
        </w:rPr>
      </w:pPr>
    </w:p>
    <w:p w14:paraId="0DAECF9F" w14:textId="77777777" w:rsidR="00C97237" w:rsidRDefault="00C97237">
      <w:pPr>
        <w:spacing w:line="580" w:lineRule="exact"/>
        <w:jc w:val="center"/>
        <w:rPr>
          <w:rFonts w:ascii="黑体" w:eastAsia="黑体" w:hAnsi="黑体" w:cs="黑体"/>
          <w:sz w:val="44"/>
          <w:szCs w:val="44"/>
        </w:rPr>
      </w:pPr>
    </w:p>
    <w:p w14:paraId="065FCCF9" w14:textId="77777777" w:rsidR="00C97237" w:rsidRDefault="00C97237">
      <w:pPr>
        <w:spacing w:line="580" w:lineRule="exact"/>
        <w:jc w:val="center"/>
        <w:rPr>
          <w:rFonts w:ascii="黑体" w:eastAsia="黑体" w:hAnsi="黑体" w:cs="黑体"/>
          <w:sz w:val="44"/>
          <w:szCs w:val="44"/>
        </w:rPr>
      </w:pPr>
    </w:p>
    <w:p w14:paraId="24472781" w14:textId="77777777" w:rsidR="00C97237" w:rsidRDefault="00C97237">
      <w:pPr>
        <w:spacing w:line="580" w:lineRule="exact"/>
        <w:jc w:val="center"/>
        <w:rPr>
          <w:rFonts w:ascii="黑体" w:eastAsia="黑体" w:hAnsi="黑体" w:cs="黑体"/>
          <w:sz w:val="44"/>
          <w:szCs w:val="44"/>
        </w:rPr>
      </w:pPr>
    </w:p>
    <w:p w14:paraId="58C3386F" w14:textId="77777777" w:rsidR="00C97237" w:rsidRDefault="00C97237">
      <w:pPr>
        <w:spacing w:line="580" w:lineRule="exact"/>
        <w:jc w:val="center"/>
        <w:rPr>
          <w:rFonts w:ascii="黑体" w:eastAsia="黑体" w:hAnsi="黑体" w:cs="黑体"/>
          <w:sz w:val="44"/>
          <w:szCs w:val="44"/>
        </w:rPr>
      </w:pPr>
    </w:p>
    <w:p w14:paraId="5458D97B" w14:textId="77777777" w:rsidR="00C97237" w:rsidRDefault="00C97237">
      <w:pPr>
        <w:spacing w:line="580" w:lineRule="exact"/>
        <w:jc w:val="center"/>
        <w:rPr>
          <w:rFonts w:ascii="黑体" w:eastAsia="黑体" w:hAnsi="黑体" w:cs="黑体"/>
          <w:sz w:val="44"/>
          <w:szCs w:val="44"/>
        </w:rPr>
      </w:pPr>
    </w:p>
    <w:p w14:paraId="6F9C37BF" w14:textId="77777777" w:rsidR="00C97237" w:rsidRDefault="00C97237">
      <w:pPr>
        <w:spacing w:line="580" w:lineRule="exact"/>
        <w:rPr>
          <w:rFonts w:ascii="黑体" w:eastAsia="黑体" w:hAnsi="黑体" w:cs="黑体"/>
          <w:sz w:val="44"/>
          <w:szCs w:val="44"/>
        </w:rPr>
      </w:pPr>
    </w:p>
    <w:p w14:paraId="57138216" w14:textId="77777777" w:rsidR="00C97237" w:rsidRDefault="00000000">
      <w:pPr>
        <w:spacing w:line="580" w:lineRule="exact"/>
        <w:jc w:val="left"/>
        <w:rPr>
          <w:rFonts w:ascii="黑体" w:eastAsia="黑体" w:hAnsi="黑体" w:cs="黑体"/>
          <w:sz w:val="44"/>
          <w:szCs w:val="44"/>
        </w:rPr>
      </w:pPr>
      <w:r>
        <w:rPr>
          <w:rFonts w:ascii="黑体" w:eastAsia="黑体" w:hAnsi="黑体" w:cs="黑体" w:hint="eastAsia"/>
          <w:sz w:val="44"/>
          <w:szCs w:val="44"/>
        </w:rPr>
        <w:t>附件6</w:t>
      </w:r>
    </w:p>
    <w:p w14:paraId="22726ED2"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lastRenderedPageBreak/>
        <w:t>偃师区2022年获得用水提升专项行动方案</w:t>
      </w:r>
    </w:p>
    <w:p w14:paraId="1B122630" w14:textId="77777777" w:rsidR="00C97237" w:rsidRDefault="00C97237">
      <w:pPr>
        <w:spacing w:line="580" w:lineRule="exact"/>
        <w:ind w:firstLine="640"/>
        <w:rPr>
          <w:rFonts w:ascii="仿宋" w:eastAsia="仿宋" w:hAnsi="仿宋" w:cs="仿宋"/>
          <w:sz w:val="32"/>
          <w:szCs w:val="32"/>
        </w:rPr>
      </w:pPr>
    </w:p>
    <w:p w14:paraId="224FC63F" w14:textId="77777777" w:rsidR="00C97237" w:rsidRDefault="00000000">
      <w:pPr>
        <w:ind w:firstLine="640"/>
        <w:rPr>
          <w:rFonts w:ascii="仿宋" w:eastAsia="仿宋" w:hAnsi="仿宋" w:cs="仿宋"/>
          <w:sz w:val="32"/>
          <w:szCs w:val="32"/>
        </w:rPr>
      </w:pPr>
      <w:r>
        <w:rPr>
          <w:rFonts w:ascii="仿宋" w:eastAsia="仿宋" w:hAnsi="仿宋" w:cs="仿宋" w:hint="eastAsia"/>
          <w:sz w:val="32"/>
          <w:szCs w:val="32"/>
        </w:rPr>
        <w:t>为进一步优化营商环境，不断提高人民群众的幸福感、获得感，全面落实《国务院办公厅关于服务“六稳”“六保”进一步做好“放管服”改革有关工作的意见》（国办发</w:t>
      </w:r>
      <w:r>
        <w:rPr>
          <w:rFonts w:ascii="仿宋_GB2312" w:eastAsia="仿宋_GB2312" w:hAnsi="仿宋_GB2312" w:cs="仿宋_GB2312" w:hint="eastAsia"/>
          <w:sz w:val="32"/>
          <w:szCs w:val="32"/>
        </w:rPr>
        <w:t>〔2021〕10号</w:t>
      </w:r>
      <w:r>
        <w:rPr>
          <w:rFonts w:ascii="仿宋" w:eastAsia="仿宋" w:hAnsi="仿宋" w:cs="仿宋" w:hint="eastAsia"/>
          <w:sz w:val="32"/>
          <w:szCs w:val="32"/>
        </w:rPr>
        <w:t>）要求和省、市决策部署，围绕简化办理流程、压缩服务时限、降低成本等方面进一步深化改革，努力为城市发展和人民用水提供优质的供水服务，实现营造快捷、方便、高效、 优质、透明的获得用水营商环境。</w:t>
      </w:r>
    </w:p>
    <w:p w14:paraId="69752B50" w14:textId="77777777" w:rsidR="00C97237" w:rsidRDefault="00000000">
      <w:pPr>
        <w:numPr>
          <w:ilvl w:val="0"/>
          <w:numId w:val="4"/>
        </w:numPr>
        <w:ind w:firstLine="640"/>
        <w:rPr>
          <w:rFonts w:ascii="黑体" w:eastAsia="黑体" w:hAnsi="黑体" w:cs="黑体"/>
          <w:sz w:val="32"/>
          <w:szCs w:val="32"/>
        </w:rPr>
      </w:pPr>
      <w:r>
        <w:rPr>
          <w:rFonts w:ascii="黑体" w:eastAsia="黑体" w:hAnsi="黑体" w:cs="黑体" w:hint="eastAsia"/>
          <w:sz w:val="32"/>
          <w:szCs w:val="32"/>
        </w:rPr>
        <w:t>总体要求：</w:t>
      </w:r>
    </w:p>
    <w:p w14:paraId="4F0B8064" w14:textId="77777777" w:rsidR="00C97237" w:rsidRDefault="00000000">
      <w:pPr>
        <w:ind w:firstLine="640"/>
        <w:rPr>
          <w:rFonts w:ascii="仿宋" w:eastAsia="仿宋" w:hAnsi="仿宋" w:cs="仿宋"/>
          <w:sz w:val="32"/>
          <w:szCs w:val="32"/>
        </w:rPr>
      </w:pPr>
      <w:r>
        <w:rPr>
          <w:rFonts w:ascii="仿宋" w:eastAsia="仿宋" w:hAnsi="仿宋" w:cs="仿宋" w:hint="eastAsia"/>
          <w:sz w:val="32"/>
          <w:szCs w:val="32"/>
        </w:rPr>
        <w:t>坚持以习近平新时代中国特色社会主义思想为引领，按照</w:t>
      </w:r>
      <w:r>
        <w:rPr>
          <w:rFonts w:ascii="仿宋" w:eastAsia="仿宋" w:hAnsi="仿宋" w:cs="仿宋" w:hint="eastAsia"/>
          <w:spacing w:val="5"/>
          <w:sz w:val="31"/>
          <w:szCs w:val="31"/>
        </w:rPr>
        <w:t>市</w:t>
      </w:r>
      <w:r>
        <w:rPr>
          <w:rFonts w:ascii="仿宋" w:eastAsia="仿宋" w:hAnsi="仿宋" w:cs="仿宋"/>
          <w:spacing w:val="5"/>
          <w:sz w:val="31"/>
          <w:szCs w:val="31"/>
        </w:rPr>
        <w:t>第十二次党代会和</w:t>
      </w:r>
      <w:r>
        <w:rPr>
          <w:rFonts w:ascii="仿宋" w:eastAsia="仿宋" w:hAnsi="仿宋" w:cs="仿宋" w:hint="eastAsia"/>
          <w:spacing w:val="5"/>
          <w:sz w:val="31"/>
          <w:szCs w:val="31"/>
        </w:rPr>
        <w:t>区</w:t>
      </w:r>
      <w:r>
        <w:rPr>
          <w:rFonts w:ascii="仿宋" w:eastAsia="仿宋" w:hAnsi="仿宋" w:cs="仿宋"/>
          <w:spacing w:val="5"/>
          <w:sz w:val="31"/>
          <w:szCs w:val="31"/>
        </w:rPr>
        <w:t>委经济工作会议要求，</w:t>
      </w:r>
      <w:r>
        <w:rPr>
          <w:rFonts w:ascii="仿宋" w:eastAsia="仿宋" w:hAnsi="仿宋" w:cs="仿宋" w:hint="eastAsia"/>
          <w:sz w:val="32"/>
          <w:szCs w:val="32"/>
        </w:rPr>
        <w:t>对标先进，聚焦营商环境评价和企业反映的突出问题，强化改革创新，探索实施一批突破性引领性的改革服务举措，持续优化我区获得用水营商环境。</w:t>
      </w:r>
    </w:p>
    <w:p w14:paraId="07495E7D" w14:textId="77777777" w:rsidR="00C97237" w:rsidRDefault="00000000">
      <w:pPr>
        <w:ind w:firstLineChars="200" w:firstLine="640"/>
        <w:rPr>
          <w:rFonts w:ascii="黑体" w:eastAsia="黑体" w:hAnsi="黑体" w:cs="黑体"/>
          <w:sz w:val="32"/>
          <w:szCs w:val="32"/>
        </w:rPr>
      </w:pPr>
      <w:r>
        <w:rPr>
          <w:rFonts w:ascii="黑体" w:eastAsia="黑体" w:hAnsi="黑体" w:cs="黑体" w:hint="eastAsia"/>
          <w:sz w:val="32"/>
          <w:szCs w:val="32"/>
        </w:rPr>
        <w:t>二、工作目标</w:t>
      </w:r>
    </w:p>
    <w:p w14:paraId="24BA92F1" w14:textId="77777777" w:rsidR="00C97237" w:rsidRDefault="00000000">
      <w:pPr>
        <w:ind w:firstLine="640"/>
        <w:rPr>
          <w:rFonts w:ascii="仿宋" w:eastAsia="仿宋" w:hAnsi="仿宋" w:cs="仿宋"/>
          <w:sz w:val="32"/>
          <w:szCs w:val="32"/>
        </w:rPr>
      </w:pPr>
      <w:r>
        <w:rPr>
          <w:rFonts w:ascii="仿宋" w:eastAsia="仿宋" w:hAnsi="仿宋" w:cs="仿宋" w:hint="eastAsia"/>
          <w:sz w:val="32"/>
          <w:szCs w:val="32"/>
        </w:rPr>
        <w:t>对照国内前沿水平，在《河南省营商环境优化提升行动方案(2022版)》的基础上进一步提升。到2022年12月，供水用户报装时间进一步压缩至1个工作日以内(以上时间不包括施工图设计、工程施工、办理相关行政审批等经营企业无法控制的时间）。</w:t>
      </w:r>
    </w:p>
    <w:p w14:paraId="24A3DD80" w14:textId="77777777" w:rsidR="00C97237" w:rsidRDefault="00000000">
      <w:pPr>
        <w:ind w:firstLineChars="200" w:firstLine="640"/>
        <w:rPr>
          <w:rFonts w:ascii="黑体" w:eastAsia="黑体" w:hAnsi="黑体" w:cs="黑体"/>
          <w:sz w:val="32"/>
          <w:szCs w:val="32"/>
        </w:rPr>
      </w:pPr>
      <w:r>
        <w:rPr>
          <w:rFonts w:ascii="黑体" w:eastAsia="黑体" w:hAnsi="黑体" w:cs="黑体" w:hint="eastAsia"/>
          <w:sz w:val="32"/>
          <w:szCs w:val="32"/>
        </w:rPr>
        <w:t>三、主要举措</w:t>
      </w:r>
    </w:p>
    <w:p w14:paraId="3D7548F3"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sz w:val="32"/>
          <w:szCs w:val="32"/>
        </w:rPr>
        <w:t>一</w:t>
      </w:r>
      <w:r>
        <w:rPr>
          <w:rFonts w:ascii="仿宋" w:eastAsia="仿宋" w:hAnsi="仿宋" w:cs="仿宋" w:hint="eastAsia"/>
          <w:sz w:val="32"/>
          <w:szCs w:val="32"/>
        </w:rPr>
        <w:t>）</w:t>
      </w:r>
      <w:r>
        <w:rPr>
          <w:rFonts w:ascii="仿宋" w:eastAsia="仿宋" w:hAnsi="仿宋" w:cs="仿宋"/>
          <w:sz w:val="32"/>
          <w:szCs w:val="32"/>
        </w:rPr>
        <w:t>主动对接服务</w:t>
      </w:r>
    </w:p>
    <w:p w14:paraId="577C56C3" w14:textId="77777777" w:rsidR="00C97237" w:rsidRDefault="00000000">
      <w:pPr>
        <w:ind w:firstLineChars="200" w:firstLine="640"/>
        <w:rPr>
          <w:rFonts w:ascii="仿宋" w:eastAsia="仿宋" w:hAnsi="仿宋" w:cs="仿宋"/>
          <w:sz w:val="32"/>
          <w:szCs w:val="32"/>
        </w:rPr>
      </w:pPr>
      <w:r>
        <w:rPr>
          <w:rFonts w:ascii="仿宋" w:eastAsia="仿宋" w:hAnsi="仿宋" w:cs="仿宋"/>
          <w:sz w:val="32"/>
          <w:szCs w:val="32"/>
        </w:rPr>
        <w:t>将供水报装申请提前至工程建设许可阶段，与建设工程规划许可证等事项并联办理，且不互为前置。建设单位可在此阶段提出供水报装及接入服务需求，由综合窗口受理后将相关材料推送至</w:t>
      </w:r>
      <w:r>
        <w:rPr>
          <w:rFonts w:ascii="仿宋" w:eastAsia="仿宋" w:hAnsi="仿宋" w:cs="仿宋" w:hint="eastAsia"/>
          <w:sz w:val="32"/>
          <w:szCs w:val="32"/>
        </w:rPr>
        <w:t>供水</w:t>
      </w:r>
      <w:r>
        <w:rPr>
          <w:rFonts w:ascii="仿宋" w:eastAsia="仿宋" w:hAnsi="仿宋" w:cs="仿宋"/>
          <w:sz w:val="32"/>
          <w:szCs w:val="32"/>
        </w:rPr>
        <w:t>企业，由</w:t>
      </w:r>
      <w:r>
        <w:rPr>
          <w:rFonts w:ascii="仿宋" w:eastAsia="仿宋" w:hAnsi="仿宋" w:cs="仿宋" w:hint="eastAsia"/>
          <w:sz w:val="32"/>
          <w:szCs w:val="32"/>
        </w:rPr>
        <w:t>供水</w:t>
      </w:r>
      <w:r>
        <w:rPr>
          <w:rFonts w:ascii="仿宋" w:eastAsia="仿宋" w:hAnsi="仿宋" w:cs="仿宋"/>
          <w:sz w:val="32"/>
          <w:szCs w:val="32"/>
        </w:rPr>
        <w:t>企业主动与建设单位联系，提供上门服务，对接具体技术需求及接入方案。建设用地红线外接入工程要与红线内项目同步推进，在项目施工过程中完成红线外供水设施建设；项目竣工验收后直接办理</w:t>
      </w:r>
      <w:r>
        <w:rPr>
          <w:rFonts w:ascii="仿宋" w:eastAsia="仿宋" w:hAnsi="仿宋" w:cs="仿宋" w:hint="eastAsia"/>
          <w:sz w:val="32"/>
          <w:szCs w:val="32"/>
        </w:rPr>
        <w:t>供</w:t>
      </w:r>
      <w:r>
        <w:rPr>
          <w:rFonts w:ascii="仿宋" w:eastAsia="仿宋" w:hAnsi="仿宋" w:cs="仿宋"/>
          <w:sz w:val="32"/>
          <w:szCs w:val="32"/>
        </w:rPr>
        <w:t>水接入事宜，实现用户零跑腿。</w:t>
      </w:r>
    </w:p>
    <w:p w14:paraId="5819516D"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5E55B397"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责任单位：</w:t>
      </w:r>
      <w:r>
        <w:rPr>
          <w:rFonts w:ascii="仿宋" w:eastAsia="仿宋" w:hAnsi="仿宋" w:cs="仿宋" w:hint="eastAsia"/>
          <w:spacing w:val="5"/>
          <w:sz w:val="31"/>
          <w:szCs w:val="31"/>
        </w:rPr>
        <w:t>区</w:t>
      </w:r>
      <w:r>
        <w:rPr>
          <w:rFonts w:ascii="仿宋" w:eastAsia="仿宋" w:hAnsi="仿宋" w:cs="仿宋"/>
          <w:spacing w:val="5"/>
          <w:sz w:val="31"/>
          <w:szCs w:val="31"/>
        </w:rPr>
        <w:t>住建局、</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偃师市自然资源和规划局偃师分局偃师分局、偃师区亳源水务有限责任公司</w:t>
      </w:r>
    </w:p>
    <w:p w14:paraId="18D77E66" w14:textId="77777777" w:rsidR="00C97237" w:rsidRDefault="00000000">
      <w:pPr>
        <w:numPr>
          <w:ilvl w:val="0"/>
          <w:numId w:val="5"/>
        </w:numPr>
        <w:ind w:firstLine="640"/>
        <w:rPr>
          <w:rFonts w:ascii="黑体" w:eastAsia="黑体" w:hAnsi="黑体" w:cs="黑体"/>
          <w:sz w:val="32"/>
          <w:szCs w:val="32"/>
        </w:rPr>
      </w:pPr>
      <w:r>
        <w:rPr>
          <w:rFonts w:ascii="黑体" w:eastAsia="黑体" w:hAnsi="黑体" w:cs="黑体" w:hint="eastAsia"/>
          <w:sz w:val="32"/>
          <w:szCs w:val="32"/>
        </w:rPr>
        <w:t>进一步压减报装时间</w:t>
      </w:r>
    </w:p>
    <w:p w14:paraId="1E18E107" w14:textId="77777777" w:rsidR="00C97237" w:rsidRDefault="00000000">
      <w:pPr>
        <w:ind w:firstLineChars="200" w:firstLine="640"/>
        <w:rPr>
          <w:rFonts w:ascii="仿宋" w:eastAsia="仿宋" w:hAnsi="仿宋" w:cs="仿宋"/>
          <w:sz w:val="32"/>
          <w:szCs w:val="32"/>
        </w:rPr>
      </w:pPr>
      <w:r>
        <w:rPr>
          <w:rFonts w:ascii="仿宋" w:eastAsia="仿宋" w:hAnsi="仿宋" w:cs="仿宋"/>
          <w:sz w:val="32"/>
          <w:szCs w:val="32"/>
        </w:rPr>
        <w:t>切实精简办理环节，进一步整合优化</w:t>
      </w:r>
      <w:r>
        <w:rPr>
          <w:rFonts w:ascii="仿宋" w:eastAsia="仿宋" w:hAnsi="仿宋" w:cs="仿宋" w:hint="eastAsia"/>
          <w:sz w:val="32"/>
          <w:szCs w:val="32"/>
        </w:rPr>
        <w:t>供</w:t>
      </w:r>
      <w:r>
        <w:rPr>
          <w:rFonts w:ascii="仿宋" w:eastAsia="仿宋" w:hAnsi="仿宋" w:cs="仿宋"/>
          <w:sz w:val="32"/>
          <w:szCs w:val="32"/>
        </w:rPr>
        <w:t>水报装流程，从受理申请到验收开通，</w:t>
      </w:r>
      <w:r>
        <w:rPr>
          <w:rFonts w:ascii="仿宋" w:eastAsia="仿宋" w:hAnsi="仿宋" w:cs="仿宋" w:hint="eastAsia"/>
          <w:sz w:val="32"/>
          <w:szCs w:val="32"/>
        </w:rPr>
        <w:t>供</w:t>
      </w:r>
      <w:r>
        <w:rPr>
          <w:rFonts w:ascii="仿宋" w:eastAsia="仿宋" w:hAnsi="仿宋" w:cs="仿宋"/>
          <w:sz w:val="32"/>
          <w:szCs w:val="32"/>
        </w:rPr>
        <w:t>水经营企业内部审批办理时限</w:t>
      </w:r>
      <w:r>
        <w:rPr>
          <w:rFonts w:ascii="仿宋" w:eastAsia="仿宋" w:hAnsi="仿宋" w:cs="仿宋" w:hint="eastAsia"/>
          <w:sz w:val="32"/>
          <w:szCs w:val="32"/>
        </w:rPr>
        <w:t>为1个环节</w:t>
      </w:r>
      <w:r>
        <w:rPr>
          <w:rFonts w:ascii="仿宋" w:eastAsia="仿宋" w:hAnsi="仿宋" w:cs="仿宋"/>
          <w:sz w:val="32"/>
          <w:szCs w:val="32"/>
        </w:rPr>
        <w:t>1个工作日（以上时间不包括施工图设计及审查、工程施工、办理相关行政审批等经营企业无法控制的时间）。</w:t>
      </w:r>
    </w:p>
    <w:p w14:paraId="3B7D9871"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5C4E0B27"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责任单位：</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偃师区亳源水务有限责任公司</w:t>
      </w:r>
    </w:p>
    <w:p w14:paraId="390ECAC8" w14:textId="77777777" w:rsidR="00C97237" w:rsidRDefault="00000000">
      <w:pPr>
        <w:numPr>
          <w:ilvl w:val="0"/>
          <w:numId w:val="5"/>
        </w:numPr>
        <w:ind w:firstLine="640"/>
        <w:rPr>
          <w:rFonts w:ascii="黑体" w:eastAsia="黑体" w:hAnsi="黑体" w:cs="黑体"/>
          <w:sz w:val="32"/>
          <w:szCs w:val="32"/>
        </w:rPr>
      </w:pPr>
      <w:r>
        <w:rPr>
          <w:rFonts w:ascii="黑体" w:eastAsia="黑体" w:hAnsi="黑体" w:cs="黑体" w:hint="eastAsia"/>
          <w:sz w:val="32"/>
          <w:szCs w:val="32"/>
        </w:rPr>
        <w:t>提高行政审批效率</w:t>
      </w:r>
    </w:p>
    <w:p w14:paraId="07863EEA" w14:textId="77777777" w:rsidR="00C97237" w:rsidRDefault="00000000">
      <w:pPr>
        <w:ind w:firstLineChars="200" w:firstLine="640"/>
        <w:rPr>
          <w:rFonts w:ascii="仿宋" w:eastAsia="仿宋" w:hAnsi="仿宋" w:cs="仿宋"/>
          <w:sz w:val="32"/>
          <w:szCs w:val="32"/>
        </w:rPr>
      </w:pPr>
      <w:r>
        <w:rPr>
          <w:rFonts w:ascii="仿宋" w:eastAsia="仿宋" w:hAnsi="仿宋" w:cs="仿宋"/>
          <w:sz w:val="32"/>
          <w:szCs w:val="32"/>
        </w:rPr>
        <w:t>建设项目用地红线外的</w:t>
      </w:r>
      <w:r>
        <w:rPr>
          <w:rFonts w:ascii="仿宋" w:eastAsia="仿宋" w:hAnsi="仿宋" w:cs="仿宋" w:hint="eastAsia"/>
          <w:sz w:val="32"/>
          <w:szCs w:val="32"/>
        </w:rPr>
        <w:t>供</w:t>
      </w:r>
      <w:r>
        <w:rPr>
          <w:rFonts w:ascii="仿宋" w:eastAsia="仿宋" w:hAnsi="仿宋" w:cs="仿宋"/>
          <w:sz w:val="32"/>
          <w:szCs w:val="32"/>
        </w:rPr>
        <w:t>水接入工程行政审批实行同</w:t>
      </w:r>
      <w:r>
        <w:rPr>
          <w:rFonts w:ascii="仿宋" w:eastAsia="仿宋" w:hAnsi="仿宋" w:cs="仿宋"/>
          <w:sz w:val="32"/>
          <w:szCs w:val="32"/>
        </w:rPr>
        <w:lastRenderedPageBreak/>
        <w:t>步申请、并联办理，自然资源、住房城乡建设、城市管理、园林绿化等部门，应公布申请行政审批所需提供资料清单，同步受理、并行办理相关许可。在工程建设项目审批系统中，对红线外</w:t>
      </w:r>
      <w:r>
        <w:rPr>
          <w:rFonts w:ascii="仿宋" w:eastAsia="仿宋" w:hAnsi="仿宋" w:cs="仿宋" w:hint="eastAsia"/>
          <w:sz w:val="32"/>
          <w:szCs w:val="32"/>
        </w:rPr>
        <w:t>供</w:t>
      </w:r>
      <w:r>
        <w:rPr>
          <w:rFonts w:ascii="仿宋" w:eastAsia="仿宋" w:hAnsi="仿宋" w:cs="仿宋"/>
          <w:sz w:val="32"/>
          <w:szCs w:val="32"/>
        </w:rPr>
        <w:t>水接入工程单独设置审批流程，推行告知承诺制，最大限度减少审批材料和审批时间，提高服务事项的接入效率；材料齐全的，应于5个工作日内完成审批工作。</w:t>
      </w:r>
    </w:p>
    <w:p w14:paraId="44284BD5" w14:textId="77777777" w:rsidR="00C97237" w:rsidRDefault="00000000">
      <w:pPr>
        <w:ind w:firstLineChars="200" w:firstLine="640"/>
        <w:rPr>
          <w:rFonts w:ascii="仿宋" w:eastAsia="仿宋" w:hAnsi="仿宋" w:cs="仿宋"/>
          <w:sz w:val="32"/>
          <w:szCs w:val="32"/>
        </w:rPr>
      </w:pPr>
      <w:r>
        <w:rPr>
          <w:rFonts w:ascii="仿宋" w:eastAsia="仿宋" w:hAnsi="仿宋" w:cs="仿宋"/>
          <w:sz w:val="32"/>
          <w:szCs w:val="32"/>
        </w:rPr>
        <w:t>探索社会投资小型低风险工程建设项目的配套</w:t>
      </w:r>
      <w:r>
        <w:rPr>
          <w:rFonts w:ascii="仿宋" w:eastAsia="仿宋" w:hAnsi="仿宋" w:cs="仿宋" w:hint="eastAsia"/>
          <w:sz w:val="32"/>
          <w:szCs w:val="32"/>
        </w:rPr>
        <w:t>用</w:t>
      </w:r>
      <w:r>
        <w:rPr>
          <w:rFonts w:ascii="仿宋" w:eastAsia="仿宋" w:hAnsi="仿宋" w:cs="仿宋"/>
          <w:sz w:val="32"/>
          <w:szCs w:val="32"/>
        </w:rPr>
        <w:t>水接入工程零审批，免行政审批，施工前将施工方案推送至交通、公安、城市管理和</w:t>
      </w:r>
      <w:r>
        <w:rPr>
          <w:rFonts w:ascii="仿宋" w:eastAsia="仿宋" w:hAnsi="仿宋" w:cs="仿宋" w:hint="eastAsia"/>
          <w:sz w:val="32"/>
          <w:szCs w:val="32"/>
        </w:rPr>
        <w:t>市政部门</w:t>
      </w:r>
      <w:r>
        <w:rPr>
          <w:rFonts w:ascii="仿宋" w:eastAsia="仿宋" w:hAnsi="仿宋" w:cs="仿宋"/>
          <w:sz w:val="32"/>
          <w:szCs w:val="32"/>
        </w:rPr>
        <w:t>，施工结束后按标准修复道路和绿地。</w:t>
      </w:r>
    </w:p>
    <w:p w14:paraId="58F20664"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57EC0644"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z w:val="32"/>
          <w:szCs w:val="32"/>
        </w:rPr>
      </w:pPr>
      <w:r>
        <w:rPr>
          <w:rFonts w:ascii="仿宋" w:eastAsia="仿宋" w:hAnsi="仿宋" w:cs="仿宋" w:hint="eastAsia"/>
          <w:sz w:val="32"/>
          <w:szCs w:val="32"/>
        </w:rPr>
        <w:t>责任单位：</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区</w:t>
      </w:r>
      <w:r>
        <w:rPr>
          <w:rFonts w:ascii="仿宋" w:eastAsia="仿宋" w:hAnsi="仿宋" w:cs="仿宋"/>
          <w:spacing w:val="5"/>
          <w:sz w:val="31"/>
          <w:szCs w:val="31"/>
        </w:rPr>
        <w:t>住建局、</w:t>
      </w:r>
      <w:r>
        <w:rPr>
          <w:rFonts w:ascii="仿宋" w:eastAsia="仿宋" w:hAnsi="仿宋" w:cs="仿宋" w:hint="eastAsia"/>
          <w:spacing w:val="5"/>
          <w:sz w:val="31"/>
          <w:szCs w:val="31"/>
        </w:rPr>
        <w:t>偃师市自然资源和规划局偃师分局偃师分局、区</w:t>
      </w:r>
      <w:r>
        <w:rPr>
          <w:rFonts w:ascii="仿宋" w:eastAsia="仿宋" w:hAnsi="仿宋" w:cs="仿宋"/>
          <w:spacing w:val="5"/>
          <w:sz w:val="31"/>
          <w:szCs w:val="31"/>
        </w:rPr>
        <w:t>政务服务和大数据管理局、</w:t>
      </w:r>
      <w:r>
        <w:rPr>
          <w:rFonts w:ascii="仿宋" w:eastAsia="仿宋" w:hAnsi="仿宋" w:cs="仿宋" w:hint="eastAsia"/>
          <w:spacing w:val="5"/>
          <w:sz w:val="31"/>
          <w:szCs w:val="31"/>
        </w:rPr>
        <w:t>偃师区</w:t>
      </w:r>
      <w:r>
        <w:rPr>
          <w:rFonts w:ascii="仿宋" w:eastAsia="仿宋" w:hAnsi="仿宋" w:cs="仿宋"/>
          <w:spacing w:val="5"/>
          <w:sz w:val="31"/>
          <w:szCs w:val="31"/>
        </w:rPr>
        <w:t>公安局</w:t>
      </w:r>
      <w:r>
        <w:rPr>
          <w:rFonts w:ascii="仿宋" w:eastAsia="仿宋" w:hAnsi="仿宋" w:cs="仿宋" w:hint="eastAsia"/>
          <w:spacing w:val="5"/>
          <w:sz w:val="31"/>
          <w:szCs w:val="31"/>
        </w:rPr>
        <w:t>偃师分局、偃师中裕燃气有限公司</w:t>
      </w:r>
    </w:p>
    <w:p w14:paraId="14B933AD" w14:textId="77777777" w:rsidR="00C97237" w:rsidRDefault="00000000">
      <w:pPr>
        <w:numPr>
          <w:ilvl w:val="0"/>
          <w:numId w:val="5"/>
        </w:numPr>
        <w:ind w:firstLine="640"/>
        <w:rPr>
          <w:rFonts w:ascii="黑体" w:eastAsia="黑体" w:hAnsi="黑体" w:cs="黑体"/>
          <w:sz w:val="32"/>
          <w:szCs w:val="32"/>
        </w:rPr>
      </w:pPr>
      <w:r>
        <w:rPr>
          <w:rFonts w:ascii="黑体" w:eastAsia="黑体" w:hAnsi="黑体" w:cs="黑体" w:hint="eastAsia"/>
          <w:sz w:val="32"/>
          <w:szCs w:val="32"/>
        </w:rPr>
        <w:t>外线工程限时</w:t>
      </w:r>
    </w:p>
    <w:p w14:paraId="20002694" w14:textId="77777777" w:rsidR="00C97237" w:rsidRDefault="00000000">
      <w:pPr>
        <w:ind w:firstLineChars="262" w:firstLine="838"/>
        <w:rPr>
          <w:rFonts w:ascii="仿宋" w:eastAsia="仿宋" w:hAnsi="仿宋" w:cs="仿宋"/>
          <w:sz w:val="32"/>
          <w:szCs w:val="32"/>
        </w:rPr>
      </w:pPr>
      <w:r>
        <w:rPr>
          <w:rFonts w:ascii="仿宋" w:eastAsia="仿宋" w:hAnsi="仿宋" w:cs="仿宋"/>
          <w:sz w:val="32"/>
          <w:szCs w:val="32"/>
        </w:rPr>
        <w:t>优化施工组织，高效推进外线工程建设。对用地红线外接入管线在150米以下的小型工程，在取得各项行政审批手续具备施工条件后，5天内完成外线工程施工，进一步压减</w:t>
      </w:r>
      <w:r>
        <w:rPr>
          <w:rFonts w:ascii="仿宋" w:eastAsia="仿宋" w:hAnsi="仿宋" w:cs="仿宋" w:hint="eastAsia"/>
          <w:sz w:val="32"/>
          <w:szCs w:val="32"/>
        </w:rPr>
        <w:t>供</w:t>
      </w:r>
      <w:r>
        <w:rPr>
          <w:rFonts w:ascii="仿宋" w:eastAsia="仿宋" w:hAnsi="仿宋" w:cs="仿宋"/>
          <w:sz w:val="32"/>
          <w:szCs w:val="32"/>
        </w:rPr>
        <w:t>水接入时间。</w:t>
      </w:r>
    </w:p>
    <w:p w14:paraId="40D4AE1E"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3A289123"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责任单位：</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偃师区亳源水务有限责任公司</w:t>
      </w:r>
    </w:p>
    <w:p w14:paraId="4154B632" w14:textId="77777777" w:rsidR="00C97237" w:rsidRDefault="00000000">
      <w:pPr>
        <w:numPr>
          <w:ilvl w:val="0"/>
          <w:numId w:val="6"/>
        </w:numPr>
        <w:ind w:firstLine="640"/>
        <w:rPr>
          <w:rFonts w:ascii="黑体" w:eastAsia="黑体" w:hAnsi="黑体" w:cs="黑体"/>
          <w:sz w:val="32"/>
          <w:szCs w:val="32"/>
        </w:rPr>
      </w:pPr>
      <w:r>
        <w:rPr>
          <w:rFonts w:ascii="黑体" w:eastAsia="黑体" w:hAnsi="黑体" w:cs="黑体" w:hint="eastAsia"/>
          <w:sz w:val="32"/>
          <w:szCs w:val="32"/>
        </w:rPr>
        <w:lastRenderedPageBreak/>
        <w:t>规范收费行为</w:t>
      </w:r>
    </w:p>
    <w:p w14:paraId="69DE64C4"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按照《国务院办公厅转发国家发展改革委等部门关于清理规范城镇供水供电供气供暖行业收费促进行业高质量发展意见的通知》(国办函〔2020〕129号)和《河南省清理规范城镇供水供电气供暖行业收费促进行业高质量发展实施方案》(豫政办〔2021〕66号)要求，全面清理取消国家和我省明确的各项不合理收费。</w:t>
      </w:r>
      <w:r>
        <w:rPr>
          <w:rFonts w:ascii="仿宋" w:eastAsia="仿宋" w:hAnsi="仿宋" w:cs="仿宋" w:hint="eastAsia"/>
          <w:spacing w:val="5"/>
          <w:sz w:val="31"/>
          <w:szCs w:val="31"/>
        </w:rPr>
        <w:t>城镇规划建设用地范围内，2021年3月1日后，通过出让或划拨等方式取得土地所有权的项目，不得由用户承担建筑区划红线外发生的任何费用（法律法规和相关政策另有规定的除外）；自用户建筑区划红线连接至公共管网发生的接入工程建设，费用由供水公司和当地政府合理分担。供水公司要严格按照政府规定的销售价格向终端用户收取水费，严禁以水费为基数加收服务类费用或其他费用。要建立各项收费及费用分摊相关信息公示制度，对符合相关政策规定的可保留收费项目要列出清单，实行明码标价，做到清单之外无收费。</w:t>
      </w:r>
    </w:p>
    <w:p w14:paraId="13CCB3C8"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2F19CDCF"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z w:val="32"/>
          <w:szCs w:val="32"/>
        </w:rPr>
      </w:pPr>
      <w:r>
        <w:rPr>
          <w:rFonts w:ascii="仿宋" w:eastAsia="仿宋" w:hAnsi="仿宋" w:cs="仿宋"/>
          <w:spacing w:val="5"/>
          <w:sz w:val="31"/>
          <w:szCs w:val="31"/>
        </w:rPr>
        <w:t>责任单位：</w:t>
      </w:r>
      <w:r>
        <w:rPr>
          <w:rFonts w:ascii="仿宋" w:eastAsia="仿宋" w:hAnsi="仿宋" w:cs="仿宋" w:hint="eastAsia"/>
          <w:spacing w:val="5"/>
          <w:sz w:val="31"/>
          <w:szCs w:val="31"/>
        </w:rPr>
        <w:t>区</w:t>
      </w:r>
      <w:r>
        <w:rPr>
          <w:rFonts w:ascii="仿宋" w:eastAsia="仿宋" w:hAnsi="仿宋" w:cs="仿宋"/>
          <w:spacing w:val="5"/>
          <w:sz w:val="31"/>
          <w:szCs w:val="31"/>
        </w:rPr>
        <w:t>发展改革委、</w:t>
      </w:r>
      <w:r>
        <w:rPr>
          <w:rFonts w:ascii="仿宋" w:eastAsia="仿宋" w:hAnsi="仿宋" w:cs="仿宋" w:hint="eastAsia"/>
          <w:spacing w:val="5"/>
          <w:sz w:val="31"/>
          <w:szCs w:val="31"/>
        </w:rPr>
        <w:t>区市</w:t>
      </w:r>
      <w:r>
        <w:rPr>
          <w:rFonts w:ascii="仿宋" w:eastAsia="仿宋" w:hAnsi="仿宋" w:cs="仿宋"/>
          <w:spacing w:val="5"/>
          <w:sz w:val="31"/>
          <w:szCs w:val="31"/>
        </w:rPr>
        <w:t>场监管局、</w:t>
      </w:r>
      <w:r>
        <w:rPr>
          <w:rFonts w:ascii="仿宋" w:eastAsia="仿宋" w:hAnsi="仿宋" w:cs="仿宋" w:hint="eastAsia"/>
          <w:spacing w:val="5"/>
          <w:sz w:val="31"/>
          <w:szCs w:val="31"/>
        </w:rPr>
        <w:t>区</w:t>
      </w:r>
      <w:r>
        <w:rPr>
          <w:rFonts w:ascii="仿宋" w:eastAsia="仿宋" w:hAnsi="仿宋" w:cs="仿宋"/>
          <w:spacing w:val="5"/>
          <w:sz w:val="31"/>
          <w:szCs w:val="31"/>
        </w:rPr>
        <w:t>财政局、</w:t>
      </w:r>
      <w:r>
        <w:rPr>
          <w:rFonts w:ascii="仿宋" w:eastAsia="仿宋" w:hAnsi="仿宋" w:cs="仿宋" w:hint="eastAsia"/>
          <w:spacing w:val="5"/>
          <w:sz w:val="31"/>
          <w:szCs w:val="31"/>
        </w:rPr>
        <w:t>区城市管理局、偃师区亳源水务有限责任公司</w:t>
      </w:r>
    </w:p>
    <w:p w14:paraId="0BF942FD" w14:textId="77777777" w:rsidR="00C97237" w:rsidRDefault="00000000">
      <w:pPr>
        <w:ind w:left="640"/>
        <w:rPr>
          <w:rFonts w:ascii="黑体" w:eastAsia="黑体" w:hAnsi="黑体" w:cs="黑体"/>
          <w:sz w:val="32"/>
          <w:szCs w:val="32"/>
        </w:rPr>
      </w:pPr>
      <w:r>
        <w:rPr>
          <w:rFonts w:ascii="黑体" w:eastAsia="黑体" w:hAnsi="黑体" w:cs="黑体" w:hint="eastAsia"/>
          <w:sz w:val="32"/>
          <w:szCs w:val="32"/>
        </w:rPr>
        <w:t>（六）提升服务水平</w:t>
      </w:r>
    </w:p>
    <w:p w14:paraId="748B8DA4"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增强服务意识，</w:t>
      </w:r>
      <w:r>
        <w:rPr>
          <w:rFonts w:ascii="仿宋" w:eastAsia="仿宋" w:hAnsi="仿宋" w:cs="仿宋"/>
          <w:sz w:val="32"/>
          <w:szCs w:val="32"/>
        </w:rPr>
        <w:t>切实实现线上“一网通办”，线下“一窗受理”，为用户提供“一站式”服务</w:t>
      </w:r>
      <w:r>
        <w:rPr>
          <w:rFonts w:ascii="仿宋" w:eastAsia="仿宋" w:hAnsi="仿宋" w:cs="仿宋" w:hint="eastAsia"/>
          <w:sz w:val="32"/>
          <w:szCs w:val="32"/>
        </w:rPr>
        <w:t>，制定简捷、标准化的服务办理流程，为申请人提供现场咨询、引导和帮办、代办等服务；严格落实服务承诺，接受社会监督。不断推出惠</w:t>
      </w:r>
      <w:r>
        <w:rPr>
          <w:rFonts w:ascii="仿宋" w:eastAsia="仿宋" w:hAnsi="仿宋" w:cs="仿宋" w:hint="eastAsia"/>
          <w:sz w:val="32"/>
          <w:szCs w:val="32"/>
        </w:rPr>
        <w:lastRenderedPageBreak/>
        <w:t>企延伸服务举措，提升用水获得感。</w:t>
      </w:r>
    </w:p>
    <w:p w14:paraId="28C5D373"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484DBAD1"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责任单位：</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偃师区亳源水务有限责任公司</w:t>
      </w:r>
    </w:p>
    <w:p w14:paraId="6904CE2C" w14:textId="77777777" w:rsidR="00C97237" w:rsidRDefault="00000000">
      <w:pPr>
        <w:numPr>
          <w:ilvl w:val="0"/>
          <w:numId w:val="7"/>
        </w:numPr>
        <w:ind w:firstLine="640"/>
        <w:rPr>
          <w:rFonts w:ascii="黑体" w:eastAsia="黑体" w:hAnsi="黑体" w:cs="黑体"/>
          <w:sz w:val="32"/>
          <w:szCs w:val="32"/>
        </w:rPr>
      </w:pPr>
      <w:r>
        <w:rPr>
          <w:rFonts w:ascii="黑体" w:eastAsia="黑体" w:hAnsi="黑体" w:cs="黑体" w:hint="eastAsia"/>
          <w:sz w:val="32"/>
          <w:szCs w:val="32"/>
        </w:rPr>
        <w:t>加快放开经营服务市场</w:t>
      </w:r>
    </w:p>
    <w:p w14:paraId="78665D8D" w14:textId="77777777" w:rsidR="00C97237" w:rsidRDefault="00000000">
      <w:pPr>
        <w:ind w:firstLine="640"/>
        <w:rPr>
          <w:rFonts w:ascii="仿宋" w:eastAsia="仿宋" w:hAnsi="仿宋" w:cs="仿宋"/>
          <w:sz w:val="32"/>
          <w:szCs w:val="32"/>
        </w:rPr>
      </w:pPr>
      <w:r>
        <w:rPr>
          <w:rFonts w:ascii="仿宋" w:eastAsia="仿宋" w:hAnsi="仿宋" w:cs="仿宋" w:hint="eastAsia"/>
          <w:sz w:val="32"/>
          <w:szCs w:val="32"/>
        </w:rPr>
        <w:t>加快构建供水工程安装竞争性市场体系，利用市场化机制形成供水工程安装收费标准，进一步降低工程安装成本。</w:t>
      </w:r>
    </w:p>
    <w:p w14:paraId="0A1FD5D3"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025AACD7"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责任单位：区发展改革委、区市场监管局、</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偃师区亳源水务有限责任公司</w:t>
      </w:r>
    </w:p>
    <w:p w14:paraId="6BA55585" w14:textId="77777777" w:rsidR="00C97237" w:rsidRDefault="00000000">
      <w:pPr>
        <w:ind w:firstLine="640"/>
        <w:rPr>
          <w:rFonts w:ascii="黑体" w:eastAsia="黑体" w:hAnsi="黑体" w:cs="黑体"/>
          <w:sz w:val="32"/>
          <w:szCs w:val="32"/>
        </w:rPr>
      </w:pPr>
      <w:r>
        <w:rPr>
          <w:rFonts w:ascii="黑体" w:eastAsia="黑体" w:hAnsi="黑体" w:cs="黑体" w:hint="eastAsia"/>
          <w:sz w:val="32"/>
          <w:szCs w:val="32"/>
        </w:rPr>
        <w:t>（八）建立用水服务评价机制</w:t>
      </w:r>
    </w:p>
    <w:p w14:paraId="40CECFF9" w14:textId="77777777" w:rsidR="00C97237" w:rsidRDefault="00000000">
      <w:pPr>
        <w:ind w:firstLine="640"/>
        <w:rPr>
          <w:rFonts w:ascii="仿宋" w:eastAsia="仿宋" w:hAnsi="仿宋" w:cs="仿宋"/>
          <w:sz w:val="32"/>
          <w:szCs w:val="32"/>
        </w:rPr>
      </w:pPr>
      <w:r>
        <w:rPr>
          <w:rFonts w:ascii="仿宋" w:eastAsia="仿宋" w:hAnsi="仿宋" w:cs="仿宋"/>
          <w:sz w:val="32"/>
          <w:szCs w:val="32"/>
        </w:rPr>
        <w:t>围绕客户用水生命周期，对接水报装、水质水压保障、抄表收费、业务办理等与用户接触的全部环节，开展满意度评价，主动接受外部监督。以结果为导向，找短板补弱项，不断提升客户满意度</w:t>
      </w:r>
      <w:r>
        <w:rPr>
          <w:rFonts w:ascii="仿宋" w:eastAsia="仿宋" w:hAnsi="仿宋" w:cs="仿宋" w:hint="eastAsia"/>
          <w:sz w:val="32"/>
          <w:szCs w:val="32"/>
        </w:rPr>
        <w:t>。</w:t>
      </w:r>
    </w:p>
    <w:p w14:paraId="590D4937"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6DBEA0F0" w14:textId="77777777" w:rsidR="00C97237" w:rsidRDefault="00000000">
      <w:pPr>
        <w:ind w:firstLine="640"/>
        <w:rPr>
          <w:rFonts w:ascii="仿宋" w:eastAsia="仿宋" w:hAnsi="仿宋" w:cs="仿宋"/>
          <w:sz w:val="32"/>
          <w:szCs w:val="32"/>
        </w:rPr>
      </w:pPr>
      <w:r>
        <w:rPr>
          <w:rFonts w:ascii="仿宋" w:eastAsia="仿宋" w:hAnsi="仿宋" w:cs="仿宋" w:hint="eastAsia"/>
          <w:sz w:val="32"/>
          <w:szCs w:val="32"/>
        </w:rPr>
        <w:t>责任单位：</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偃师区亳源水务有限责任公司</w:t>
      </w:r>
    </w:p>
    <w:p w14:paraId="45310ED9" w14:textId="77777777" w:rsidR="00C97237" w:rsidRDefault="00000000">
      <w:pPr>
        <w:ind w:left="640"/>
        <w:rPr>
          <w:rFonts w:ascii="黑体" w:eastAsia="黑体" w:hAnsi="黑体" w:cs="黑体"/>
          <w:sz w:val="32"/>
          <w:szCs w:val="32"/>
        </w:rPr>
      </w:pPr>
      <w:r>
        <w:rPr>
          <w:rFonts w:ascii="黑体" w:eastAsia="黑体" w:hAnsi="黑体" w:cs="黑体" w:hint="eastAsia"/>
          <w:sz w:val="32"/>
          <w:szCs w:val="32"/>
        </w:rPr>
        <w:t>（九）规范供水企业信息公开，提高工作透明度</w:t>
      </w:r>
    </w:p>
    <w:p w14:paraId="061377D2" w14:textId="77777777" w:rsidR="00C97237" w:rsidRDefault="00000000">
      <w:pPr>
        <w:ind w:firstLineChars="200" w:firstLine="640"/>
        <w:rPr>
          <w:rFonts w:ascii="仿宋" w:eastAsia="仿宋" w:hAnsi="仿宋" w:cs="仿宋"/>
          <w:sz w:val="32"/>
          <w:szCs w:val="32"/>
        </w:rPr>
      </w:pPr>
      <w:r>
        <w:rPr>
          <w:rFonts w:ascii="仿宋" w:eastAsia="仿宋" w:hAnsi="仿宋" w:cs="仿宋"/>
          <w:sz w:val="32"/>
          <w:szCs w:val="32"/>
        </w:rPr>
        <w:t>供水企业要遵循真实、准确、及时、公正、公平、合法和便民的原则，及时主动公开信息。建立健全价格和收费公示制度，</w:t>
      </w:r>
      <w:r>
        <w:rPr>
          <w:rFonts w:ascii="仿宋" w:eastAsia="仿宋" w:hAnsi="仿宋" w:cs="仿宋" w:hint="eastAsia"/>
          <w:sz w:val="32"/>
          <w:szCs w:val="32"/>
        </w:rPr>
        <w:t>凡在提供公共服务过程中与人民群众利益相关的信</w:t>
      </w:r>
      <w:r>
        <w:rPr>
          <w:rFonts w:ascii="仿宋" w:eastAsia="仿宋" w:hAnsi="仿宋" w:cs="仿宋" w:hint="eastAsia"/>
          <w:sz w:val="32"/>
          <w:szCs w:val="32"/>
        </w:rPr>
        <w:lastRenderedPageBreak/>
        <w:t>息应自觉、主动、长期公开。供水企业应当通过多种形式或渠道向用户公开信息，</w:t>
      </w:r>
      <w:r>
        <w:rPr>
          <w:rFonts w:ascii="仿宋" w:eastAsia="仿宋" w:hAnsi="仿宋" w:cs="仿宋"/>
          <w:sz w:val="32"/>
          <w:szCs w:val="32"/>
        </w:rPr>
        <w:t>便于公众了解和知晓。</w:t>
      </w:r>
    </w:p>
    <w:p w14:paraId="33E876BA"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781F8353" w14:textId="77777777" w:rsidR="00C97237" w:rsidRDefault="00000000">
      <w:pPr>
        <w:ind w:firstLine="640"/>
        <w:rPr>
          <w:rFonts w:ascii="仿宋" w:eastAsia="仿宋" w:hAnsi="仿宋" w:cs="仿宋"/>
          <w:sz w:val="32"/>
          <w:szCs w:val="32"/>
        </w:rPr>
      </w:pPr>
      <w:r>
        <w:rPr>
          <w:rFonts w:ascii="仿宋" w:eastAsia="仿宋" w:hAnsi="仿宋" w:cs="仿宋" w:hint="eastAsia"/>
          <w:sz w:val="32"/>
          <w:szCs w:val="32"/>
        </w:rPr>
        <w:t>责任单位：</w:t>
      </w:r>
      <w:r>
        <w:rPr>
          <w:rFonts w:ascii="仿宋" w:eastAsia="仿宋" w:hAnsi="仿宋" w:cs="仿宋" w:hint="eastAsia"/>
          <w:spacing w:val="5"/>
          <w:sz w:val="31"/>
          <w:szCs w:val="31"/>
        </w:rPr>
        <w:t>区城市管理局</w:t>
      </w:r>
      <w:r>
        <w:rPr>
          <w:rFonts w:ascii="仿宋" w:eastAsia="仿宋" w:hAnsi="仿宋" w:cs="仿宋"/>
          <w:spacing w:val="5"/>
          <w:sz w:val="31"/>
          <w:szCs w:val="31"/>
        </w:rPr>
        <w:t>、</w:t>
      </w:r>
      <w:r>
        <w:rPr>
          <w:rFonts w:ascii="仿宋" w:eastAsia="仿宋" w:hAnsi="仿宋" w:cs="仿宋" w:hint="eastAsia"/>
          <w:spacing w:val="5"/>
          <w:sz w:val="31"/>
          <w:szCs w:val="31"/>
        </w:rPr>
        <w:t>偃师区亳源水务有限责任公司</w:t>
      </w:r>
    </w:p>
    <w:p w14:paraId="6BFE0B79" w14:textId="77777777" w:rsidR="00C97237" w:rsidRDefault="00000000">
      <w:pPr>
        <w:ind w:firstLine="640"/>
        <w:rPr>
          <w:rFonts w:ascii="黑体" w:eastAsia="黑体" w:hAnsi="黑体" w:cs="黑体"/>
          <w:sz w:val="32"/>
          <w:szCs w:val="32"/>
        </w:rPr>
      </w:pPr>
      <w:r>
        <w:rPr>
          <w:rFonts w:ascii="黑体" w:eastAsia="黑体" w:hAnsi="黑体" w:cs="黑体" w:hint="eastAsia"/>
          <w:sz w:val="32"/>
          <w:szCs w:val="32"/>
        </w:rPr>
        <w:t>（十）强化智慧水务平台支撑，提升“互联网+供水服务”水平</w:t>
      </w:r>
    </w:p>
    <w:p w14:paraId="0C0B18C5" w14:textId="77777777" w:rsidR="00C97237" w:rsidRDefault="00000000">
      <w:pPr>
        <w:ind w:firstLine="640"/>
        <w:rPr>
          <w:rFonts w:ascii="仿宋" w:eastAsia="仿宋" w:hAnsi="仿宋" w:cs="仿宋"/>
          <w:sz w:val="32"/>
          <w:szCs w:val="32"/>
        </w:rPr>
      </w:pPr>
      <w:r>
        <w:rPr>
          <w:rFonts w:ascii="仿宋" w:eastAsia="仿宋" w:hAnsi="仿宋" w:cs="仿宋"/>
          <w:sz w:val="32"/>
          <w:szCs w:val="32"/>
        </w:rPr>
        <w:t>供水企业要进一步完善涉水业务线上办理渠道，对高频业务项推行“掌上办””网上办”。</w:t>
      </w:r>
      <w:r>
        <w:rPr>
          <w:rFonts w:ascii="仿宋" w:eastAsia="仿宋" w:hAnsi="仿宋" w:cs="仿宋" w:hint="eastAsia"/>
          <w:sz w:val="32"/>
          <w:szCs w:val="32"/>
        </w:rPr>
        <w:t>加</w:t>
      </w:r>
      <w:r>
        <w:rPr>
          <w:rFonts w:ascii="仿宋" w:eastAsia="仿宋" w:hAnsi="仿宋" w:cs="仿宋"/>
          <w:sz w:val="32"/>
          <w:szCs w:val="32"/>
        </w:rPr>
        <w:t>强政企数据共享，积极与工改</w:t>
      </w:r>
      <w:r>
        <w:rPr>
          <w:rFonts w:ascii="仿宋" w:eastAsia="仿宋" w:hAnsi="仿宋" w:cs="仿宋" w:hint="eastAsia"/>
          <w:sz w:val="32"/>
          <w:szCs w:val="32"/>
        </w:rPr>
        <w:t>等</w:t>
      </w:r>
      <w:r>
        <w:rPr>
          <w:rFonts w:ascii="仿宋" w:eastAsia="仿宋" w:hAnsi="仿宋" w:cs="仿宋"/>
          <w:sz w:val="32"/>
          <w:szCs w:val="32"/>
        </w:rPr>
        <w:t>平台对接，打破“信息壁垒”，实现信息互联互通，提升</w:t>
      </w:r>
      <w:r>
        <w:rPr>
          <w:rFonts w:ascii="仿宋" w:eastAsia="仿宋" w:hAnsi="仿宋" w:cs="仿宋" w:hint="eastAsia"/>
          <w:sz w:val="32"/>
          <w:szCs w:val="32"/>
        </w:rPr>
        <w:t>信</w:t>
      </w:r>
      <w:r>
        <w:rPr>
          <w:rFonts w:ascii="仿宋" w:eastAsia="仿宋" w:hAnsi="仿宋" w:cs="仿宋"/>
          <w:sz w:val="32"/>
          <w:szCs w:val="32"/>
        </w:rPr>
        <w:t>息共享水平，不断提高服务效能和便利度。</w:t>
      </w:r>
    </w:p>
    <w:p w14:paraId="20C20221"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时间节点：2022年12月</w:t>
      </w:r>
    </w:p>
    <w:p w14:paraId="4DD8672E" w14:textId="77777777" w:rsidR="00C97237" w:rsidRDefault="00000000">
      <w:pPr>
        <w:widowControl/>
        <w:kinsoku w:val="0"/>
        <w:autoSpaceDE w:val="0"/>
        <w:autoSpaceDN w:val="0"/>
        <w:adjustRightInd w:val="0"/>
        <w:snapToGrid w:val="0"/>
        <w:spacing w:line="560" w:lineRule="exact"/>
        <w:ind w:right="81" w:firstLineChars="200" w:firstLine="640"/>
        <w:textAlignment w:val="baseline"/>
        <w:rPr>
          <w:rFonts w:ascii="仿宋" w:eastAsia="仿宋" w:hAnsi="仿宋" w:cs="仿宋"/>
          <w:spacing w:val="5"/>
          <w:sz w:val="31"/>
          <w:szCs w:val="31"/>
        </w:rPr>
      </w:pPr>
      <w:r>
        <w:rPr>
          <w:rFonts w:ascii="仿宋" w:eastAsia="仿宋" w:hAnsi="仿宋" w:cs="仿宋"/>
          <w:spacing w:val="5"/>
          <w:sz w:val="31"/>
          <w:szCs w:val="31"/>
        </w:rPr>
        <w:t>责任单位：</w:t>
      </w:r>
      <w:r>
        <w:rPr>
          <w:rFonts w:ascii="仿宋" w:eastAsia="仿宋" w:hAnsi="仿宋" w:cs="仿宋" w:hint="eastAsia"/>
          <w:spacing w:val="5"/>
          <w:sz w:val="31"/>
          <w:szCs w:val="31"/>
        </w:rPr>
        <w:t>区</w:t>
      </w:r>
      <w:r>
        <w:rPr>
          <w:rFonts w:ascii="仿宋" w:eastAsia="仿宋" w:hAnsi="仿宋" w:cs="仿宋"/>
          <w:spacing w:val="5"/>
          <w:sz w:val="31"/>
          <w:szCs w:val="31"/>
        </w:rPr>
        <w:t>发展改革委、</w:t>
      </w:r>
      <w:r>
        <w:rPr>
          <w:rFonts w:ascii="仿宋" w:eastAsia="仿宋" w:hAnsi="仿宋" w:cs="仿宋" w:hint="eastAsia"/>
          <w:spacing w:val="5"/>
          <w:sz w:val="31"/>
          <w:szCs w:val="31"/>
        </w:rPr>
        <w:t>区住建局</w:t>
      </w:r>
      <w:r>
        <w:rPr>
          <w:rFonts w:ascii="仿宋" w:eastAsia="仿宋" w:hAnsi="仿宋" w:cs="仿宋"/>
          <w:spacing w:val="5"/>
          <w:sz w:val="31"/>
          <w:szCs w:val="31"/>
        </w:rPr>
        <w:t>、</w:t>
      </w:r>
      <w:r>
        <w:rPr>
          <w:rFonts w:ascii="仿宋" w:eastAsia="仿宋" w:hAnsi="仿宋" w:cs="仿宋" w:hint="eastAsia"/>
          <w:spacing w:val="5"/>
          <w:sz w:val="31"/>
          <w:szCs w:val="31"/>
        </w:rPr>
        <w:t>区城市管理局、偃师区亳源水务有限责任公司</w:t>
      </w:r>
    </w:p>
    <w:p w14:paraId="01FB3C96" w14:textId="77777777" w:rsidR="00C97237" w:rsidRDefault="00000000">
      <w:pPr>
        <w:widowControl/>
        <w:kinsoku w:val="0"/>
        <w:autoSpaceDE w:val="0"/>
        <w:autoSpaceDN w:val="0"/>
        <w:adjustRightInd w:val="0"/>
        <w:snapToGrid w:val="0"/>
        <w:spacing w:line="560" w:lineRule="exact"/>
        <w:ind w:right="81" w:firstLineChars="200" w:firstLine="642"/>
        <w:textAlignment w:val="baseline"/>
        <w:rPr>
          <w:rFonts w:ascii="黑体" w:eastAsia="黑体" w:hAnsi="黑体" w:cs="黑体"/>
          <w:b/>
          <w:bCs/>
          <w:spacing w:val="5"/>
          <w:sz w:val="31"/>
          <w:szCs w:val="31"/>
        </w:rPr>
      </w:pPr>
      <w:r>
        <w:rPr>
          <w:rFonts w:ascii="黑体" w:eastAsia="黑体" w:hAnsi="黑体" w:cs="黑体" w:hint="eastAsia"/>
          <w:b/>
          <w:bCs/>
          <w:spacing w:val="5"/>
          <w:sz w:val="31"/>
          <w:szCs w:val="31"/>
        </w:rPr>
        <w:t>四、指标对比</w:t>
      </w:r>
    </w:p>
    <w:tbl>
      <w:tblPr>
        <w:tblStyle w:val="TableNormal"/>
        <w:tblW w:w="932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60"/>
        <w:gridCol w:w="1454"/>
        <w:gridCol w:w="1844"/>
        <w:gridCol w:w="1529"/>
        <w:gridCol w:w="1439"/>
      </w:tblGrid>
      <w:tr w:rsidR="00C97237" w14:paraId="62BEE663" w14:textId="77777777">
        <w:trPr>
          <w:trHeight w:val="608"/>
          <w:jc w:val="center"/>
        </w:trPr>
        <w:tc>
          <w:tcPr>
            <w:tcW w:w="3060" w:type="dxa"/>
            <w:vAlign w:val="center"/>
          </w:tcPr>
          <w:p w14:paraId="1E4FF70C" w14:textId="77777777" w:rsidR="00C97237" w:rsidRDefault="00000000">
            <w:pPr>
              <w:widowControl/>
              <w:kinsoku w:val="0"/>
              <w:autoSpaceDE w:val="0"/>
              <w:autoSpaceDN w:val="0"/>
              <w:adjustRightInd w:val="0"/>
              <w:snapToGrid w:val="0"/>
              <w:spacing w:line="560" w:lineRule="exact"/>
              <w:ind w:left="910" w:firstLineChars="200" w:firstLine="428"/>
              <w:jc w:val="center"/>
              <w:textAlignment w:val="baseline"/>
              <w:rPr>
                <w:rFonts w:ascii="仿宋" w:eastAsia="仿宋" w:hAnsi="仿宋" w:cs="仿宋"/>
                <w:sz w:val="20"/>
                <w:szCs w:val="20"/>
              </w:rPr>
            </w:pPr>
            <w:r>
              <w:rPr>
                <w:rFonts w:ascii="仿宋" w:eastAsia="仿宋" w:hAnsi="仿宋" w:cs="仿宋"/>
                <w:spacing w:val="7"/>
                <w:sz w:val="20"/>
                <w:szCs w:val="20"/>
              </w:rPr>
              <w:t>指</w:t>
            </w:r>
            <w:r>
              <w:rPr>
                <w:rFonts w:ascii="仿宋" w:eastAsia="仿宋" w:hAnsi="仿宋" w:cs="仿宋"/>
                <w:spacing w:val="5"/>
                <w:sz w:val="20"/>
                <w:szCs w:val="20"/>
              </w:rPr>
              <w:t>标(项目)</w:t>
            </w:r>
          </w:p>
        </w:tc>
        <w:tc>
          <w:tcPr>
            <w:tcW w:w="1454" w:type="dxa"/>
            <w:vAlign w:val="center"/>
          </w:tcPr>
          <w:p w14:paraId="7CC555CF"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z w:val="20"/>
                <w:szCs w:val="20"/>
              </w:rPr>
            </w:pPr>
            <w:r>
              <w:rPr>
                <w:rFonts w:ascii="仿宋" w:eastAsia="仿宋" w:hAnsi="仿宋" w:cs="仿宋"/>
                <w:spacing w:val="8"/>
                <w:sz w:val="20"/>
                <w:szCs w:val="20"/>
              </w:rPr>
              <w:t>现</w:t>
            </w:r>
            <w:r>
              <w:rPr>
                <w:rFonts w:ascii="仿宋" w:eastAsia="仿宋" w:hAnsi="仿宋" w:cs="仿宋"/>
                <w:spacing w:val="7"/>
                <w:sz w:val="20"/>
                <w:szCs w:val="20"/>
              </w:rPr>
              <w:t>状水平</w:t>
            </w:r>
          </w:p>
        </w:tc>
        <w:tc>
          <w:tcPr>
            <w:tcW w:w="1844" w:type="dxa"/>
            <w:vAlign w:val="center"/>
          </w:tcPr>
          <w:p w14:paraId="3979DDDC"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z w:val="20"/>
                <w:szCs w:val="20"/>
              </w:rPr>
            </w:pPr>
            <w:r>
              <w:rPr>
                <w:rFonts w:ascii="Times New Roman" w:eastAsia="Times New Roman" w:hAnsi="Times New Roman" w:cs="Times New Roman"/>
                <w:spacing w:val="6"/>
                <w:position w:val="6"/>
                <w:sz w:val="20"/>
                <w:szCs w:val="20"/>
              </w:rPr>
              <w:t>2022</w:t>
            </w:r>
            <w:r>
              <w:rPr>
                <w:rFonts w:ascii="Times New Roman" w:hAnsi="Times New Roman" w:cs="Times New Roman" w:hint="eastAsia"/>
                <w:spacing w:val="6"/>
                <w:position w:val="6"/>
                <w:sz w:val="20"/>
                <w:szCs w:val="20"/>
              </w:rPr>
              <w:t>年</w:t>
            </w:r>
            <w:r>
              <w:rPr>
                <w:rFonts w:ascii="Times New Roman" w:hAnsi="Times New Roman" w:cs="Times New Roman" w:hint="eastAsia"/>
                <w:spacing w:val="6"/>
                <w:position w:val="6"/>
                <w:sz w:val="20"/>
                <w:szCs w:val="20"/>
              </w:rPr>
              <w:t>6</w:t>
            </w:r>
            <w:r>
              <w:rPr>
                <w:rFonts w:ascii="Times New Roman" w:hAnsi="Times New Roman" w:cs="Times New Roman" w:hint="eastAsia"/>
                <w:spacing w:val="6"/>
                <w:position w:val="6"/>
                <w:sz w:val="20"/>
                <w:szCs w:val="20"/>
              </w:rPr>
              <w:t>月目标</w:t>
            </w:r>
          </w:p>
        </w:tc>
        <w:tc>
          <w:tcPr>
            <w:tcW w:w="1529" w:type="dxa"/>
            <w:vAlign w:val="center"/>
          </w:tcPr>
          <w:p w14:paraId="13411DE9" w14:textId="77777777" w:rsidR="00C97237" w:rsidRDefault="00000000">
            <w:pPr>
              <w:widowControl/>
              <w:kinsoku w:val="0"/>
              <w:autoSpaceDE w:val="0"/>
              <w:autoSpaceDN w:val="0"/>
              <w:adjustRightInd w:val="0"/>
              <w:snapToGrid w:val="0"/>
              <w:spacing w:line="560" w:lineRule="exact"/>
              <w:jc w:val="center"/>
              <w:textAlignment w:val="baseline"/>
              <w:rPr>
                <w:rFonts w:ascii="仿宋" w:eastAsia="宋体" w:hAnsi="仿宋" w:cs="仿宋"/>
                <w:sz w:val="20"/>
                <w:szCs w:val="20"/>
              </w:rPr>
            </w:pPr>
            <w:r>
              <w:rPr>
                <w:rFonts w:ascii="Times New Roman" w:eastAsia="Times New Roman" w:hAnsi="Times New Roman" w:cs="Times New Roman"/>
                <w:spacing w:val="6"/>
                <w:position w:val="6"/>
                <w:sz w:val="20"/>
                <w:szCs w:val="20"/>
              </w:rPr>
              <w:t>2022</w:t>
            </w:r>
            <w:r>
              <w:rPr>
                <w:rFonts w:ascii="Times New Roman" w:hAnsi="Times New Roman" w:cs="Times New Roman" w:hint="eastAsia"/>
                <w:spacing w:val="6"/>
                <w:position w:val="6"/>
                <w:sz w:val="20"/>
                <w:szCs w:val="20"/>
              </w:rPr>
              <w:t>年</w:t>
            </w:r>
            <w:r>
              <w:rPr>
                <w:rFonts w:ascii="Times New Roman" w:hAnsi="Times New Roman" w:cs="Times New Roman" w:hint="eastAsia"/>
                <w:spacing w:val="6"/>
                <w:position w:val="6"/>
                <w:sz w:val="20"/>
                <w:szCs w:val="20"/>
              </w:rPr>
              <w:t>12</w:t>
            </w:r>
            <w:r>
              <w:rPr>
                <w:rFonts w:ascii="Times New Roman" w:hAnsi="Times New Roman" w:cs="Times New Roman" w:hint="eastAsia"/>
                <w:spacing w:val="6"/>
                <w:position w:val="6"/>
                <w:sz w:val="20"/>
                <w:szCs w:val="20"/>
              </w:rPr>
              <w:t>月目标</w:t>
            </w:r>
          </w:p>
        </w:tc>
        <w:tc>
          <w:tcPr>
            <w:tcW w:w="1439" w:type="dxa"/>
            <w:vAlign w:val="center"/>
          </w:tcPr>
          <w:p w14:paraId="44253714" w14:textId="77777777" w:rsidR="00C97237" w:rsidRDefault="00000000">
            <w:pPr>
              <w:widowControl/>
              <w:kinsoku w:val="0"/>
              <w:autoSpaceDE w:val="0"/>
              <w:autoSpaceDN w:val="0"/>
              <w:adjustRightInd w:val="0"/>
              <w:snapToGrid w:val="0"/>
              <w:spacing w:line="560" w:lineRule="exact"/>
              <w:jc w:val="center"/>
              <w:textAlignment w:val="baseline"/>
              <w:rPr>
                <w:rFonts w:ascii="仿宋" w:eastAsia="仿宋" w:hAnsi="仿宋" w:cs="仿宋"/>
                <w:sz w:val="20"/>
                <w:szCs w:val="20"/>
              </w:rPr>
            </w:pPr>
            <w:r>
              <w:rPr>
                <w:rFonts w:ascii="仿宋" w:eastAsia="仿宋" w:hAnsi="仿宋" w:cs="仿宋"/>
                <w:spacing w:val="1"/>
                <w:position w:val="6"/>
                <w:sz w:val="20"/>
                <w:szCs w:val="20"/>
              </w:rPr>
              <w:t>国内前</w:t>
            </w:r>
            <w:r>
              <w:rPr>
                <w:rFonts w:ascii="仿宋" w:eastAsia="仿宋" w:hAnsi="仿宋" w:cs="仿宋" w:hint="eastAsia"/>
                <w:spacing w:val="1"/>
                <w:position w:val="6"/>
                <w:sz w:val="20"/>
                <w:szCs w:val="20"/>
              </w:rPr>
              <w:t>沿水平</w:t>
            </w:r>
          </w:p>
        </w:tc>
      </w:tr>
      <w:tr w:rsidR="00C97237" w14:paraId="6299D4B8" w14:textId="77777777">
        <w:trPr>
          <w:trHeight w:val="552"/>
          <w:jc w:val="center"/>
        </w:trPr>
        <w:tc>
          <w:tcPr>
            <w:tcW w:w="3060" w:type="dxa"/>
            <w:vAlign w:val="center"/>
          </w:tcPr>
          <w:p w14:paraId="509941ED" w14:textId="77777777" w:rsidR="00C97237" w:rsidRDefault="00000000">
            <w:pPr>
              <w:widowControl/>
              <w:kinsoku w:val="0"/>
              <w:autoSpaceDE w:val="0"/>
              <w:autoSpaceDN w:val="0"/>
              <w:adjustRightInd w:val="0"/>
              <w:snapToGrid w:val="0"/>
              <w:spacing w:line="560" w:lineRule="exact"/>
              <w:ind w:left="390" w:firstLineChars="200" w:firstLine="448"/>
              <w:jc w:val="center"/>
              <w:textAlignment w:val="baseline"/>
              <w:rPr>
                <w:rFonts w:ascii="仿宋" w:eastAsia="仿宋" w:hAnsi="仿宋" w:cs="仿宋"/>
                <w:sz w:val="20"/>
                <w:szCs w:val="20"/>
              </w:rPr>
            </w:pPr>
            <w:r>
              <w:rPr>
                <w:rFonts w:ascii="仿宋" w:eastAsia="仿宋" w:hAnsi="仿宋" w:cs="仿宋"/>
                <w:spacing w:val="12"/>
                <w:sz w:val="20"/>
                <w:szCs w:val="20"/>
              </w:rPr>
              <w:t>获</w:t>
            </w:r>
            <w:r>
              <w:rPr>
                <w:rFonts w:ascii="仿宋" w:eastAsia="仿宋" w:hAnsi="仿宋" w:cs="仿宋"/>
                <w:spacing w:val="8"/>
                <w:sz w:val="20"/>
                <w:szCs w:val="20"/>
              </w:rPr>
              <w:t>得</w:t>
            </w:r>
            <w:r>
              <w:rPr>
                <w:rFonts w:ascii="仿宋" w:eastAsia="仿宋" w:hAnsi="仿宋" w:cs="仿宋"/>
                <w:spacing w:val="6"/>
                <w:sz w:val="20"/>
                <w:szCs w:val="20"/>
              </w:rPr>
              <w:t>用气办理环节(个)</w:t>
            </w:r>
          </w:p>
        </w:tc>
        <w:tc>
          <w:tcPr>
            <w:tcW w:w="1454" w:type="dxa"/>
            <w:vAlign w:val="center"/>
          </w:tcPr>
          <w:p w14:paraId="2282F266" w14:textId="77777777" w:rsidR="00C97237" w:rsidRDefault="00000000">
            <w:pPr>
              <w:widowControl/>
              <w:kinsoku w:val="0"/>
              <w:autoSpaceDE w:val="0"/>
              <w:autoSpaceDN w:val="0"/>
              <w:adjustRightInd w:val="0"/>
              <w:snapToGrid w:val="0"/>
              <w:spacing w:line="560" w:lineRule="exac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4" w:type="dxa"/>
            <w:vAlign w:val="center"/>
          </w:tcPr>
          <w:p w14:paraId="1499E99B" w14:textId="77777777" w:rsidR="00C97237" w:rsidRDefault="00000000">
            <w:pPr>
              <w:widowControl/>
              <w:kinsoku w:val="0"/>
              <w:autoSpaceDE w:val="0"/>
              <w:autoSpaceDN w:val="0"/>
              <w:adjustRightInd w:val="0"/>
              <w:snapToGrid w:val="0"/>
              <w:spacing w:line="560" w:lineRule="exac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29" w:type="dxa"/>
            <w:vAlign w:val="center"/>
          </w:tcPr>
          <w:p w14:paraId="6FA39BC6" w14:textId="77777777" w:rsidR="00C97237" w:rsidRDefault="00000000">
            <w:pPr>
              <w:widowControl/>
              <w:kinsoku w:val="0"/>
              <w:autoSpaceDE w:val="0"/>
              <w:autoSpaceDN w:val="0"/>
              <w:adjustRightInd w:val="0"/>
              <w:snapToGrid w:val="0"/>
              <w:spacing w:line="560" w:lineRule="exac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39" w:type="dxa"/>
            <w:vAlign w:val="center"/>
          </w:tcPr>
          <w:p w14:paraId="729BEB2B" w14:textId="77777777" w:rsidR="00C97237" w:rsidRDefault="00000000">
            <w:pPr>
              <w:widowControl/>
              <w:kinsoku w:val="0"/>
              <w:autoSpaceDE w:val="0"/>
              <w:autoSpaceDN w:val="0"/>
              <w:adjustRightInd w:val="0"/>
              <w:snapToGrid w:val="0"/>
              <w:spacing w:line="560" w:lineRule="exac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C97237" w14:paraId="30C027CA" w14:textId="77777777">
        <w:trPr>
          <w:trHeight w:val="540"/>
          <w:jc w:val="center"/>
        </w:trPr>
        <w:tc>
          <w:tcPr>
            <w:tcW w:w="3060" w:type="dxa"/>
            <w:vAlign w:val="center"/>
          </w:tcPr>
          <w:p w14:paraId="428279AD" w14:textId="77777777" w:rsidR="00C97237" w:rsidRDefault="00000000">
            <w:pPr>
              <w:widowControl/>
              <w:kinsoku w:val="0"/>
              <w:autoSpaceDE w:val="0"/>
              <w:autoSpaceDN w:val="0"/>
              <w:adjustRightInd w:val="0"/>
              <w:snapToGrid w:val="0"/>
              <w:spacing w:line="560" w:lineRule="exact"/>
              <w:ind w:left="390" w:firstLineChars="200" w:firstLine="456"/>
              <w:jc w:val="center"/>
              <w:textAlignment w:val="baseline"/>
              <w:rPr>
                <w:rFonts w:ascii="仿宋" w:eastAsia="仿宋" w:hAnsi="仿宋" w:cs="仿宋"/>
                <w:sz w:val="20"/>
                <w:szCs w:val="20"/>
              </w:rPr>
            </w:pPr>
            <w:r>
              <w:rPr>
                <w:rFonts w:ascii="仿宋" w:eastAsia="仿宋" w:hAnsi="仿宋" w:cs="仿宋"/>
                <w:spacing w:val="14"/>
                <w:sz w:val="20"/>
                <w:szCs w:val="20"/>
              </w:rPr>
              <w:t>获</w:t>
            </w:r>
            <w:r>
              <w:rPr>
                <w:rFonts w:ascii="仿宋" w:eastAsia="仿宋" w:hAnsi="仿宋" w:cs="仿宋"/>
                <w:spacing w:val="9"/>
                <w:sz w:val="20"/>
                <w:szCs w:val="20"/>
              </w:rPr>
              <w:t>得用气时间(工作日)</w:t>
            </w:r>
          </w:p>
        </w:tc>
        <w:tc>
          <w:tcPr>
            <w:tcW w:w="1454" w:type="dxa"/>
            <w:vAlign w:val="center"/>
          </w:tcPr>
          <w:p w14:paraId="2282ABBB" w14:textId="77777777" w:rsidR="00C97237" w:rsidRDefault="00000000">
            <w:pPr>
              <w:widowControl/>
              <w:kinsoku w:val="0"/>
              <w:autoSpaceDE w:val="0"/>
              <w:autoSpaceDN w:val="0"/>
              <w:adjustRightInd w:val="0"/>
              <w:snapToGrid w:val="0"/>
              <w:spacing w:line="560" w:lineRule="exact"/>
              <w:jc w:val="center"/>
              <w:textAlignment w:val="baseline"/>
              <w:rPr>
                <w:rFonts w:ascii="Times New Roman" w:eastAsia="宋体" w:hAnsi="Times New Roman" w:cs="Times New Roman"/>
                <w:sz w:val="20"/>
                <w:szCs w:val="20"/>
              </w:rPr>
            </w:pPr>
            <w:r>
              <w:rPr>
                <w:rFonts w:ascii="Times New Roman" w:hAnsi="Times New Roman" w:cs="Times New Roman" w:hint="eastAsia"/>
                <w:spacing w:val="6"/>
                <w:sz w:val="20"/>
                <w:szCs w:val="20"/>
              </w:rPr>
              <w:t>2</w:t>
            </w:r>
          </w:p>
        </w:tc>
        <w:tc>
          <w:tcPr>
            <w:tcW w:w="1844" w:type="dxa"/>
            <w:vAlign w:val="center"/>
          </w:tcPr>
          <w:p w14:paraId="0A02DC29" w14:textId="77777777" w:rsidR="00C97237" w:rsidRDefault="00000000">
            <w:pPr>
              <w:widowControl/>
              <w:kinsoku w:val="0"/>
              <w:autoSpaceDE w:val="0"/>
              <w:autoSpaceDN w:val="0"/>
              <w:adjustRightInd w:val="0"/>
              <w:snapToGrid w:val="0"/>
              <w:spacing w:line="560" w:lineRule="exac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29" w:type="dxa"/>
            <w:vAlign w:val="center"/>
          </w:tcPr>
          <w:p w14:paraId="2AC4BF5A" w14:textId="77777777" w:rsidR="00C97237" w:rsidRDefault="00000000">
            <w:pPr>
              <w:widowControl/>
              <w:kinsoku w:val="0"/>
              <w:autoSpaceDE w:val="0"/>
              <w:autoSpaceDN w:val="0"/>
              <w:adjustRightInd w:val="0"/>
              <w:snapToGrid w:val="0"/>
              <w:spacing w:line="560" w:lineRule="exac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39" w:type="dxa"/>
            <w:vAlign w:val="center"/>
          </w:tcPr>
          <w:p w14:paraId="58EDAAD9" w14:textId="77777777" w:rsidR="00C97237" w:rsidRDefault="00000000">
            <w:pPr>
              <w:widowControl/>
              <w:kinsoku w:val="0"/>
              <w:autoSpaceDE w:val="0"/>
              <w:autoSpaceDN w:val="0"/>
              <w:adjustRightInd w:val="0"/>
              <w:snapToGrid w:val="0"/>
              <w:spacing w:line="560" w:lineRule="exact"/>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14:paraId="56C34BDF" w14:textId="77777777" w:rsidR="00C97237" w:rsidRDefault="00C97237">
      <w:pPr>
        <w:widowControl/>
        <w:kinsoku w:val="0"/>
        <w:autoSpaceDE w:val="0"/>
        <w:autoSpaceDN w:val="0"/>
        <w:adjustRightInd w:val="0"/>
        <w:snapToGrid w:val="0"/>
        <w:spacing w:line="560" w:lineRule="exact"/>
        <w:ind w:right="81"/>
        <w:textAlignment w:val="baseline"/>
        <w:rPr>
          <w:rFonts w:ascii="仿宋" w:eastAsia="仿宋" w:hAnsi="仿宋" w:cs="仿宋"/>
          <w:spacing w:val="5"/>
          <w:sz w:val="31"/>
          <w:szCs w:val="31"/>
        </w:rPr>
      </w:pPr>
    </w:p>
    <w:p w14:paraId="1D427B89" w14:textId="77777777" w:rsidR="00C97237" w:rsidRDefault="00000000">
      <w:pPr>
        <w:ind w:firstLine="640"/>
        <w:rPr>
          <w:rFonts w:ascii="黑体" w:eastAsia="黑体" w:hAnsi="黑体" w:cs="黑体"/>
          <w:sz w:val="32"/>
          <w:szCs w:val="32"/>
        </w:rPr>
      </w:pPr>
      <w:r>
        <w:rPr>
          <w:rFonts w:ascii="黑体" w:eastAsia="黑体" w:hAnsi="黑体" w:cs="黑体" w:hint="eastAsia"/>
          <w:sz w:val="32"/>
          <w:szCs w:val="32"/>
        </w:rPr>
        <w:t>五、保障措施</w:t>
      </w:r>
    </w:p>
    <w:p w14:paraId="1A8A023A" w14:textId="77777777" w:rsidR="00C97237" w:rsidRDefault="00000000">
      <w:pPr>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(一)加强组织协调</w:t>
      </w:r>
    </w:p>
    <w:p w14:paraId="3B841B2D" w14:textId="77777777" w:rsidR="00C97237" w:rsidRDefault="00000000">
      <w:pPr>
        <w:ind w:firstLine="640"/>
        <w:rPr>
          <w:rFonts w:ascii="仿宋" w:eastAsia="仿宋" w:hAnsi="仿宋" w:cs="仿宋"/>
          <w:sz w:val="32"/>
          <w:szCs w:val="32"/>
        </w:rPr>
      </w:pPr>
      <w:r>
        <w:rPr>
          <w:rFonts w:ascii="仿宋" w:eastAsia="仿宋" w:hAnsi="仿宋" w:cs="仿宋"/>
          <w:sz w:val="32"/>
          <w:szCs w:val="32"/>
        </w:rPr>
        <w:t>做好涉及本部门的审批事项办理工作，搞好组织协调和指导服务，督促用水经营企业抓好落实，并对服务质量、承</w:t>
      </w:r>
      <w:r>
        <w:rPr>
          <w:rFonts w:ascii="仿宋" w:eastAsia="仿宋" w:hAnsi="仿宋" w:cs="仿宋"/>
          <w:sz w:val="32"/>
          <w:szCs w:val="32"/>
        </w:rPr>
        <w:lastRenderedPageBreak/>
        <w:t>诺时限等进行监督。</w:t>
      </w:r>
    </w:p>
    <w:p w14:paraId="5613585A" w14:textId="77777777" w:rsidR="00C97237" w:rsidRDefault="00000000">
      <w:pPr>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(二)不断改进提升</w:t>
      </w:r>
    </w:p>
    <w:p w14:paraId="3F3147B7" w14:textId="77777777" w:rsidR="00C97237" w:rsidRDefault="00000000">
      <w:pPr>
        <w:ind w:firstLine="640"/>
        <w:rPr>
          <w:rFonts w:ascii="仿宋" w:eastAsia="仿宋" w:hAnsi="仿宋" w:cs="仿宋"/>
          <w:sz w:val="32"/>
          <w:szCs w:val="32"/>
        </w:rPr>
      </w:pPr>
      <w:r>
        <w:rPr>
          <w:rFonts w:ascii="仿宋" w:eastAsia="仿宋" w:hAnsi="仿宋" w:cs="仿宋"/>
          <w:sz w:val="32"/>
          <w:szCs w:val="32"/>
        </w:rPr>
        <w:t>在用水报装工作中，充分听取申请人意见建议，有针对性地加以改进和解决，做好申报资料范本、共性问题解答等基础性工作，提高报装申请一次性成功率。</w:t>
      </w:r>
    </w:p>
    <w:p w14:paraId="60991B35" w14:textId="77777777" w:rsidR="00C97237" w:rsidRDefault="00000000">
      <w:pPr>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(三)加强宣传培训</w:t>
      </w:r>
    </w:p>
    <w:p w14:paraId="6CB5B763" w14:textId="77777777" w:rsidR="00C97237" w:rsidRDefault="00000000">
      <w:pPr>
        <w:spacing w:line="580" w:lineRule="exact"/>
        <w:jc w:val="left"/>
        <w:rPr>
          <w:rFonts w:ascii="黑体" w:eastAsia="黑体" w:hAnsi="黑体" w:cs="黑体"/>
          <w:sz w:val="44"/>
          <w:szCs w:val="44"/>
        </w:rPr>
      </w:pPr>
      <w:r>
        <w:rPr>
          <w:rFonts w:ascii="仿宋" w:eastAsia="仿宋" w:hAnsi="仿宋" w:cs="仿宋"/>
          <w:sz w:val="32"/>
          <w:szCs w:val="32"/>
        </w:rPr>
        <w:t>加大有关政策、标准、流程等宣传力度，提前告知所需资料、办事程序、服务内容、办理时限及收费标准等注意事项，加强对窗口工作人员的培训，提高服务质量和办事效率，提升办事企业和群众的满意</w:t>
      </w:r>
      <w:r>
        <w:rPr>
          <w:rFonts w:ascii="仿宋" w:eastAsia="仿宋" w:hAnsi="仿宋" w:cs="仿宋" w:hint="eastAsia"/>
          <w:sz w:val="32"/>
          <w:szCs w:val="32"/>
        </w:rPr>
        <w:t>度。</w:t>
      </w:r>
    </w:p>
    <w:p w14:paraId="124949D4" w14:textId="77777777" w:rsidR="00C97237" w:rsidRDefault="00C97237">
      <w:pPr>
        <w:spacing w:line="580" w:lineRule="exact"/>
        <w:jc w:val="left"/>
        <w:rPr>
          <w:rFonts w:ascii="黑体" w:eastAsia="黑体" w:hAnsi="黑体" w:cs="黑体"/>
          <w:sz w:val="44"/>
          <w:szCs w:val="44"/>
        </w:rPr>
      </w:pPr>
    </w:p>
    <w:p w14:paraId="20A1FD0B" w14:textId="77777777" w:rsidR="00C97237" w:rsidRDefault="00C97237">
      <w:pPr>
        <w:spacing w:line="580" w:lineRule="exact"/>
        <w:jc w:val="left"/>
        <w:rPr>
          <w:rFonts w:ascii="黑体" w:eastAsia="黑体" w:hAnsi="黑体" w:cs="黑体"/>
          <w:sz w:val="44"/>
          <w:szCs w:val="44"/>
        </w:rPr>
      </w:pPr>
    </w:p>
    <w:p w14:paraId="01755D3A" w14:textId="77777777" w:rsidR="00C97237" w:rsidRDefault="00C97237">
      <w:pPr>
        <w:spacing w:line="580" w:lineRule="exact"/>
        <w:jc w:val="left"/>
        <w:rPr>
          <w:rFonts w:ascii="黑体" w:eastAsia="黑体" w:hAnsi="黑体" w:cs="黑体"/>
          <w:sz w:val="44"/>
          <w:szCs w:val="44"/>
        </w:rPr>
      </w:pPr>
    </w:p>
    <w:p w14:paraId="0E861F76" w14:textId="77777777" w:rsidR="00C97237" w:rsidRDefault="00C97237">
      <w:pPr>
        <w:spacing w:line="580" w:lineRule="exact"/>
        <w:jc w:val="left"/>
        <w:rPr>
          <w:rFonts w:ascii="黑体" w:eastAsia="黑体" w:hAnsi="黑体" w:cs="黑体"/>
          <w:sz w:val="44"/>
          <w:szCs w:val="44"/>
        </w:rPr>
      </w:pPr>
    </w:p>
    <w:p w14:paraId="4A71BDD8" w14:textId="77777777" w:rsidR="00C97237" w:rsidRDefault="00C97237">
      <w:pPr>
        <w:spacing w:line="580" w:lineRule="exact"/>
        <w:jc w:val="left"/>
        <w:rPr>
          <w:rFonts w:ascii="黑体" w:eastAsia="黑体" w:hAnsi="黑体" w:cs="黑体"/>
          <w:sz w:val="44"/>
          <w:szCs w:val="44"/>
        </w:rPr>
      </w:pPr>
    </w:p>
    <w:p w14:paraId="088CF3DB" w14:textId="77777777" w:rsidR="00C97237" w:rsidRDefault="00C97237">
      <w:pPr>
        <w:spacing w:line="580" w:lineRule="exact"/>
        <w:jc w:val="left"/>
        <w:rPr>
          <w:rFonts w:ascii="黑体" w:eastAsia="黑体" w:hAnsi="黑体" w:cs="黑体"/>
          <w:sz w:val="44"/>
          <w:szCs w:val="44"/>
        </w:rPr>
      </w:pPr>
    </w:p>
    <w:p w14:paraId="2273D567" w14:textId="77777777" w:rsidR="00C97237" w:rsidRDefault="00C97237">
      <w:pPr>
        <w:spacing w:line="580" w:lineRule="exact"/>
        <w:jc w:val="left"/>
        <w:rPr>
          <w:rFonts w:ascii="黑体" w:eastAsia="黑体" w:hAnsi="黑体" w:cs="黑体"/>
          <w:sz w:val="44"/>
          <w:szCs w:val="44"/>
        </w:rPr>
      </w:pPr>
    </w:p>
    <w:p w14:paraId="50CE96C6" w14:textId="77777777" w:rsidR="00C97237" w:rsidRDefault="00C97237">
      <w:pPr>
        <w:spacing w:line="580" w:lineRule="exact"/>
        <w:jc w:val="left"/>
        <w:rPr>
          <w:rFonts w:ascii="黑体" w:eastAsia="黑体" w:hAnsi="黑体" w:cs="黑体"/>
          <w:sz w:val="44"/>
          <w:szCs w:val="44"/>
        </w:rPr>
      </w:pPr>
    </w:p>
    <w:p w14:paraId="207B1946" w14:textId="77777777" w:rsidR="00C97237" w:rsidRDefault="00C97237">
      <w:pPr>
        <w:spacing w:line="580" w:lineRule="exact"/>
        <w:jc w:val="left"/>
        <w:rPr>
          <w:rFonts w:ascii="黑体" w:eastAsia="黑体" w:hAnsi="黑体" w:cs="黑体"/>
          <w:sz w:val="44"/>
          <w:szCs w:val="44"/>
        </w:rPr>
      </w:pPr>
    </w:p>
    <w:p w14:paraId="2D856920" w14:textId="77777777" w:rsidR="00C97237" w:rsidRDefault="00C97237">
      <w:pPr>
        <w:spacing w:line="580" w:lineRule="exact"/>
        <w:jc w:val="left"/>
        <w:rPr>
          <w:rFonts w:ascii="黑体" w:eastAsia="黑体" w:hAnsi="黑体" w:cs="黑体"/>
          <w:sz w:val="44"/>
          <w:szCs w:val="44"/>
        </w:rPr>
      </w:pPr>
    </w:p>
    <w:p w14:paraId="721EAA2B" w14:textId="77777777" w:rsidR="00C97237" w:rsidRDefault="00C97237">
      <w:pPr>
        <w:spacing w:line="580" w:lineRule="exact"/>
        <w:jc w:val="left"/>
        <w:rPr>
          <w:rFonts w:ascii="黑体" w:eastAsia="黑体" w:hAnsi="黑体" w:cs="黑体"/>
          <w:sz w:val="44"/>
          <w:szCs w:val="44"/>
        </w:rPr>
      </w:pPr>
    </w:p>
    <w:p w14:paraId="1D7320A5" w14:textId="77777777" w:rsidR="00C97237" w:rsidRDefault="00C97237">
      <w:pPr>
        <w:spacing w:line="580" w:lineRule="exact"/>
        <w:jc w:val="left"/>
        <w:rPr>
          <w:rFonts w:ascii="黑体" w:eastAsia="黑体" w:hAnsi="黑体" w:cs="黑体"/>
          <w:sz w:val="44"/>
          <w:szCs w:val="44"/>
        </w:rPr>
      </w:pPr>
    </w:p>
    <w:p w14:paraId="64B81881" w14:textId="77777777" w:rsidR="00C97237" w:rsidRDefault="00000000">
      <w:pPr>
        <w:spacing w:line="580" w:lineRule="exact"/>
        <w:jc w:val="left"/>
        <w:rPr>
          <w:rFonts w:ascii="黑体" w:eastAsia="黑体" w:hAnsi="黑体" w:cs="黑体"/>
          <w:sz w:val="44"/>
          <w:szCs w:val="44"/>
        </w:rPr>
      </w:pPr>
      <w:r>
        <w:rPr>
          <w:rFonts w:ascii="黑体" w:eastAsia="黑体" w:hAnsi="黑体" w:cs="黑体" w:hint="eastAsia"/>
          <w:sz w:val="44"/>
          <w:szCs w:val="44"/>
        </w:rPr>
        <w:t>附件7</w:t>
      </w:r>
    </w:p>
    <w:p w14:paraId="05910068"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lastRenderedPageBreak/>
        <w:t>偃师区2022年不动产登记专项提升</w:t>
      </w:r>
    </w:p>
    <w:p w14:paraId="26C94CB5"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t>行动方案</w:t>
      </w:r>
    </w:p>
    <w:p w14:paraId="139074B4" w14:textId="77777777" w:rsidR="00C97237" w:rsidRDefault="00C97237">
      <w:pPr>
        <w:spacing w:line="580" w:lineRule="exact"/>
        <w:jc w:val="center"/>
        <w:rPr>
          <w:rFonts w:ascii="仿宋" w:eastAsia="仿宋" w:hAnsi="仿宋" w:cs="仿宋"/>
          <w:sz w:val="32"/>
          <w:szCs w:val="32"/>
        </w:rPr>
      </w:pPr>
    </w:p>
    <w:p w14:paraId="27D9D2A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落实国家和省、市党委政府关于优化营商环境工作的部署，坚持以为人民服务为中心，切实提升不动产登记服务水平；以“以评促改、以评促优”为目标，努力打造全省营商环境登记财产指标标杆城市，结合我区实际，制定本方案。</w:t>
      </w:r>
    </w:p>
    <w:p w14:paraId="6A73A337"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一、总体要求</w:t>
      </w:r>
    </w:p>
    <w:p w14:paraId="71495E8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以习近平新时代中国特色社会主义思想为指导，深入贯彻党的十九大和十九届历次全会精神，落实党中央、国务院及省、市党委政府关于深化“放管服”改革、优化营商环境一系列决策部署，对标一流标准，学习借鉴国内和省内其他城市先进经验，大胆探索，自我加压，强化工作措施，健全登记制度体系，夯实各项工作基础，持续提升不动产登记服务质量和队伍能力作风建设，提升办事效率，使群众和企业的幸福感得到明显增强。</w:t>
      </w:r>
    </w:p>
    <w:p w14:paraId="26BD44CE"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二、工作目标</w:t>
      </w:r>
    </w:p>
    <w:p w14:paraId="460556C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按照国家和省《优化营商环境条例》与深化“放管服”工作要求，以“一网通办”前提下“最多跑一次…一次都不跑”为目标，持续深化“互联网+不动产登记”改革，强化相关部门信息互通共享，优化“一窗受理”业务流程。按照省、市“全豫通办”工作方案的要求，全面实现全省线上线下融合的不动产登记业务异地可办工作新模式；全面开展</w:t>
      </w:r>
      <w:r>
        <w:rPr>
          <w:rFonts w:ascii="仿宋" w:eastAsia="仿宋" w:hAnsi="仿宋" w:cs="仿宋" w:hint="eastAsia"/>
          <w:sz w:val="32"/>
          <w:szCs w:val="32"/>
        </w:rPr>
        <w:lastRenderedPageBreak/>
        <w:t>“交房即发证”工作；严格落实不动产登记业务办结时限要求，一般登记业务1个工作日内办结，企业以自有房屋办理抵押登记和企业间买卖工业、仓储等非住宅房屋转移登记0.5个工作日内办结，查封、查询、注销等7项登记事项1小时内办结，保持我区不动产登记指标全省优势位次。</w:t>
      </w:r>
    </w:p>
    <w:p w14:paraId="55DFA048"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三、工作措施</w:t>
      </w:r>
    </w:p>
    <w:p w14:paraId="7F14D1A1"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(一)深化“互联网+不动产登记”。</w:t>
      </w:r>
      <w:r>
        <w:rPr>
          <w:rFonts w:ascii="仿宋" w:eastAsia="仿宋" w:hAnsi="仿宋" w:cs="仿宋" w:hint="eastAsia"/>
          <w:sz w:val="32"/>
          <w:szCs w:val="32"/>
        </w:rPr>
        <w:t>充分利用区块链、大数据、云计算、人工智能等新技术，推动“互联网+不动产登记”智慧化发展，全面构建网上缴费、网上缴税、网上申领电子票据渠道，积极推广不动产登记电子证书、电子证明，逐步实现网上缴费、网上缴税。不断完善不动产登记网上办理平台功能，优化线上办理操作简洁度，梳理、整合、再造登记业务流程，构建多层次、多维度不动产登记网上办事渠道，为群众提供多种选择，随时随地可申请；探索建立企业大宗业务互联网批量申请渠道。加大宣传“互联网+不动产登记”相关业务办理流程宣传引导，从而提高不动产登记网上办理平台的使用率，实现由“最多跑一次”到“一次都不跑”的跨越，变“面对面”到“网通网”服务。</w:t>
      </w:r>
    </w:p>
    <w:p w14:paraId="5CBB07C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0E25FB3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责任单位:市自然资源和规划局偃师分局、区财政局、区住建局、区政务服务和大数据管理局、区税务局等。</w:t>
      </w:r>
    </w:p>
    <w:p w14:paraId="62224C7B"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(二)全面实施部门信息互通共享。</w:t>
      </w:r>
      <w:r>
        <w:rPr>
          <w:rFonts w:ascii="仿宋" w:eastAsia="仿宋" w:hAnsi="仿宋" w:cs="仿宋" w:hint="eastAsia"/>
          <w:sz w:val="32"/>
          <w:szCs w:val="32"/>
        </w:rPr>
        <w:t>落实信息共享责任，深化部门信息共享，加强不动产登记机构与住房城乡建设、银保监、卫健委、司法、城市管理、电力、机关事务管理等</w:t>
      </w:r>
      <w:r>
        <w:rPr>
          <w:rFonts w:ascii="仿宋" w:eastAsia="仿宋" w:hAnsi="仿宋" w:cs="仿宋" w:hint="eastAsia"/>
          <w:sz w:val="32"/>
          <w:szCs w:val="32"/>
        </w:rPr>
        <w:lastRenderedPageBreak/>
        <w:t>部门全面对接，实现竣工验收备案信息、房屋交易网签备案信息、金融许可证信息、出生医学证明、死亡医学证明、公证书、司法判决信息、土地房屋调整配置等信息实时共享查核、电子文书信息下载保存服务。推广区块链技术应用智能化场景，精简材料、降低成本、控制风险。不动产登记机构通过共享获得的合法合规电子材料不再作为收件材料，努力实现全过程无纸质材料流转、不见面审批、无接触办理。建立不动产登记综合性信息查询统计系统，定期对共享信息汇总分析、并对各部门使用大数据信息共享平台进行监督。</w:t>
      </w:r>
    </w:p>
    <w:p w14:paraId="58DD080A"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争取在2022年10月底前，实现不动产登记系统与邮政系统对接，不动产登记机构将登记信息推送至邮政业务系统进行集中处理，邮政业务系统建立自动保密封装、核验、自动寻址盖章、送达任务创建，送达流程管控、领取人签收等信息实时推送至“全豫通办”业务服务系统。</w:t>
      </w:r>
    </w:p>
    <w:p w14:paraId="328A3D0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 2022年12月</w:t>
      </w:r>
    </w:p>
    <w:p w14:paraId="7C54F84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 市自然资源和规划局偃师分局、区政务服务和大数据管理局、区法院、区公安局分局、区财政局、区民政局、区司法局、区住建局、区卫健委、区市场监管局、区机关事务管理中心、区税务局、区金融局、区邮政局。</w:t>
      </w:r>
    </w:p>
    <w:p w14:paraId="62C4E254"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(三)推动不动产登记服务向基层延伸，向网络延伸。</w:t>
      </w:r>
      <w:r>
        <w:rPr>
          <w:rFonts w:ascii="仿宋" w:eastAsia="仿宋" w:hAnsi="仿宋" w:cs="仿宋" w:hint="eastAsia"/>
          <w:sz w:val="32"/>
          <w:szCs w:val="32"/>
        </w:rPr>
        <w:t>深化推进和金融服务机构合作，实现抵押登记一站式办理。逐步扩大不动产登记服务点向乡镇(街道)便民服务中心、社区便民服务站点下沉，推广不动产登记向公证机构、法院、金融等部门延伸登记服务，实现公证后即可申请办理相关联的</w:t>
      </w:r>
      <w:r>
        <w:rPr>
          <w:rFonts w:ascii="仿宋" w:eastAsia="仿宋" w:hAnsi="仿宋" w:cs="仿宋" w:hint="eastAsia"/>
          <w:sz w:val="32"/>
          <w:szCs w:val="32"/>
        </w:rPr>
        <w:lastRenderedPageBreak/>
        <w:t>不动产登记业务和不动产执行查控的全流程在线办理。加大数据共享力度，深化不动产登记系统与省一体化政务服务平台对接，实现不动产登记业务通过“豫事办”APP办理。</w:t>
      </w:r>
    </w:p>
    <w:p w14:paraId="362B8F2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401F8E7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 市自然资源和规划局偃师分局、区司法局、区住建局、区税务局、区金融局、区法院。</w:t>
      </w:r>
    </w:p>
    <w:p w14:paraId="15A8D654"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(四)强化“一窗受理”办事窗口。</w:t>
      </w:r>
      <w:r>
        <w:rPr>
          <w:rFonts w:ascii="仿宋" w:eastAsia="仿宋" w:hAnsi="仿宋" w:cs="仿宋" w:hint="eastAsia"/>
          <w:sz w:val="32"/>
          <w:szCs w:val="32"/>
        </w:rPr>
        <w:t>按照“只跑一个窗口、只交一套材料、最多跑一次”的标准，加强部门协作，制定“一窗受理”材料清单，统一收取登记、交易、税务资料，优化线上线下“一窗受理”业务流程，明确各部门职责、办理时限等。升级“综合窗口”，建立业务集成、标准统一的不动产“一窗通办”窗口，即一个窗口可以办理全部业务类型、全部流程环节的不动产登记业务，逐步实现无差别受理、办理的不动产登记业务“一窗通办”，进一步提升不动产登记业务便利度。</w:t>
      </w:r>
    </w:p>
    <w:p w14:paraId="0933145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07A0B79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 市自然资源和规划局偃师分局、区财政局、区住建局、区税务局。</w:t>
      </w:r>
    </w:p>
    <w:p w14:paraId="3BB09943"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(五)全面开展交房即发证工作。</w:t>
      </w:r>
      <w:r>
        <w:rPr>
          <w:rFonts w:ascii="仿宋" w:eastAsia="仿宋" w:hAnsi="仿宋" w:cs="仿宋" w:hint="eastAsia"/>
          <w:sz w:val="32"/>
          <w:szCs w:val="32"/>
        </w:rPr>
        <w:t>根据本地情况制定切实可行的“交房即发证”工作方案，指导督促符合条件的开发企业积极申报，主动协调相关部门依照各自职能提前介入、主动服务、并联审批，深化信息共享集成，不断优化业务流程，综合运用“互联网+不动产登记”、网上核税缴税、移动办证等技术手段，实现新建商品房交房的同时即可为购房</w:t>
      </w:r>
      <w:r>
        <w:rPr>
          <w:rFonts w:ascii="仿宋" w:eastAsia="仿宋" w:hAnsi="仿宋" w:cs="仿宋" w:hint="eastAsia"/>
          <w:sz w:val="32"/>
          <w:szCs w:val="32"/>
        </w:rPr>
        <w:lastRenderedPageBreak/>
        <w:t>人办理不动产权证。</w:t>
      </w:r>
    </w:p>
    <w:p w14:paraId="00F4850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时间节点:2022年6月31日前，建立并完善“交房即发证”相关部门的协作机制；</w:t>
      </w:r>
    </w:p>
    <w:p w14:paraId="3F9FD6F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2022年10月底前，全面启动“交房即发证”工作，确保“交房即发证”工作常态化运行。</w:t>
      </w:r>
    </w:p>
    <w:p w14:paraId="720602B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 市自然资源和规划局偃师分局、区财政局、区住建局、区税务局。</w:t>
      </w:r>
    </w:p>
    <w:p w14:paraId="6BA314FF"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(六)持续推进“全豫通办”改革。</w:t>
      </w:r>
      <w:r>
        <w:rPr>
          <w:rFonts w:ascii="仿宋" w:eastAsia="仿宋" w:hAnsi="仿宋" w:cs="仿宋" w:hint="eastAsia"/>
          <w:sz w:val="32"/>
          <w:szCs w:val="32"/>
        </w:rPr>
        <w:t>在前期完成接入省“全豫通办”业务服务系统、省不动产查控“总对总”服务系统、省非税征缴系统和联调测试工作的基础上，积极与相关部门对接后续工作，持续优化不动产登记异地办业务线上和线下模式相融合、“收办分离”相结合，完善“全豫通办”的工作机制，实现不动产登记、交易和缴税协同联办就近办理、“异地最多跑一次”。加强与省级不动产登记网上“一窗办事”平台对接，实现“跨市通办”。将“全豫通办”窗口与“综合窗口”功能合并，实现无差别受理或收件。</w:t>
      </w:r>
    </w:p>
    <w:p w14:paraId="6A6977D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时间节点:2022年12月，力争全面实现不动产登记、税费缴纳异地可办、“全程网办”。</w:t>
      </w:r>
    </w:p>
    <w:p w14:paraId="6B27610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 市自然资源和规划局偃师分局、区财政局、区住建局、区税务局、区政务服务和大数据管理局。</w:t>
      </w:r>
    </w:p>
    <w:p w14:paraId="60C20EED"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(七)进一步完善不动产登记服务大厅和窗口建设。</w:t>
      </w:r>
      <w:r>
        <w:rPr>
          <w:rFonts w:ascii="仿宋" w:eastAsia="仿宋" w:hAnsi="仿宋" w:cs="仿宋" w:hint="eastAsia"/>
          <w:sz w:val="32"/>
          <w:szCs w:val="32"/>
        </w:rPr>
        <w:t>认真总结不动产登记服务大厅和服务窗口标准化建设，优化实体大厅硬件设施，增设“一窗通办”窗口和“全豫通办”窗口，实现“进一扇门办所有事”。配置综合自助服务设备，实现</w:t>
      </w:r>
      <w:r>
        <w:rPr>
          <w:rFonts w:ascii="仿宋" w:eastAsia="仿宋" w:hAnsi="仿宋" w:cs="仿宋" w:hint="eastAsia"/>
          <w:sz w:val="32"/>
          <w:szCs w:val="32"/>
        </w:rPr>
        <w:lastRenderedPageBreak/>
        <w:t>24小时自助打印证书证明和查询信息，减少群众办理业务等待时间。增强咨询导办力量，做好咨询解答、精准分流，协助群众自助服务，引导辅助群众体验线上办理，让信息多跑路，企业和群众少跑路。</w:t>
      </w:r>
    </w:p>
    <w:p w14:paraId="0FC37BB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596E8269"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 市自然资源和规划局偃师分局、区住建局、区政务服务和大数据管理局、区税务局。</w:t>
      </w:r>
    </w:p>
    <w:p w14:paraId="7F8DC8F0"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(八)进一步降低企业办理成本，提升土地质量管理指数。</w:t>
      </w:r>
      <w:r>
        <w:rPr>
          <w:rFonts w:ascii="仿宋" w:eastAsia="仿宋" w:hAnsi="仿宋" w:cs="仿宋" w:hint="eastAsia"/>
          <w:sz w:val="32"/>
          <w:szCs w:val="32"/>
        </w:rPr>
        <w:t>为减轻企业转移登记成本，激发市场活力，实行小微企业之间存量非住宅不动产转移登记零成本。完善不动产自然状况、查封抵押限制信息、地籍图和宗地图公开查询服务，通过网上查询、现场自助机查询和窗口查询等多种便利化查询方式，实现证书、证明、登记信息查询等服务24小时自助办理。健全投诉处理工作机制，对群众和企业的诉求做到有诉即接、有诉即应、有诉必办、有诉即办。加强对不动产测绘企业和从业人员的监督管理，规范不动产登记权籍调查工作。实行不动产登记办理流程、文件清单、收费目录、登记数量等信息网上公开。</w:t>
      </w:r>
    </w:p>
    <w:p w14:paraId="7D62945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49E3040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 市自然资源和规划局偃师分局。</w:t>
      </w:r>
    </w:p>
    <w:p w14:paraId="251DB88A" w14:textId="77777777" w:rsidR="00C97237" w:rsidRDefault="00C97237">
      <w:pPr>
        <w:spacing w:line="600" w:lineRule="exact"/>
        <w:ind w:firstLineChars="200" w:firstLine="640"/>
        <w:rPr>
          <w:rFonts w:ascii="Times New Roman" w:eastAsia="黑体" w:hAnsi="Times New Roman" w:cs="Times New Roman"/>
          <w:sz w:val="32"/>
          <w:szCs w:val="32"/>
        </w:rPr>
      </w:pPr>
    </w:p>
    <w:p w14:paraId="003D4A9F" w14:textId="77777777" w:rsidR="00C97237" w:rsidRDefault="00000000">
      <w:pPr>
        <w:spacing w:line="600" w:lineRule="exact"/>
        <w:ind w:firstLineChars="200" w:firstLine="640"/>
        <w:rPr>
          <w:rFonts w:ascii="Times New Roman" w:eastAsia="黑体" w:hAnsi="Times New Roman" w:cs="Times New Roman"/>
          <w:sz w:val="28"/>
          <w:szCs w:val="28"/>
        </w:rPr>
      </w:pPr>
      <w:r>
        <w:rPr>
          <w:rFonts w:ascii="Times New Roman" w:eastAsia="黑体" w:hAnsi="Times New Roman" w:cs="Times New Roman"/>
          <w:sz w:val="32"/>
          <w:szCs w:val="32"/>
        </w:rPr>
        <w:t>四、指标对比</w:t>
      </w:r>
    </w:p>
    <w:tbl>
      <w:tblPr>
        <w:tblW w:w="8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287"/>
        <w:gridCol w:w="1596"/>
        <w:gridCol w:w="1704"/>
        <w:gridCol w:w="1565"/>
      </w:tblGrid>
      <w:tr w:rsidR="00C97237" w14:paraId="2FAED3A0" w14:textId="77777777">
        <w:trPr>
          <w:trHeight w:val="838"/>
          <w:jc w:val="center"/>
        </w:trPr>
        <w:tc>
          <w:tcPr>
            <w:tcW w:w="1911" w:type="dxa"/>
            <w:tcBorders>
              <w:top w:val="single" w:sz="4" w:space="0" w:color="auto"/>
              <w:left w:val="single" w:sz="4" w:space="0" w:color="auto"/>
              <w:bottom w:val="single" w:sz="4" w:space="0" w:color="auto"/>
              <w:right w:val="single" w:sz="4" w:space="0" w:color="auto"/>
            </w:tcBorders>
            <w:vAlign w:val="center"/>
          </w:tcPr>
          <w:p w14:paraId="4A6469FD" w14:textId="77777777" w:rsidR="00C97237" w:rsidRDefault="00000000">
            <w:pPr>
              <w:spacing w:line="30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指标（项目）</w:t>
            </w:r>
          </w:p>
        </w:tc>
        <w:tc>
          <w:tcPr>
            <w:tcW w:w="1287" w:type="dxa"/>
            <w:tcBorders>
              <w:top w:val="single" w:sz="4" w:space="0" w:color="auto"/>
              <w:left w:val="nil"/>
              <w:bottom w:val="single" w:sz="4" w:space="0" w:color="auto"/>
              <w:right w:val="single" w:sz="4" w:space="0" w:color="auto"/>
            </w:tcBorders>
            <w:vAlign w:val="center"/>
          </w:tcPr>
          <w:p w14:paraId="0942D98B" w14:textId="77777777" w:rsidR="00C97237" w:rsidRDefault="00000000">
            <w:pPr>
              <w:spacing w:line="30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现状水平</w:t>
            </w:r>
          </w:p>
        </w:tc>
        <w:tc>
          <w:tcPr>
            <w:tcW w:w="1596" w:type="dxa"/>
            <w:tcBorders>
              <w:top w:val="single" w:sz="4" w:space="0" w:color="auto"/>
              <w:left w:val="nil"/>
              <w:bottom w:val="single" w:sz="4" w:space="0" w:color="auto"/>
              <w:right w:val="single" w:sz="4" w:space="0" w:color="auto"/>
            </w:tcBorders>
            <w:vAlign w:val="center"/>
          </w:tcPr>
          <w:p w14:paraId="64A0680F" w14:textId="77777777" w:rsidR="00C97237" w:rsidRDefault="00000000">
            <w:pPr>
              <w:spacing w:line="30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2022</w:t>
            </w:r>
            <w:r>
              <w:rPr>
                <w:rFonts w:ascii="Times New Roman" w:eastAsia="黑体" w:hAnsi="Times New Roman" w:cs="Times New Roman"/>
                <w:kern w:val="0"/>
                <w:szCs w:val="21"/>
              </w:rPr>
              <w:t>年</w:t>
            </w:r>
            <w:r>
              <w:rPr>
                <w:rFonts w:ascii="Times New Roman" w:eastAsia="黑体" w:hAnsi="Times New Roman" w:cs="Times New Roman"/>
                <w:kern w:val="0"/>
                <w:szCs w:val="21"/>
              </w:rPr>
              <w:t>6</w:t>
            </w:r>
            <w:r>
              <w:rPr>
                <w:rFonts w:ascii="Times New Roman" w:eastAsia="黑体" w:hAnsi="Times New Roman" w:cs="Times New Roman"/>
                <w:kern w:val="0"/>
                <w:szCs w:val="21"/>
              </w:rPr>
              <w:t>月</w:t>
            </w:r>
          </w:p>
          <w:p w14:paraId="78C4FAFC" w14:textId="77777777" w:rsidR="00C97237" w:rsidRDefault="00000000">
            <w:pPr>
              <w:spacing w:line="30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目标</w:t>
            </w:r>
          </w:p>
        </w:tc>
        <w:tc>
          <w:tcPr>
            <w:tcW w:w="1704" w:type="dxa"/>
            <w:tcBorders>
              <w:top w:val="single" w:sz="4" w:space="0" w:color="auto"/>
              <w:left w:val="single" w:sz="4" w:space="0" w:color="auto"/>
              <w:bottom w:val="single" w:sz="4" w:space="0" w:color="auto"/>
              <w:right w:val="single" w:sz="4" w:space="0" w:color="auto"/>
            </w:tcBorders>
            <w:vAlign w:val="center"/>
          </w:tcPr>
          <w:p w14:paraId="37DD9932" w14:textId="77777777" w:rsidR="00C97237" w:rsidRDefault="00000000">
            <w:pPr>
              <w:spacing w:line="30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2022</w:t>
            </w:r>
            <w:r>
              <w:rPr>
                <w:rFonts w:ascii="Times New Roman" w:eastAsia="黑体" w:hAnsi="Times New Roman" w:cs="Times New Roman"/>
                <w:kern w:val="0"/>
                <w:szCs w:val="21"/>
              </w:rPr>
              <w:t>年</w:t>
            </w:r>
            <w:r>
              <w:rPr>
                <w:rFonts w:ascii="Times New Roman" w:eastAsia="黑体" w:hAnsi="Times New Roman" w:cs="Times New Roman"/>
                <w:kern w:val="0"/>
                <w:szCs w:val="21"/>
              </w:rPr>
              <w:t>12</w:t>
            </w:r>
            <w:r>
              <w:rPr>
                <w:rFonts w:ascii="Times New Roman" w:eastAsia="黑体" w:hAnsi="Times New Roman" w:cs="Times New Roman"/>
                <w:kern w:val="0"/>
                <w:szCs w:val="21"/>
              </w:rPr>
              <w:t>月</w:t>
            </w:r>
          </w:p>
          <w:p w14:paraId="4B4AF28C" w14:textId="77777777" w:rsidR="00C97237" w:rsidRDefault="00000000">
            <w:pPr>
              <w:spacing w:line="30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目标</w:t>
            </w:r>
          </w:p>
        </w:tc>
        <w:tc>
          <w:tcPr>
            <w:tcW w:w="1565" w:type="dxa"/>
            <w:tcBorders>
              <w:top w:val="single" w:sz="4" w:space="0" w:color="auto"/>
              <w:left w:val="nil"/>
              <w:bottom w:val="single" w:sz="4" w:space="0" w:color="auto"/>
              <w:right w:val="single" w:sz="4" w:space="0" w:color="auto"/>
            </w:tcBorders>
            <w:vAlign w:val="center"/>
          </w:tcPr>
          <w:p w14:paraId="1547C778" w14:textId="77777777" w:rsidR="00C97237" w:rsidRDefault="00000000">
            <w:pPr>
              <w:spacing w:line="30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国内</w:t>
            </w:r>
          </w:p>
          <w:p w14:paraId="7DBBFB91" w14:textId="77777777" w:rsidR="00C97237" w:rsidRDefault="00000000">
            <w:pPr>
              <w:spacing w:line="30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前沿水平</w:t>
            </w:r>
          </w:p>
        </w:tc>
      </w:tr>
      <w:tr w:rsidR="00C97237" w14:paraId="058D4729" w14:textId="77777777">
        <w:trPr>
          <w:trHeight w:val="563"/>
          <w:jc w:val="center"/>
        </w:trPr>
        <w:tc>
          <w:tcPr>
            <w:tcW w:w="1911" w:type="dxa"/>
            <w:tcBorders>
              <w:top w:val="single" w:sz="4" w:space="0" w:color="auto"/>
              <w:left w:val="single" w:sz="4" w:space="0" w:color="auto"/>
              <w:bottom w:val="single" w:sz="4" w:space="0" w:color="auto"/>
              <w:right w:val="single" w:sz="4" w:space="0" w:color="auto"/>
            </w:tcBorders>
            <w:vAlign w:val="center"/>
          </w:tcPr>
          <w:p w14:paraId="60F974F8"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办理环节（个）</w:t>
            </w:r>
          </w:p>
        </w:tc>
        <w:tc>
          <w:tcPr>
            <w:tcW w:w="1287" w:type="dxa"/>
            <w:tcBorders>
              <w:top w:val="single" w:sz="4" w:space="0" w:color="auto"/>
              <w:left w:val="nil"/>
              <w:bottom w:val="single" w:sz="4" w:space="0" w:color="auto"/>
              <w:right w:val="single" w:sz="4" w:space="0" w:color="auto"/>
            </w:tcBorders>
            <w:vAlign w:val="center"/>
          </w:tcPr>
          <w:p w14:paraId="5D0931BF"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c>
          <w:tcPr>
            <w:tcW w:w="1596" w:type="dxa"/>
            <w:tcBorders>
              <w:top w:val="single" w:sz="4" w:space="0" w:color="auto"/>
              <w:left w:val="nil"/>
              <w:bottom w:val="single" w:sz="4" w:space="0" w:color="auto"/>
              <w:right w:val="single" w:sz="4" w:space="0" w:color="auto"/>
            </w:tcBorders>
            <w:vAlign w:val="center"/>
          </w:tcPr>
          <w:p w14:paraId="44C65C8E"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704" w:type="dxa"/>
            <w:tcBorders>
              <w:top w:val="single" w:sz="4" w:space="0" w:color="auto"/>
              <w:left w:val="single" w:sz="4" w:space="0" w:color="auto"/>
              <w:bottom w:val="single" w:sz="4" w:space="0" w:color="auto"/>
              <w:right w:val="single" w:sz="4" w:space="0" w:color="auto"/>
            </w:tcBorders>
            <w:vAlign w:val="center"/>
          </w:tcPr>
          <w:p w14:paraId="08D98A35"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565" w:type="dxa"/>
            <w:tcBorders>
              <w:top w:val="single" w:sz="4" w:space="0" w:color="auto"/>
              <w:left w:val="nil"/>
              <w:bottom w:val="single" w:sz="4" w:space="0" w:color="auto"/>
              <w:right w:val="single" w:sz="4" w:space="0" w:color="auto"/>
            </w:tcBorders>
            <w:vAlign w:val="center"/>
          </w:tcPr>
          <w:p w14:paraId="1C97C5D5"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r>
      <w:tr w:rsidR="00C97237" w14:paraId="6D64761B" w14:textId="77777777">
        <w:trPr>
          <w:trHeight w:val="838"/>
          <w:jc w:val="center"/>
        </w:trPr>
        <w:tc>
          <w:tcPr>
            <w:tcW w:w="1911" w:type="dxa"/>
            <w:tcBorders>
              <w:top w:val="single" w:sz="4" w:space="0" w:color="auto"/>
              <w:left w:val="single" w:sz="4" w:space="0" w:color="auto"/>
              <w:bottom w:val="single" w:sz="4" w:space="0" w:color="auto"/>
              <w:right w:val="single" w:sz="4" w:space="0" w:color="auto"/>
            </w:tcBorders>
            <w:vAlign w:val="center"/>
          </w:tcPr>
          <w:p w14:paraId="17EFAE03"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办理时间</w:t>
            </w:r>
          </w:p>
          <w:p w14:paraId="60F372D1"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（工作日）</w:t>
            </w:r>
          </w:p>
        </w:tc>
        <w:tc>
          <w:tcPr>
            <w:tcW w:w="1287" w:type="dxa"/>
            <w:tcBorders>
              <w:top w:val="single" w:sz="4" w:space="0" w:color="auto"/>
              <w:left w:val="nil"/>
              <w:bottom w:val="single" w:sz="4" w:space="0" w:color="auto"/>
              <w:right w:val="single" w:sz="4" w:space="0" w:color="auto"/>
            </w:tcBorders>
            <w:vAlign w:val="center"/>
          </w:tcPr>
          <w:p w14:paraId="7688B1EF" w14:textId="77777777" w:rsidR="00C97237" w:rsidRDefault="00000000">
            <w:pPr>
              <w:spacing w:line="3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1-1.5</w:t>
            </w:r>
          </w:p>
        </w:tc>
        <w:tc>
          <w:tcPr>
            <w:tcW w:w="1596" w:type="dxa"/>
            <w:tcBorders>
              <w:top w:val="single" w:sz="4" w:space="0" w:color="auto"/>
              <w:left w:val="nil"/>
              <w:bottom w:val="single" w:sz="4" w:space="0" w:color="auto"/>
              <w:right w:val="single" w:sz="4" w:space="0" w:color="auto"/>
            </w:tcBorders>
            <w:vAlign w:val="center"/>
          </w:tcPr>
          <w:p w14:paraId="751F213F"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704" w:type="dxa"/>
            <w:tcBorders>
              <w:top w:val="single" w:sz="4" w:space="0" w:color="auto"/>
              <w:left w:val="single" w:sz="4" w:space="0" w:color="auto"/>
              <w:bottom w:val="single" w:sz="4" w:space="0" w:color="auto"/>
              <w:right w:val="single" w:sz="4" w:space="0" w:color="auto"/>
            </w:tcBorders>
            <w:vAlign w:val="center"/>
          </w:tcPr>
          <w:p w14:paraId="464B5ECE"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0.5</w:t>
            </w:r>
          </w:p>
        </w:tc>
        <w:tc>
          <w:tcPr>
            <w:tcW w:w="1565" w:type="dxa"/>
            <w:tcBorders>
              <w:top w:val="single" w:sz="4" w:space="0" w:color="auto"/>
              <w:left w:val="nil"/>
              <w:bottom w:val="single" w:sz="4" w:space="0" w:color="auto"/>
              <w:right w:val="single" w:sz="4" w:space="0" w:color="auto"/>
            </w:tcBorders>
            <w:vAlign w:val="center"/>
          </w:tcPr>
          <w:p w14:paraId="5480D47C"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0.5</w:t>
            </w:r>
          </w:p>
        </w:tc>
      </w:tr>
      <w:tr w:rsidR="00C97237" w14:paraId="032FB55F" w14:textId="77777777">
        <w:trPr>
          <w:trHeight w:val="831"/>
          <w:jc w:val="center"/>
        </w:trPr>
        <w:tc>
          <w:tcPr>
            <w:tcW w:w="1911" w:type="dxa"/>
            <w:tcBorders>
              <w:top w:val="single" w:sz="4" w:space="0" w:color="auto"/>
              <w:left w:val="single" w:sz="4" w:space="0" w:color="auto"/>
              <w:bottom w:val="single" w:sz="4" w:space="0" w:color="auto"/>
              <w:right w:val="single" w:sz="4" w:space="0" w:color="auto"/>
            </w:tcBorders>
            <w:vAlign w:val="center"/>
          </w:tcPr>
          <w:p w14:paraId="4213DA93"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土地管理</w:t>
            </w:r>
          </w:p>
          <w:p w14:paraId="0EB5217B"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质量指数（</w:t>
            </w:r>
            <w:r>
              <w:rPr>
                <w:rFonts w:ascii="Times New Roman" w:eastAsia="仿宋_GB2312" w:hAnsi="Times New Roman" w:cs="Times New Roman"/>
                <w:kern w:val="0"/>
                <w:szCs w:val="21"/>
              </w:rPr>
              <w:t>0-30</w:t>
            </w:r>
            <w:r>
              <w:rPr>
                <w:rFonts w:ascii="Times New Roman" w:eastAsia="仿宋_GB2312" w:hAnsi="Times New Roman" w:cs="Times New Roman"/>
                <w:kern w:val="0"/>
                <w:szCs w:val="21"/>
              </w:rPr>
              <w:t>）</w:t>
            </w:r>
          </w:p>
        </w:tc>
        <w:tc>
          <w:tcPr>
            <w:tcW w:w="1287" w:type="dxa"/>
            <w:tcBorders>
              <w:top w:val="single" w:sz="4" w:space="0" w:color="auto"/>
              <w:left w:val="nil"/>
              <w:bottom w:val="single" w:sz="4" w:space="0" w:color="auto"/>
              <w:right w:val="single" w:sz="4" w:space="0" w:color="auto"/>
            </w:tcBorders>
            <w:vAlign w:val="center"/>
          </w:tcPr>
          <w:p w14:paraId="55D22A9F" w14:textId="77777777" w:rsidR="00C97237" w:rsidRDefault="00000000">
            <w:pPr>
              <w:spacing w:line="3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29.39</w:t>
            </w:r>
          </w:p>
        </w:tc>
        <w:tc>
          <w:tcPr>
            <w:tcW w:w="1596" w:type="dxa"/>
            <w:tcBorders>
              <w:top w:val="single" w:sz="4" w:space="0" w:color="auto"/>
              <w:left w:val="nil"/>
              <w:bottom w:val="single" w:sz="4" w:space="0" w:color="auto"/>
              <w:right w:val="single" w:sz="4" w:space="0" w:color="auto"/>
            </w:tcBorders>
            <w:vAlign w:val="center"/>
          </w:tcPr>
          <w:p w14:paraId="7ABA05C7"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进一步提升</w:t>
            </w:r>
          </w:p>
        </w:tc>
        <w:tc>
          <w:tcPr>
            <w:tcW w:w="1704" w:type="dxa"/>
            <w:tcBorders>
              <w:top w:val="single" w:sz="4" w:space="0" w:color="auto"/>
              <w:left w:val="single" w:sz="4" w:space="0" w:color="auto"/>
              <w:bottom w:val="single" w:sz="4" w:space="0" w:color="auto"/>
              <w:right w:val="single" w:sz="4" w:space="0" w:color="auto"/>
            </w:tcBorders>
            <w:vAlign w:val="center"/>
          </w:tcPr>
          <w:p w14:paraId="4D7C9256"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进一步提升</w:t>
            </w:r>
          </w:p>
        </w:tc>
        <w:tc>
          <w:tcPr>
            <w:tcW w:w="1565" w:type="dxa"/>
            <w:tcBorders>
              <w:top w:val="single" w:sz="4" w:space="0" w:color="auto"/>
              <w:left w:val="nil"/>
              <w:bottom w:val="single" w:sz="4" w:space="0" w:color="auto"/>
              <w:right w:val="single" w:sz="4" w:space="0" w:color="auto"/>
            </w:tcBorders>
            <w:vAlign w:val="center"/>
          </w:tcPr>
          <w:p w14:paraId="3F06CE93"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w:t>
            </w:r>
          </w:p>
        </w:tc>
      </w:tr>
      <w:tr w:rsidR="00C97237" w14:paraId="01C0BAB3" w14:textId="77777777">
        <w:trPr>
          <w:trHeight w:val="790"/>
          <w:jc w:val="center"/>
        </w:trPr>
        <w:tc>
          <w:tcPr>
            <w:tcW w:w="1911" w:type="dxa"/>
            <w:tcBorders>
              <w:top w:val="single" w:sz="4" w:space="0" w:color="auto"/>
              <w:left w:val="single" w:sz="4" w:space="0" w:color="auto"/>
              <w:bottom w:val="single" w:sz="4" w:space="0" w:color="auto"/>
              <w:right w:val="single" w:sz="4" w:space="0" w:color="auto"/>
            </w:tcBorders>
            <w:vAlign w:val="center"/>
          </w:tcPr>
          <w:p w14:paraId="584DBA6D"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不动产登记</w:t>
            </w:r>
          </w:p>
          <w:p w14:paraId="38F5DB4A"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便利度（</w:t>
            </w:r>
            <w:r>
              <w:rPr>
                <w:rFonts w:ascii="Times New Roman" w:eastAsia="仿宋_GB2312" w:hAnsi="Times New Roman" w:cs="Times New Roman"/>
                <w:kern w:val="0"/>
                <w:szCs w:val="21"/>
              </w:rPr>
              <w:t>0-40</w:t>
            </w:r>
            <w:r>
              <w:rPr>
                <w:rFonts w:ascii="Times New Roman" w:eastAsia="仿宋_GB2312" w:hAnsi="Times New Roman" w:cs="Times New Roman"/>
                <w:kern w:val="0"/>
                <w:szCs w:val="21"/>
              </w:rPr>
              <w:t>）</w:t>
            </w:r>
          </w:p>
        </w:tc>
        <w:tc>
          <w:tcPr>
            <w:tcW w:w="1287" w:type="dxa"/>
            <w:tcBorders>
              <w:top w:val="single" w:sz="4" w:space="0" w:color="auto"/>
              <w:left w:val="nil"/>
              <w:bottom w:val="single" w:sz="4" w:space="0" w:color="auto"/>
              <w:right w:val="single" w:sz="4" w:space="0" w:color="auto"/>
            </w:tcBorders>
            <w:vAlign w:val="center"/>
          </w:tcPr>
          <w:p w14:paraId="4AEA81BF" w14:textId="77777777" w:rsidR="00C97237" w:rsidRDefault="00000000">
            <w:pPr>
              <w:spacing w:line="300" w:lineRule="exact"/>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39</w:t>
            </w:r>
          </w:p>
        </w:tc>
        <w:tc>
          <w:tcPr>
            <w:tcW w:w="1596" w:type="dxa"/>
            <w:tcBorders>
              <w:top w:val="single" w:sz="4" w:space="0" w:color="auto"/>
              <w:left w:val="nil"/>
              <w:bottom w:val="single" w:sz="4" w:space="0" w:color="auto"/>
              <w:right w:val="single" w:sz="4" w:space="0" w:color="auto"/>
            </w:tcBorders>
            <w:vAlign w:val="center"/>
          </w:tcPr>
          <w:p w14:paraId="21804A64"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进一步提升</w:t>
            </w:r>
          </w:p>
        </w:tc>
        <w:tc>
          <w:tcPr>
            <w:tcW w:w="1704" w:type="dxa"/>
            <w:tcBorders>
              <w:top w:val="single" w:sz="4" w:space="0" w:color="auto"/>
              <w:left w:val="single" w:sz="4" w:space="0" w:color="auto"/>
              <w:bottom w:val="single" w:sz="4" w:space="0" w:color="auto"/>
              <w:right w:val="single" w:sz="4" w:space="0" w:color="auto"/>
            </w:tcBorders>
            <w:vAlign w:val="center"/>
          </w:tcPr>
          <w:p w14:paraId="51B2952D"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进一步提升</w:t>
            </w:r>
          </w:p>
        </w:tc>
        <w:tc>
          <w:tcPr>
            <w:tcW w:w="1565" w:type="dxa"/>
            <w:tcBorders>
              <w:top w:val="single" w:sz="4" w:space="0" w:color="auto"/>
              <w:left w:val="nil"/>
              <w:bottom w:val="single" w:sz="4" w:space="0" w:color="auto"/>
              <w:right w:val="single" w:sz="4" w:space="0" w:color="auto"/>
            </w:tcBorders>
            <w:vAlign w:val="center"/>
          </w:tcPr>
          <w:p w14:paraId="4B11B7B0" w14:textId="77777777" w:rsidR="00C97237" w:rsidRDefault="00000000">
            <w:pPr>
              <w:spacing w:line="3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w:t>
            </w:r>
          </w:p>
        </w:tc>
      </w:tr>
    </w:tbl>
    <w:p w14:paraId="59C71DBF"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五、保障措施</w:t>
      </w:r>
    </w:p>
    <w:p w14:paraId="46CD157C"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(一)统一思想，提高认识。</w:t>
      </w:r>
      <w:r>
        <w:rPr>
          <w:rFonts w:ascii="仿宋" w:eastAsia="仿宋" w:hAnsi="仿宋" w:cs="仿宋" w:hint="eastAsia"/>
          <w:sz w:val="32"/>
          <w:szCs w:val="32"/>
        </w:rPr>
        <w:t>不动产登记是优化营商环境的重要内容，各相关部门主要负责同志要将优化营商环境的主体责任扛在肩上，提升政治站位，要强化政策支持、资金扶持和人力保障。按照总体行动方案和不动产登记提升方案明确的目标任务，制定本地不动产登记提升专项方案，成立专班，建立台账，明确分工，压实责任，统筹推进各项工作，确保提升方案落到实处。</w:t>
      </w:r>
    </w:p>
    <w:p w14:paraId="44BE1282"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(二)建立机制，强化配合。</w:t>
      </w:r>
      <w:r>
        <w:rPr>
          <w:rFonts w:ascii="仿宋" w:eastAsia="仿宋" w:hAnsi="仿宋" w:cs="仿宋" w:hint="eastAsia"/>
          <w:sz w:val="32"/>
          <w:szCs w:val="32"/>
        </w:rPr>
        <w:t>建立工作机制，确保工作有序推进。自然资源主管部门要积极与相关部门沟通对接，形成工作合力，相关单位和部门要主动认领工作任务，加强协作，做好工作衔接与落实，研究制定有针对性的政策举措，统筹解决制约不动产登记指标提升的短板和问题。</w:t>
      </w:r>
    </w:p>
    <w:p w14:paraId="4AD8E49C"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(三)营造氛围，强化宣传。</w:t>
      </w:r>
      <w:r>
        <w:rPr>
          <w:rFonts w:ascii="仿宋" w:eastAsia="仿宋" w:hAnsi="仿宋" w:cs="仿宋" w:hint="eastAsia"/>
          <w:sz w:val="32"/>
          <w:szCs w:val="32"/>
        </w:rPr>
        <w:t>充分发挥新闻媒体作用，通过报纸、电视、互联网和新媒体等平台对营商环境不动产登记指标提升政策措施和先进典型进行广泛宣传。加强政企沟通，主动听取市场主体、营商环境监督员、专业机构以及行业协会商会的建议，合理引导社会预期，积极回应社会关切，</w:t>
      </w:r>
      <w:r>
        <w:rPr>
          <w:rFonts w:ascii="仿宋" w:eastAsia="仿宋" w:hAnsi="仿宋" w:cs="仿宋" w:hint="eastAsia"/>
          <w:sz w:val="32"/>
          <w:szCs w:val="32"/>
        </w:rPr>
        <w:lastRenderedPageBreak/>
        <w:t>营造良好营商舆论氛围。</w:t>
      </w:r>
    </w:p>
    <w:p w14:paraId="7DC71746" w14:textId="77777777" w:rsidR="00C97237" w:rsidRDefault="00C97237">
      <w:pPr>
        <w:widowControl/>
        <w:spacing w:line="580" w:lineRule="exact"/>
        <w:jc w:val="center"/>
        <w:rPr>
          <w:rFonts w:ascii="仿宋" w:eastAsia="仿宋" w:hAnsi="仿宋" w:cs="仿宋"/>
          <w:color w:val="000000"/>
          <w:kern w:val="0"/>
          <w:sz w:val="32"/>
          <w:szCs w:val="32"/>
          <w:lang w:bidi="ar"/>
        </w:rPr>
      </w:pPr>
    </w:p>
    <w:p w14:paraId="59D4DA21" w14:textId="77777777" w:rsidR="00C97237" w:rsidRDefault="00C97237">
      <w:pPr>
        <w:pStyle w:val="NormalIndent1"/>
        <w:adjustRightInd w:val="0"/>
        <w:snapToGrid w:val="0"/>
        <w:spacing w:line="332" w:lineRule="auto"/>
        <w:ind w:firstLineChars="0" w:firstLine="0"/>
        <w:outlineLvl w:val="0"/>
        <w:rPr>
          <w:rFonts w:ascii="方正小标宋简体" w:eastAsia="方正小标宋简体" w:hAnsi="方正小标宋简体" w:cs="方正小标宋简体"/>
          <w:sz w:val="44"/>
          <w:szCs w:val="44"/>
        </w:rPr>
      </w:pPr>
    </w:p>
    <w:p w14:paraId="55C10E03" w14:textId="77777777" w:rsidR="00C97237" w:rsidRDefault="00C97237">
      <w:pPr>
        <w:pStyle w:val="NormalIndent1"/>
        <w:adjustRightInd w:val="0"/>
        <w:snapToGrid w:val="0"/>
        <w:spacing w:line="332" w:lineRule="auto"/>
        <w:ind w:firstLineChars="0" w:firstLine="0"/>
        <w:outlineLvl w:val="0"/>
        <w:rPr>
          <w:rFonts w:ascii="方正小标宋简体" w:eastAsia="方正小标宋简体" w:hAnsi="方正小标宋简体" w:cs="方正小标宋简体"/>
          <w:sz w:val="44"/>
          <w:szCs w:val="44"/>
        </w:rPr>
      </w:pPr>
    </w:p>
    <w:p w14:paraId="6A4363C0" w14:textId="77777777" w:rsidR="00C97237" w:rsidRDefault="00C97237">
      <w:pPr>
        <w:pStyle w:val="NormalIndent1"/>
        <w:adjustRightInd w:val="0"/>
        <w:snapToGrid w:val="0"/>
        <w:spacing w:line="332" w:lineRule="auto"/>
        <w:ind w:firstLineChars="0" w:firstLine="0"/>
        <w:outlineLvl w:val="0"/>
        <w:rPr>
          <w:rFonts w:ascii="方正小标宋简体" w:eastAsia="方正小标宋简体" w:hAnsi="方正小标宋简体" w:cs="方正小标宋简体"/>
          <w:sz w:val="44"/>
          <w:szCs w:val="44"/>
        </w:rPr>
      </w:pPr>
    </w:p>
    <w:p w14:paraId="3656B4B6" w14:textId="77777777" w:rsidR="00C97237" w:rsidRDefault="00C97237">
      <w:pPr>
        <w:pStyle w:val="NormalIndent1"/>
        <w:adjustRightInd w:val="0"/>
        <w:snapToGrid w:val="0"/>
        <w:spacing w:line="332" w:lineRule="auto"/>
        <w:ind w:firstLineChars="0" w:firstLine="0"/>
        <w:outlineLvl w:val="0"/>
        <w:rPr>
          <w:rFonts w:ascii="方正小标宋简体" w:eastAsia="方正小标宋简体" w:hAnsi="方正小标宋简体" w:cs="方正小标宋简体"/>
          <w:sz w:val="44"/>
          <w:szCs w:val="44"/>
        </w:rPr>
      </w:pPr>
    </w:p>
    <w:p w14:paraId="375F7C8A" w14:textId="77777777" w:rsidR="00C97237" w:rsidRDefault="00000000">
      <w:pPr>
        <w:pStyle w:val="NormalIndent1"/>
        <w:adjustRightInd w:val="0"/>
        <w:snapToGrid w:val="0"/>
        <w:spacing w:line="332" w:lineRule="auto"/>
        <w:ind w:firstLineChars="0" w:firstLine="0"/>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附件8</w:t>
      </w:r>
    </w:p>
    <w:p w14:paraId="65398C7A" w14:textId="77777777" w:rsidR="00C97237" w:rsidRDefault="00000000">
      <w:pPr>
        <w:pStyle w:val="NormalIndent1"/>
        <w:adjustRightInd w:val="0"/>
        <w:snapToGrid w:val="0"/>
        <w:spacing w:line="332" w:lineRule="auto"/>
        <w:ind w:firstLineChars="0" w:firstLine="0"/>
        <w:jc w:val="center"/>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偃师区缴纳税费提升专项行动方案</w:t>
      </w:r>
    </w:p>
    <w:p w14:paraId="6BCF160F"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升“缴纳税费”方面的纳税次数、纳税时间、总税收和缴费率、报税后流程指数等指标，高标准推进全区税收营商环境持续优化，按照区委、区政府决策部署，合近年来办税(缴费)便利化改革实践，制定本方案。</w:t>
      </w:r>
    </w:p>
    <w:p w14:paraId="028E3351" w14:textId="77777777" w:rsidR="00C97237" w:rsidRDefault="00000000">
      <w:pPr>
        <w:adjustRightInd w:val="0"/>
        <w:snapToGrid w:val="0"/>
        <w:spacing w:line="332"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一、总体要求</w:t>
      </w:r>
    </w:p>
    <w:p w14:paraId="24535344"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深入贯彻党的十九大和十九届二中、三中、四中、五中、六中全会会议精神,全面落实习近平总书记视察河南重要讲话精神，对标国际国内先进水平，吸纳国际国内省内先进经验，以深化税务系统“放管服”改革为核心抓手，探索实施一批突破性引领性的创新举措，大力开展营商环境缴纳税费指标优化攻坚，不断提升办税（缴费）便利化水平，全面提升税收治</w:t>
      </w:r>
      <w:r>
        <w:rPr>
          <w:rFonts w:ascii="仿宋_GB2312" w:eastAsia="仿宋_GB2312" w:hAnsi="仿宋_GB2312" w:cs="仿宋_GB2312" w:hint="eastAsia"/>
          <w:sz w:val="32"/>
          <w:szCs w:val="32"/>
        </w:rPr>
        <w:lastRenderedPageBreak/>
        <w:t>理能力，在偃师区营造审批最少、流程最优、体制最顺、机制最活、效率最高、服务最好的“六最”营商环境进程中充分发挥税收职能作用，推动可量化可考核的营商环境评价中涉税指标进入全国全省先进行列，努力打造一流的税收营商环境，为实施“十大战略”、实现“两个确保”目标贡献税务力量。</w:t>
      </w:r>
    </w:p>
    <w:p w14:paraId="2BAE0AF5" w14:textId="77777777" w:rsidR="00C97237" w:rsidRDefault="00000000">
      <w:pPr>
        <w:adjustRightInd w:val="0"/>
        <w:snapToGrid w:val="0"/>
        <w:spacing w:line="332"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二、工作目标</w:t>
      </w:r>
    </w:p>
    <w:p w14:paraId="4EE72CC6"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着力建设以服务纳税人缴费人为中心、以发票电子化改革为突破口、以税收大数据为驱动力的具有高集成功能、高安全性能、高应用效能的智慧税务，深入推进精确执法、精细服务、精准监管、精诚共治，大幅提高税法遵从度和社会满意度，切实降低市场主体办税缴费负担。2022年6月，纳税次数同比压缩0.25次，纳税时间同比压缩6%，总税率和社会负担率保持现状，报税后流程指数提升1.25个百分点；2022年底，在税务执法规范性、税费服务便捷性、税务监管精准性上取得重要进展,纳税次数同比压缩0.5次，纳税时间同比压缩5%，总税率和社会负担率下降1个百分点，报税后流程指数提升2.5个百分点。</w:t>
      </w:r>
    </w:p>
    <w:p w14:paraId="15AD849E" w14:textId="77777777" w:rsidR="00C97237" w:rsidRDefault="00000000">
      <w:pPr>
        <w:adjustRightInd w:val="0"/>
        <w:snapToGrid w:val="0"/>
        <w:spacing w:line="332"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三、主要举措</w:t>
      </w:r>
    </w:p>
    <w:p w14:paraId="3CC56F53"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（一）进一步压减纳税缴费次数和时间。</w:t>
      </w:r>
      <w:r>
        <w:rPr>
          <w:rFonts w:ascii="仿宋_GB2312" w:eastAsia="仿宋_GB2312" w:hAnsi="仿宋_GB2312" w:cs="仿宋_GB2312" w:hint="eastAsia"/>
          <w:sz w:val="32"/>
          <w:szCs w:val="32"/>
        </w:rPr>
        <w:t>大力推进税（费）种综合申报，依法简并部分税种征期，减少申报次数和时间。扩大部门间数据共享范围，加快企业出口退税事项全环节办理速度，税务部门办理正常出口退税的平均时间压缩至 5 个工作日以内，对高信用级别企业进一步缩短办理</w:t>
      </w:r>
      <w:r>
        <w:rPr>
          <w:rFonts w:ascii="仿宋_GB2312" w:eastAsia="仿宋_GB2312" w:hAnsi="仿宋_GB2312" w:cs="仿宋_GB2312" w:hint="eastAsia"/>
          <w:sz w:val="32"/>
          <w:szCs w:val="32"/>
        </w:rPr>
        <w:lastRenderedPageBreak/>
        <w:t>时间。加强协作，实现企业开办、注销“一网通办”。</w:t>
      </w:r>
    </w:p>
    <w:p w14:paraId="7D4C9964"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12月</w:t>
      </w:r>
    </w:p>
    <w:p w14:paraId="7EA59426"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w:t>
      </w:r>
    </w:p>
    <w:p w14:paraId="31317BB4"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（二）实现税费优惠政策直达快享。</w:t>
      </w:r>
      <w:r>
        <w:rPr>
          <w:rFonts w:ascii="仿宋_GB2312" w:eastAsia="仿宋_GB2312" w:hAnsi="仿宋_GB2312" w:cs="仿宋_GB2312" w:hint="eastAsia"/>
          <w:sz w:val="32"/>
          <w:szCs w:val="32"/>
        </w:rPr>
        <w:t>逐步实现智能化、一体化税费（社会保险费和非税收入政策）宣传，实施税费（社会保险费和非税收入）政策发布、政策解读、政策宣传三同步，规范纳税（缴费）咨询，实现纳税（缴费）咨询规范统一，实现征管操作办法与税费优惠政策同步发布、同步解读，增强政策落实的及时性、确定性、一致性。持续落实惠企政策和减税降费政策，扩大“自行判别、自行申报、事后监管”事项范围，精简流程，实现依法运用大数据精准推送优惠政策信息，确保便利操作、快速享受、有效监管。拓展宣传渠道，打造“夏都税声”特色直播课堂，分类分级精准快速宣传辅导到纳税人缴费人，提供随时随地的掌上学习课堂。深化政策效应分析,实现税费优惠政策宣传精准化，促进市场主体充分享受政策红利。</w:t>
      </w:r>
    </w:p>
    <w:p w14:paraId="526372A5"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 月</w:t>
      </w:r>
    </w:p>
    <w:p w14:paraId="4C31FE01"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责任单位：区税务局、区人力资源和社会保障局、区医疗保障局、区住房公积金管理中心</w:t>
      </w:r>
    </w:p>
    <w:p w14:paraId="34EA52F1"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（三）大幅减轻办税缴费负担。</w:t>
      </w:r>
      <w:r>
        <w:rPr>
          <w:rFonts w:ascii="仿宋_GB2312" w:eastAsia="仿宋_GB2312" w:hAnsi="仿宋_GB2312" w:cs="仿宋_GB2312" w:hint="eastAsia"/>
          <w:sz w:val="32"/>
          <w:szCs w:val="32"/>
        </w:rPr>
        <w:t>积极通过河南政务服务平台采集数据，加强部门间数据共享，着力避免纳税人缴费人重复报送数据。全面推行税务证明事项告知承诺制，加强推行和落实税务证明事项告知承诺制的督促检查，确保总局 6 项告知承诺证明事项在我区全面落实，落实容缺办理事项</w:t>
      </w:r>
      <w:r>
        <w:rPr>
          <w:rFonts w:ascii="仿宋_GB2312" w:eastAsia="仿宋_GB2312" w:hAnsi="仿宋_GB2312" w:cs="仿宋_GB2312" w:hint="eastAsia"/>
          <w:sz w:val="32"/>
          <w:szCs w:val="32"/>
        </w:rPr>
        <w:lastRenderedPageBreak/>
        <w:t>配套制度。持续扩大涉税资料由事前报送改为留存备查的范围。推进标准化体系建设，实现政务事项、办事指南全省统一标准。</w:t>
      </w:r>
    </w:p>
    <w:p w14:paraId="1C7CB494"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 月</w:t>
      </w:r>
    </w:p>
    <w:p w14:paraId="7728611D"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责任单位：区税务局、区人力资源和社会保障局、区医疗保障局、区住房公积金管理中心</w:t>
      </w:r>
    </w:p>
    <w:p w14:paraId="63227D16"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（四）全面落实减税降费政策。</w:t>
      </w:r>
      <w:r>
        <w:rPr>
          <w:rFonts w:ascii="仿宋_GB2312" w:eastAsia="仿宋_GB2312" w:hAnsi="仿宋_GB2312" w:cs="仿宋_GB2312" w:hint="eastAsia"/>
          <w:sz w:val="32"/>
          <w:szCs w:val="32"/>
        </w:rPr>
        <w:t>落实党中央、国务院决策部署，财政部、国家税务总局出台实施新的组合式税费支持政策，一方面延续实施扶持制造业、小微企业和个体工商户的减税降费政策，并提高减免幅度、扩大适用范围；另一方面，综合考虑为企业提供现金流支持、促进消费投资，大力改进增值税留抵退税制度，对制造业，科学研究和技术服务业，电力、热力、燃气及水生产和供应业，软件和信息技术服务业，生态保护和环境治理业，交通运输、仓储和邮政业和符合条件的小微企业实行大规模留抵退税。落实省级部门要求的阶段性降低失业保险、工伤保险费率和缓缴费款政策，开展区级部门要求的阶段性降低企业参加职工基本医疗保险缴纳费率工作，落实对困难行业的帮扶措施，帮助企业应对经济下行压力，支持企业纾困解难。</w:t>
      </w:r>
    </w:p>
    <w:p w14:paraId="3D259008"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 月</w:t>
      </w:r>
    </w:p>
    <w:p w14:paraId="651350FB"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责任单位：区税务局、区人力资源和社会保障局、区医疗保障局、区住房公积金管理中心</w:t>
      </w:r>
    </w:p>
    <w:p w14:paraId="3116915D"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（五）积极推进智慧税务建设。</w:t>
      </w:r>
      <w:r>
        <w:rPr>
          <w:rFonts w:ascii="仿宋_GB2312" w:eastAsia="仿宋_GB2312" w:hAnsi="仿宋_GB2312" w:cs="仿宋_GB2312" w:hint="eastAsia"/>
          <w:sz w:val="32"/>
          <w:szCs w:val="32"/>
        </w:rPr>
        <w:t>加快实现税务与相关部门涉税数据有机贯通，驱动税务执法、服务、监管制度创新</w:t>
      </w:r>
      <w:r>
        <w:rPr>
          <w:rFonts w:ascii="仿宋_GB2312" w:eastAsia="仿宋_GB2312" w:hAnsi="仿宋_GB2312" w:cs="仿宋_GB2312" w:hint="eastAsia"/>
          <w:sz w:val="32"/>
          <w:szCs w:val="32"/>
        </w:rPr>
        <w:lastRenderedPageBreak/>
        <w:t xml:space="preserve">和业务变革。实现法人税费信息“一户式”、自然人税费信息“一人式”智能归集。加快智慧办税服务厅建设，布局一批智慧“微厅”，最大程度实现进厅办税缴费业务“立即办”“智能办”“预约办”“容缺办”。升级改造自助办税终端，打造“场景化服务、多功能集成、问办一体、跨平台部署”的新型自助办税终端服务应用。 </w:t>
      </w:r>
    </w:p>
    <w:p w14:paraId="49D37101"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 月</w:t>
      </w:r>
    </w:p>
    <w:p w14:paraId="4FA3137F"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w:t>
      </w:r>
    </w:p>
    <w:p w14:paraId="3E2FCAB3"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（六）全面改进办税缴费方式。</w:t>
      </w:r>
      <w:r>
        <w:rPr>
          <w:rFonts w:ascii="仿宋_GB2312" w:eastAsia="仿宋_GB2312" w:hAnsi="仿宋_GB2312" w:cs="仿宋_GB2312" w:hint="eastAsia"/>
          <w:sz w:val="32"/>
          <w:szCs w:val="32"/>
        </w:rPr>
        <w:t>加快推进企业税费事项网上办理、个人税费事项掌上办理，推广应用社会保险费征管信息系统（标准版），推进电子税务局与河南政务服务网、“豫事办”“洛快办”对接，在“豫事办”“洛快办”开设税务专区，将“豫事办”“洛快办”作为掌上办税重要渠道，逐步实现电子税务局服务应用在“豫事办”“洛快办”汇聚，扩展“非接触式”“不见面”办税缴费服务范围。逐步推行税费申报电子化、要素化，实现预填申报自动化。</w:t>
      </w:r>
    </w:p>
    <w:p w14:paraId="4A800D84"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 月</w:t>
      </w:r>
    </w:p>
    <w:p w14:paraId="2D936EA6"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w:t>
      </w:r>
    </w:p>
    <w:p w14:paraId="0C08AD26"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（七）落实发票电子化改革任务。</w:t>
      </w:r>
      <w:r>
        <w:rPr>
          <w:rFonts w:ascii="仿宋_GB2312" w:eastAsia="仿宋_GB2312" w:hAnsi="仿宋_GB2312" w:cs="仿宋_GB2312" w:hint="eastAsia"/>
          <w:sz w:val="32"/>
          <w:szCs w:val="32"/>
        </w:rPr>
        <w:t>及时上线应用全国统一的电子发票服务平台，24 小时在线免费为纳税人提供电子发票申领、开具、交付、查验等服务。加快推进发票全领域、全环节、全要素电子化，着力降低制度性交易成本。持续做好增值税电子专用发票推行工作。在电子专票同步核定率和使用率继续保持100%的基础上，进一步提高我区电子专</w:t>
      </w:r>
      <w:r>
        <w:rPr>
          <w:rFonts w:ascii="仿宋_GB2312" w:eastAsia="仿宋_GB2312" w:hAnsi="仿宋_GB2312" w:cs="仿宋_GB2312" w:hint="eastAsia"/>
          <w:sz w:val="32"/>
          <w:szCs w:val="32"/>
        </w:rPr>
        <w:lastRenderedPageBreak/>
        <w:t xml:space="preserve">票的开具数量和开具金额。全面推广使用增值税电子普票。从 2022 年 1 月 1 日起，新办企业核定增值税电子普票，原则上不再核定增值税纸质普票。对于现有使用纸质增值税普票的企业，引导企业全面使用增值税电子普票，除特殊行业企业（如军工等）外，确保增值税电子普票 2022 年底前全部推行到位。 </w:t>
      </w:r>
    </w:p>
    <w:p w14:paraId="43E75249"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12月</w:t>
      </w:r>
    </w:p>
    <w:p w14:paraId="1C4C9F4D"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w:t>
      </w:r>
    </w:p>
    <w:p w14:paraId="42880C36"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（八）积极推行智能型个性化服务。</w:t>
      </w:r>
      <w:r>
        <w:rPr>
          <w:rFonts w:ascii="仿宋_GB2312" w:eastAsia="仿宋_GB2312" w:hAnsi="仿宋_GB2312" w:cs="仿宋_GB2312" w:hint="eastAsia"/>
          <w:sz w:val="32"/>
          <w:szCs w:val="32"/>
        </w:rPr>
        <w:t>全面改造提升 12366税费服务平台，加快推动向以 24 小时智能咨询为主转变。稳步推进“12366”与“12345”热线归并，实现“一线通答”。运用税收大数据智能分析识别纳税人缴费人个性化需求等，精准提供线上服务，持续提升办税缴费实际体验。持续优化线下服务，更好满足特殊人员、特殊事项的服务需求。扩大税企互动沟通平台应用范围。建立税企互动交流平台内网管理平台；深化豫税通税企互动交流平台的信息推送、税法宣传、纳税辅导、数据采集等功能；探索税企互动交流平台精准推送机制应用；利用税企互动交流平台探索办税服务厅与税费服务智能化升级融合。各部门通过平台精准推送等功能,实现税收政策及时、精准的“一对一”宣传辅导。</w:t>
      </w:r>
    </w:p>
    <w:p w14:paraId="78495924"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 月</w:t>
      </w:r>
    </w:p>
    <w:p w14:paraId="30EDBF01"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w:t>
      </w:r>
    </w:p>
    <w:p w14:paraId="2BC545D5"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（九）有力有序推进数据共享。</w:t>
      </w:r>
      <w:r>
        <w:rPr>
          <w:rFonts w:ascii="仿宋_GB2312" w:eastAsia="仿宋_GB2312" w:hAnsi="仿宋_GB2312" w:cs="仿宋_GB2312" w:hint="eastAsia"/>
          <w:sz w:val="32"/>
          <w:szCs w:val="32"/>
        </w:rPr>
        <w:t>按照河南省政务数据资</w:t>
      </w:r>
      <w:r>
        <w:rPr>
          <w:rFonts w:ascii="仿宋_GB2312" w:eastAsia="仿宋_GB2312" w:hAnsi="仿宋_GB2312" w:cs="仿宋_GB2312" w:hint="eastAsia"/>
          <w:sz w:val="32"/>
          <w:szCs w:val="32"/>
        </w:rPr>
        <w:lastRenderedPageBreak/>
        <w:t>源管理、数据共享要求，保障涉税涉费必要信息获取和提供。加强网络安全平台应用，建立健全常态化数据安全风险评估和检查机制、数据安全监测预警和应急处置机制。将数字税务建设纳入数字政府建设整体布局，落实自然人和法人信息唯一标识制度，逐步完善全省统一的数据共享资源目录，构建以“互通共享”为特征的涉税涉费数据“一网通享”体系。加强有关数据的智能归集，完善数据安全管理制度。</w:t>
      </w:r>
    </w:p>
    <w:p w14:paraId="4A14C642"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12月</w:t>
      </w:r>
    </w:p>
    <w:p w14:paraId="1A06AF91"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w:t>
      </w:r>
    </w:p>
    <w:p w14:paraId="0D89FC22"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（十）持续加强部门协作。</w:t>
      </w:r>
      <w:r>
        <w:rPr>
          <w:rFonts w:ascii="仿宋_GB2312" w:eastAsia="仿宋_GB2312" w:hAnsi="仿宋_GB2312" w:cs="仿宋_GB2312" w:hint="eastAsia"/>
          <w:sz w:val="32"/>
          <w:szCs w:val="32"/>
        </w:rPr>
        <w:t>深入推进“银税互动”，落实“一网通贷”，继续保持与银保监部门的通力协作，推动银税合作创新，加大“税易贷”宣传推广力度，扩大合作银行范围，增加上线产品数量，为纳税人提供更多银税产品的选择，打造“互联网+税务服务+金融服务”业务模式，推动税务和金融服务深度聚合和持续放大，助力解决小微企业融资难融资贵问题。完善联合办案工作机制，加强联动执法。在房地产开发、房屋交易网签备案、不动产登记办税等方面加强协作配合，共同做好地方税费征收管理工作。建立健全环境保护税征管分工协作机制，构建“绿色”税收征管体系。</w:t>
      </w:r>
    </w:p>
    <w:p w14:paraId="019A6F82"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12月</w:t>
      </w:r>
    </w:p>
    <w:p w14:paraId="1CB488D3"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w:t>
      </w:r>
    </w:p>
    <w:p w14:paraId="54F1BBC7"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（十一）持续加强社会协同。</w:t>
      </w:r>
      <w:r>
        <w:rPr>
          <w:rFonts w:ascii="仿宋_GB2312" w:eastAsia="仿宋_GB2312" w:hAnsi="仿宋_GB2312" w:cs="仿宋_GB2312" w:hint="eastAsia"/>
          <w:sz w:val="32"/>
          <w:szCs w:val="32"/>
        </w:rPr>
        <w:t>支持第三方机构按照市场化原则为纳税人提供个性化服务，加强对涉税中介组织的执业监管和行业监管。开展形式多样的税法普及宣传，将税法</w:t>
      </w:r>
      <w:r>
        <w:rPr>
          <w:rFonts w:ascii="仿宋_GB2312" w:eastAsia="仿宋_GB2312" w:hAnsi="仿宋_GB2312" w:cs="仿宋_GB2312" w:hint="eastAsia"/>
          <w:sz w:val="32"/>
          <w:szCs w:val="32"/>
        </w:rPr>
        <w:lastRenderedPageBreak/>
        <w:t>普及宣传列入普法规划，持续深化青少年税收法治教育，发挥税法宣传教育的预防和引导作用。</w:t>
      </w:r>
    </w:p>
    <w:p w14:paraId="58BD9E51"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12月</w:t>
      </w:r>
    </w:p>
    <w:p w14:paraId="7D6F637C"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w:t>
      </w:r>
    </w:p>
    <w:p w14:paraId="354898FD"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楷体" w:eastAsia="楷体" w:hAnsi="楷体" w:cs="楷体_GB2312" w:hint="eastAsia"/>
          <w:bCs/>
          <w:sz w:val="32"/>
          <w:szCs w:val="32"/>
        </w:rPr>
        <w:t>（十二）保护纳税人缴费人合法权益。</w:t>
      </w:r>
      <w:r>
        <w:rPr>
          <w:rFonts w:ascii="仿宋_GB2312" w:eastAsia="仿宋_GB2312" w:hAnsi="仿宋_GB2312" w:cs="仿宋_GB2312" w:hint="eastAsia"/>
          <w:sz w:val="32"/>
          <w:szCs w:val="32"/>
        </w:rPr>
        <w:t>完善纳税人缴费人权利救济机制、税费争议解决机制。探索实施大企业税收事先裁定，建立健全相关工作机制。依法加强纳税人缴费人个人信息保护，依法严厉打击个人信息泄露和滥用行为。严格监督检查和责任追究，防止因疏于监管造成重大损失。</w:t>
      </w:r>
    </w:p>
    <w:p w14:paraId="3D21EF03"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 年 12月</w:t>
      </w:r>
    </w:p>
    <w:p w14:paraId="59DB1C68" w14:textId="77777777" w:rsidR="00C97237" w:rsidRDefault="00000000">
      <w:pPr>
        <w:tabs>
          <w:tab w:val="left" w:pos="6792"/>
        </w:tabs>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责任单位：区税务局</w:t>
      </w:r>
      <w:r>
        <w:rPr>
          <w:rFonts w:ascii="仿宋_GB2312" w:eastAsia="仿宋_GB2312" w:hAnsi="仿宋_GB2312" w:cs="仿宋_GB2312"/>
          <w:sz w:val="32"/>
          <w:szCs w:val="32"/>
        </w:rPr>
        <w:tab/>
      </w:r>
    </w:p>
    <w:p w14:paraId="45DDA536" w14:textId="77777777" w:rsidR="00C97237" w:rsidRDefault="00000000">
      <w:pPr>
        <w:adjustRightInd w:val="0"/>
        <w:snapToGrid w:val="0"/>
        <w:spacing w:line="332" w:lineRule="auto"/>
        <w:ind w:firstLineChars="200" w:firstLine="640"/>
        <w:rPr>
          <w:rFonts w:ascii="黑体" w:eastAsia="黑体" w:hAnsi="黑体" w:cs="仿宋_GB2312"/>
          <w:sz w:val="32"/>
          <w:szCs w:val="32"/>
        </w:rPr>
      </w:pPr>
      <w:r>
        <w:rPr>
          <w:rFonts w:ascii="黑体" w:eastAsia="黑体" w:hAnsi="黑体" w:cs="仿宋_GB2312" w:hint="eastAsia"/>
          <w:sz w:val="32"/>
          <w:szCs w:val="32"/>
        </w:rPr>
        <w:t>四、指标对比</w:t>
      </w:r>
    </w:p>
    <w:tbl>
      <w:tblPr>
        <w:tblStyle w:val="ac"/>
        <w:tblW w:w="8522" w:type="dxa"/>
        <w:jc w:val="center"/>
        <w:tblLayout w:type="fixed"/>
        <w:tblLook w:val="04A0" w:firstRow="1" w:lastRow="0" w:firstColumn="1" w:lastColumn="0" w:noHBand="0" w:noVBand="1"/>
      </w:tblPr>
      <w:tblGrid>
        <w:gridCol w:w="4219"/>
        <w:gridCol w:w="1985"/>
        <w:gridCol w:w="2318"/>
      </w:tblGrid>
      <w:tr w:rsidR="00C97237" w14:paraId="4FA903BD" w14:textId="77777777">
        <w:trPr>
          <w:jc w:val="center"/>
        </w:trPr>
        <w:tc>
          <w:tcPr>
            <w:tcW w:w="4219" w:type="dxa"/>
            <w:vAlign w:val="center"/>
          </w:tcPr>
          <w:p w14:paraId="6317E3E1" w14:textId="77777777" w:rsidR="00C97237" w:rsidRDefault="00000000">
            <w:pPr>
              <w:adjustRightInd w:val="0"/>
              <w:snapToGrid w:val="0"/>
              <w:spacing w:line="332"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指标（项目）</w:t>
            </w:r>
          </w:p>
        </w:tc>
        <w:tc>
          <w:tcPr>
            <w:tcW w:w="1985" w:type="dxa"/>
            <w:vAlign w:val="center"/>
          </w:tcPr>
          <w:p w14:paraId="268E11B8" w14:textId="77777777" w:rsidR="00C97237" w:rsidRDefault="00000000">
            <w:pPr>
              <w:adjustRightInd w:val="0"/>
              <w:snapToGrid w:val="0"/>
              <w:spacing w:line="332"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现状水平</w:t>
            </w:r>
          </w:p>
        </w:tc>
        <w:tc>
          <w:tcPr>
            <w:tcW w:w="2318" w:type="dxa"/>
            <w:vAlign w:val="center"/>
          </w:tcPr>
          <w:p w14:paraId="334A97A9" w14:textId="77777777" w:rsidR="00C97237" w:rsidRDefault="00000000">
            <w:pPr>
              <w:adjustRightInd w:val="0"/>
              <w:snapToGrid w:val="0"/>
              <w:spacing w:line="332"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升级版目标</w:t>
            </w:r>
          </w:p>
        </w:tc>
      </w:tr>
      <w:tr w:rsidR="00C97237" w14:paraId="6371B18A" w14:textId="77777777">
        <w:trPr>
          <w:jc w:val="center"/>
        </w:trPr>
        <w:tc>
          <w:tcPr>
            <w:tcW w:w="4219" w:type="dxa"/>
            <w:vAlign w:val="center"/>
          </w:tcPr>
          <w:p w14:paraId="22013F3B"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纳税次数（次数）</w:t>
            </w:r>
          </w:p>
        </w:tc>
        <w:tc>
          <w:tcPr>
            <w:tcW w:w="1985" w:type="dxa"/>
            <w:vAlign w:val="center"/>
          </w:tcPr>
          <w:p w14:paraId="24E37E8C"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2318" w:type="dxa"/>
            <w:vAlign w:val="center"/>
          </w:tcPr>
          <w:p w14:paraId="467A789B"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r>
      <w:tr w:rsidR="00C97237" w14:paraId="1161B64B" w14:textId="77777777">
        <w:trPr>
          <w:jc w:val="center"/>
        </w:trPr>
        <w:tc>
          <w:tcPr>
            <w:tcW w:w="4219" w:type="dxa"/>
            <w:vAlign w:val="center"/>
          </w:tcPr>
          <w:p w14:paraId="1BB4F62B"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纳税时间（小时）</w:t>
            </w:r>
          </w:p>
        </w:tc>
        <w:tc>
          <w:tcPr>
            <w:tcW w:w="1985" w:type="dxa"/>
            <w:vAlign w:val="center"/>
          </w:tcPr>
          <w:p w14:paraId="08548CD7"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69.39</w:t>
            </w:r>
          </w:p>
        </w:tc>
        <w:tc>
          <w:tcPr>
            <w:tcW w:w="2318" w:type="dxa"/>
            <w:vAlign w:val="center"/>
          </w:tcPr>
          <w:p w14:paraId="2EABD6F1"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65.23</w:t>
            </w:r>
          </w:p>
        </w:tc>
      </w:tr>
      <w:tr w:rsidR="00C97237" w14:paraId="2F2199A3" w14:textId="77777777">
        <w:trPr>
          <w:jc w:val="center"/>
        </w:trPr>
        <w:tc>
          <w:tcPr>
            <w:tcW w:w="4219" w:type="dxa"/>
            <w:vAlign w:val="center"/>
          </w:tcPr>
          <w:p w14:paraId="6C9B0D72"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总税收和缴费率（%）</w:t>
            </w:r>
          </w:p>
        </w:tc>
        <w:tc>
          <w:tcPr>
            <w:tcW w:w="1985" w:type="dxa"/>
            <w:vAlign w:val="center"/>
          </w:tcPr>
          <w:p w14:paraId="135FC315"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43.95</w:t>
            </w:r>
          </w:p>
        </w:tc>
        <w:tc>
          <w:tcPr>
            <w:tcW w:w="2318" w:type="dxa"/>
            <w:vAlign w:val="center"/>
          </w:tcPr>
          <w:p w14:paraId="5BCBA90F"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43.95</w:t>
            </w:r>
          </w:p>
        </w:tc>
      </w:tr>
      <w:tr w:rsidR="00C97237" w14:paraId="660F40DE" w14:textId="77777777">
        <w:trPr>
          <w:jc w:val="center"/>
        </w:trPr>
        <w:tc>
          <w:tcPr>
            <w:tcW w:w="4219" w:type="dxa"/>
            <w:vAlign w:val="center"/>
          </w:tcPr>
          <w:p w14:paraId="370FDF5A"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报税后流程指数（0-100）</w:t>
            </w:r>
          </w:p>
        </w:tc>
        <w:tc>
          <w:tcPr>
            <w:tcW w:w="1985" w:type="dxa"/>
            <w:vAlign w:val="center"/>
          </w:tcPr>
          <w:p w14:paraId="76F85110"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50</w:t>
            </w:r>
          </w:p>
        </w:tc>
        <w:tc>
          <w:tcPr>
            <w:tcW w:w="2318" w:type="dxa"/>
            <w:vAlign w:val="center"/>
          </w:tcPr>
          <w:p w14:paraId="2F4ADD0E" w14:textId="77777777" w:rsidR="00C97237" w:rsidRDefault="00000000">
            <w:pPr>
              <w:adjustRightInd w:val="0"/>
              <w:snapToGrid w:val="0"/>
              <w:spacing w:line="332"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52.5</w:t>
            </w:r>
          </w:p>
        </w:tc>
      </w:tr>
    </w:tbl>
    <w:p w14:paraId="72387C3B" w14:textId="77777777" w:rsidR="00C97237" w:rsidRDefault="00000000">
      <w:pPr>
        <w:adjustRightInd w:val="0"/>
        <w:snapToGrid w:val="0"/>
        <w:spacing w:beforeLines="50" w:before="156" w:line="331"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五、保障措施</w:t>
      </w:r>
    </w:p>
    <w:p w14:paraId="7C02DFBC" w14:textId="77777777" w:rsidR="00C97237" w:rsidRDefault="00000000">
      <w:pPr>
        <w:adjustRightInd w:val="0"/>
        <w:snapToGrid w:val="0"/>
        <w:spacing w:line="332" w:lineRule="auto"/>
        <w:ind w:firstLineChars="200" w:firstLine="640"/>
        <w:rPr>
          <w:rFonts w:ascii="楷体" w:eastAsia="楷体" w:hAnsi="楷体" w:cs="楷体_GB2312"/>
          <w:bCs/>
          <w:sz w:val="32"/>
          <w:szCs w:val="32"/>
        </w:rPr>
      </w:pPr>
      <w:r>
        <w:rPr>
          <w:rFonts w:ascii="楷体" w:eastAsia="楷体" w:hAnsi="楷体" w:cs="楷体_GB2312" w:hint="eastAsia"/>
          <w:bCs/>
          <w:sz w:val="32"/>
          <w:szCs w:val="32"/>
        </w:rPr>
        <w:t>（一）加强组织领导</w:t>
      </w:r>
    </w:p>
    <w:p w14:paraId="154E3CB1"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缴纳税费提升工作专班要加强沟通对接，加强部门协同配合，加大数据共享力度，形成工作合力。各级税务部门加强组织领导和统筹协调，强化上下联动，定期研究部署、统筹推进，做到“放管服”三管齐下、协同发力，按照时间节点高质量落实各项措施。在税务领域深入推行“好差评”制</w:t>
      </w:r>
      <w:r>
        <w:rPr>
          <w:rFonts w:ascii="仿宋_GB2312" w:eastAsia="仿宋_GB2312" w:hAnsi="仿宋_GB2312" w:cs="仿宋_GB2312" w:hint="eastAsia"/>
          <w:sz w:val="32"/>
          <w:szCs w:val="32"/>
        </w:rPr>
        <w:lastRenderedPageBreak/>
        <w:t>度，健全激励、问责和容错纠错机制，适时开展监督检查和评估总结，减轻基层负担，促进执法方式持续优化、征管效能持续提升。</w:t>
      </w:r>
    </w:p>
    <w:p w14:paraId="757AFC7C" w14:textId="77777777" w:rsidR="00C97237" w:rsidRDefault="00000000">
      <w:pPr>
        <w:adjustRightInd w:val="0"/>
        <w:snapToGrid w:val="0"/>
        <w:spacing w:line="332" w:lineRule="auto"/>
        <w:ind w:firstLineChars="200" w:firstLine="640"/>
        <w:rPr>
          <w:rFonts w:ascii="楷体" w:eastAsia="楷体" w:hAnsi="楷体" w:cs="楷体_GB2312"/>
          <w:bCs/>
          <w:sz w:val="32"/>
          <w:szCs w:val="32"/>
        </w:rPr>
      </w:pPr>
      <w:r>
        <w:rPr>
          <w:rFonts w:ascii="楷体" w:eastAsia="楷体" w:hAnsi="楷体" w:cs="楷体_GB2312" w:hint="eastAsia"/>
          <w:bCs/>
          <w:sz w:val="32"/>
          <w:szCs w:val="32"/>
        </w:rPr>
        <w:t>（二）凝聚工作合力</w:t>
      </w:r>
    </w:p>
    <w:p w14:paraId="0A350501" w14:textId="77777777" w:rsidR="00C97237" w:rsidRDefault="00000000">
      <w:pPr>
        <w:adjustRightInd w:val="0"/>
        <w:snapToGrid w:val="0"/>
        <w:spacing w:line="332"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税务局会同有关部门面向市场主体和社会公众，充分利用报刊、广播、电视、网络、“两微一端”等媒体和平台，认真做好宣传工作，准确解读便民利企政策措施，及时回应社会关切，正确引导社会预期，为持续推进纳税缴费便利化改革、优化税收营商环境营造良好舆论氛围。</w:t>
      </w:r>
    </w:p>
    <w:p w14:paraId="2F0DB6D4" w14:textId="77777777" w:rsidR="00C97237" w:rsidRDefault="00000000">
      <w:pPr>
        <w:widowControl/>
        <w:spacing w:line="580" w:lineRule="exact"/>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t>附件9</w:t>
      </w:r>
    </w:p>
    <w:p w14:paraId="3C2BB716" w14:textId="77777777" w:rsidR="00C97237" w:rsidRDefault="00000000">
      <w:pPr>
        <w:pStyle w:val="Default"/>
        <w:jc w:val="center"/>
      </w:pPr>
      <w:r>
        <w:rPr>
          <w:rFonts w:ascii="黑体" w:eastAsia="黑体" w:hAnsi="黑体" w:cs="黑体" w:hint="eastAsia"/>
          <w:sz w:val="44"/>
          <w:szCs w:val="44"/>
          <w:lang w:bidi="ar"/>
        </w:rPr>
        <w:t>偃师区跨境贸易提升专项行动方案</w:t>
      </w:r>
    </w:p>
    <w:p w14:paraId="741B9930" w14:textId="77777777" w:rsidR="00C97237" w:rsidRDefault="00000000">
      <w:pPr>
        <w:ind w:firstLineChars="200" w:firstLine="640"/>
        <w:rPr>
          <w:rFonts w:ascii="仿宋" w:eastAsia="仿宋" w:hAnsi="仿宋"/>
          <w:sz w:val="32"/>
          <w:szCs w:val="32"/>
        </w:rPr>
      </w:pPr>
      <w:r>
        <w:rPr>
          <w:rFonts w:ascii="仿宋" w:eastAsia="仿宋" w:hAnsi="仿宋"/>
          <w:sz w:val="32"/>
          <w:szCs w:val="32"/>
        </w:rPr>
        <w:t>为贯彻落实党中央、国务院深化“放管服”改革、优化营商环境决策部署、</w:t>
      </w:r>
      <w:r>
        <w:rPr>
          <w:rFonts w:ascii="仿宋" w:eastAsia="仿宋" w:hAnsi="仿宋" w:hint="eastAsia"/>
          <w:sz w:val="32"/>
          <w:szCs w:val="32"/>
        </w:rPr>
        <w:t>按照</w:t>
      </w:r>
      <w:r>
        <w:rPr>
          <w:rFonts w:ascii="仿宋" w:eastAsia="仿宋" w:hAnsi="仿宋"/>
          <w:sz w:val="32"/>
          <w:szCs w:val="32"/>
        </w:rPr>
        <w:t>省委省政府</w:t>
      </w:r>
      <w:r>
        <w:rPr>
          <w:rFonts w:ascii="仿宋" w:eastAsia="仿宋" w:hAnsi="仿宋" w:hint="eastAsia"/>
          <w:sz w:val="32"/>
          <w:szCs w:val="32"/>
        </w:rPr>
        <w:t>、洛阳市</w:t>
      </w:r>
      <w:r>
        <w:rPr>
          <w:rFonts w:ascii="仿宋" w:eastAsia="仿宋" w:hAnsi="仿宋"/>
          <w:sz w:val="32"/>
          <w:szCs w:val="32"/>
        </w:rPr>
        <w:t>市委市政府</w:t>
      </w:r>
      <w:r>
        <w:rPr>
          <w:rFonts w:ascii="仿宋" w:eastAsia="仿宋" w:hAnsi="仿宋" w:hint="eastAsia"/>
          <w:sz w:val="32"/>
          <w:szCs w:val="32"/>
        </w:rPr>
        <w:t>、偃师区委区政府</w:t>
      </w:r>
      <w:r>
        <w:rPr>
          <w:rFonts w:ascii="仿宋" w:eastAsia="仿宋" w:hAnsi="仿宋"/>
          <w:sz w:val="32"/>
          <w:szCs w:val="32"/>
        </w:rPr>
        <w:t>要求，持续提高</w:t>
      </w:r>
      <w:r>
        <w:rPr>
          <w:rFonts w:ascii="仿宋" w:eastAsia="仿宋" w:hAnsi="仿宋" w:hint="eastAsia"/>
          <w:sz w:val="32"/>
          <w:szCs w:val="32"/>
        </w:rPr>
        <w:t>我区</w:t>
      </w:r>
      <w:r>
        <w:rPr>
          <w:rFonts w:ascii="仿宋" w:eastAsia="仿宋" w:hAnsi="仿宋"/>
          <w:sz w:val="32"/>
          <w:szCs w:val="32"/>
        </w:rPr>
        <w:t>跨境贸易便利化水平，打造市场化、法治化营商环境， 服务开放</w:t>
      </w:r>
      <w:r>
        <w:rPr>
          <w:rFonts w:ascii="仿宋" w:eastAsia="仿宋" w:hAnsi="仿宋" w:hint="eastAsia"/>
          <w:sz w:val="32"/>
          <w:szCs w:val="32"/>
        </w:rPr>
        <w:t>强区</w:t>
      </w:r>
      <w:r>
        <w:rPr>
          <w:rFonts w:ascii="仿宋" w:eastAsia="仿宋" w:hAnsi="仿宋"/>
          <w:sz w:val="32"/>
          <w:szCs w:val="32"/>
        </w:rPr>
        <w:t xml:space="preserve">建设，特制定以下工作方案。 </w:t>
      </w:r>
    </w:p>
    <w:p w14:paraId="61D0AA3E" w14:textId="77777777" w:rsidR="00C97237" w:rsidRDefault="00000000">
      <w:pPr>
        <w:pStyle w:val="af"/>
        <w:numPr>
          <w:ilvl w:val="0"/>
          <w:numId w:val="8"/>
        </w:numPr>
        <w:ind w:firstLineChars="0"/>
        <w:rPr>
          <w:rFonts w:ascii="仿宋" w:eastAsia="仿宋" w:hAnsi="仿宋"/>
          <w:sz w:val="32"/>
          <w:szCs w:val="32"/>
        </w:rPr>
      </w:pPr>
      <w:r>
        <w:rPr>
          <w:rFonts w:ascii="仿宋" w:eastAsia="仿宋" w:hAnsi="仿宋"/>
          <w:b/>
          <w:sz w:val="32"/>
          <w:szCs w:val="32"/>
        </w:rPr>
        <w:t>总体要求</w:t>
      </w:r>
      <w:r>
        <w:rPr>
          <w:rFonts w:ascii="仿宋" w:eastAsia="仿宋" w:hAnsi="仿宋"/>
          <w:sz w:val="32"/>
          <w:szCs w:val="32"/>
        </w:rPr>
        <w:t xml:space="preserve"> </w:t>
      </w:r>
    </w:p>
    <w:p w14:paraId="1D1FE444" w14:textId="77777777" w:rsidR="00C97237" w:rsidRDefault="00000000">
      <w:pPr>
        <w:ind w:firstLineChars="150" w:firstLine="480"/>
        <w:rPr>
          <w:rFonts w:ascii="仿宋" w:eastAsia="仿宋" w:hAnsi="仿宋"/>
          <w:sz w:val="32"/>
          <w:szCs w:val="32"/>
        </w:rPr>
      </w:pPr>
      <w:r>
        <w:rPr>
          <w:rFonts w:ascii="仿宋" w:eastAsia="仿宋" w:hAnsi="仿宋"/>
          <w:sz w:val="32"/>
          <w:szCs w:val="32"/>
        </w:rPr>
        <w:t>坚持以习近平新时代中国特色社会主义思想为指导，全面贯彻落实党的十九大和十九届历次全会精神，深入学习贯彻习近平总书记视察河南重要讲话重要指示，立足新发展阶段，全面贯彻新发展理念，以</w:t>
      </w:r>
      <w:r>
        <w:rPr>
          <w:rFonts w:ascii="仿宋" w:eastAsia="仿宋" w:hAnsi="仿宋" w:hint="eastAsia"/>
          <w:sz w:val="32"/>
          <w:szCs w:val="32"/>
        </w:rPr>
        <w:t>提升全区外贸企业</w:t>
      </w:r>
      <w:r>
        <w:rPr>
          <w:rFonts w:ascii="仿宋" w:eastAsia="仿宋" w:hAnsi="仿宋"/>
          <w:sz w:val="32"/>
          <w:szCs w:val="32"/>
        </w:rPr>
        <w:t>跨境贸易便利化为目标，以创新服务为抓手，进一步深化改革创新、降低通关成本、提升综合服务能力、改善跨境贸易服务环境，</w:t>
      </w:r>
      <w:r>
        <w:rPr>
          <w:rFonts w:ascii="仿宋" w:eastAsia="仿宋" w:hAnsi="仿宋"/>
          <w:sz w:val="32"/>
          <w:szCs w:val="32"/>
        </w:rPr>
        <w:lastRenderedPageBreak/>
        <w:t>加快营造便捷、公平、透明、可预期的跨境贸易发展环境，助推开放强</w:t>
      </w:r>
      <w:r>
        <w:rPr>
          <w:rFonts w:ascii="仿宋" w:eastAsia="仿宋" w:hAnsi="仿宋" w:hint="eastAsia"/>
          <w:sz w:val="32"/>
          <w:szCs w:val="32"/>
        </w:rPr>
        <w:t>区强市</w:t>
      </w:r>
      <w:r>
        <w:rPr>
          <w:rFonts w:ascii="仿宋" w:eastAsia="仿宋" w:hAnsi="仿宋"/>
          <w:sz w:val="32"/>
          <w:szCs w:val="32"/>
        </w:rPr>
        <w:t>，助力“</w:t>
      </w:r>
      <w:r>
        <w:rPr>
          <w:rFonts w:ascii="仿宋" w:eastAsia="仿宋" w:hAnsi="仿宋" w:hint="eastAsia"/>
          <w:sz w:val="32"/>
          <w:szCs w:val="32"/>
        </w:rPr>
        <w:t>洛阳</w:t>
      </w:r>
      <w:r>
        <w:rPr>
          <w:rFonts w:ascii="仿宋" w:eastAsia="仿宋" w:hAnsi="仿宋"/>
          <w:sz w:val="32"/>
          <w:szCs w:val="32"/>
        </w:rPr>
        <w:t>副中心</w:t>
      </w:r>
      <w:r>
        <w:rPr>
          <w:rFonts w:ascii="仿宋" w:eastAsia="仿宋" w:hAnsi="仿宋" w:hint="eastAsia"/>
          <w:sz w:val="32"/>
          <w:szCs w:val="32"/>
        </w:rPr>
        <w:t>建设</w:t>
      </w:r>
      <w:r>
        <w:rPr>
          <w:rFonts w:ascii="仿宋" w:eastAsia="仿宋" w:hAnsi="仿宋"/>
          <w:sz w:val="32"/>
          <w:szCs w:val="32"/>
        </w:rPr>
        <w:t>、形成</w:t>
      </w:r>
      <w:r>
        <w:rPr>
          <w:rFonts w:ascii="仿宋" w:eastAsia="仿宋" w:hAnsi="仿宋" w:hint="eastAsia"/>
          <w:sz w:val="32"/>
          <w:szCs w:val="32"/>
        </w:rPr>
        <w:t>东部</w:t>
      </w:r>
      <w:r>
        <w:rPr>
          <w:rFonts w:ascii="仿宋" w:eastAsia="仿宋" w:hAnsi="仿宋"/>
          <w:sz w:val="32"/>
          <w:szCs w:val="32"/>
        </w:rPr>
        <w:t>增长极”。</w:t>
      </w:r>
    </w:p>
    <w:p w14:paraId="6B84D313" w14:textId="77777777" w:rsidR="00C97237" w:rsidRDefault="00000000">
      <w:pPr>
        <w:pStyle w:val="af"/>
        <w:numPr>
          <w:ilvl w:val="0"/>
          <w:numId w:val="8"/>
        </w:numPr>
        <w:ind w:firstLineChars="0"/>
        <w:rPr>
          <w:rFonts w:ascii="仿宋" w:eastAsia="仿宋" w:hAnsi="仿宋"/>
          <w:sz w:val="32"/>
          <w:szCs w:val="32"/>
        </w:rPr>
      </w:pPr>
      <w:r>
        <w:rPr>
          <w:rFonts w:ascii="仿宋" w:eastAsia="仿宋" w:hAnsi="仿宋"/>
          <w:b/>
          <w:sz w:val="32"/>
          <w:szCs w:val="32"/>
        </w:rPr>
        <w:t xml:space="preserve">工作目标 </w:t>
      </w:r>
    </w:p>
    <w:p w14:paraId="61A27FF4" w14:textId="77777777" w:rsidR="00C97237" w:rsidRDefault="00000000">
      <w:pPr>
        <w:ind w:firstLineChars="200" w:firstLine="640"/>
        <w:rPr>
          <w:rFonts w:ascii="仿宋" w:eastAsia="仿宋" w:hAnsi="仿宋"/>
          <w:sz w:val="32"/>
          <w:szCs w:val="32"/>
        </w:rPr>
      </w:pPr>
      <w:r>
        <w:rPr>
          <w:rFonts w:ascii="仿宋" w:eastAsia="仿宋" w:hAnsi="仿宋"/>
          <w:sz w:val="32"/>
          <w:szCs w:val="32"/>
        </w:rPr>
        <w:t>在 2021年基础上全</w:t>
      </w:r>
      <w:r>
        <w:rPr>
          <w:rFonts w:ascii="仿宋" w:eastAsia="仿宋" w:hAnsi="仿宋" w:hint="eastAsia"/>
          <w:sz w:val="32"/>
          <w:szCs w:val="32"/>
        </w:rPr>
        <w:t>区</w:t>
      </w:r>
      <w:r>
        <w:rPr>
          <w:rFonts w:ascii="仿宋" w:eastAsia="仿宋" w:hAnsi="仿宋"/>
          <w:sz w:val="32"/>
          <w:szCs w:val="32"/>
        </w:rPr>
        <w:t>跨境贸易便利化营商环境水平进一步提升，</w:t>
      </w:r>
      <w:r>
        <w:rPr>
          <w:rFonts w:ascii="仿宋" w:eastAsia="仿宋" w:hAnsi="仿宋" w:hint="eastAsia"/>
          <w:sz w:val="32"/>
          <w:szCs w:val="32"/>
        </w:rPr>
        <w:t>力拱洛阳</w:t>
      </w:r>
      <w:r>
        <w:rPr>
          <w:rFonts w:ascii="仿宋" w:eastAsia="仿宋" w:hAnsi="仿宋"/>
          <w:sz w:val="32"/>
          <w:szCs w:val="32"/>
        </w:rPr>
        <w:t>跨境贸易便利化指标居中西部地区前列。</w:t>
      </w:r>
      <w:r>
        <w:rPr>
          <w:rFonts w:ascii="仿宋" w:eastAsia="仿宋" w:hAnsi="仿宋" w:hint="eastAsia"/>
          <w:sz w:val="32"/>
          <w:szCs w:val="32"/>
        </w:rPr>
        <w:t>力促企业跨境贸易</w:t>
      </w:r>
      <w:r>
        <w:rPr>
          <w:rFonts w:ascii="仿宋" w:eastAsia="仿宋" w:hAnsi="仿宋"/>
          <w:sz w:val="32"/>
          <w:szCs w:val="32"/>
        </w:rPr>
        <w:t>运营环境明显改善，进出口环节合规成本进一步降低；</w:t>
      </w:r>
      <w:r>
        <w:rPr>
          <w:rFonts w:ascii="仿宋" w:eastAsia="仿宋" w:hAnsi="仿宋" w:hint="eastAsia"/>
          <w:sz w:val="32"/>
          <w:szCs w:val="32"/>
        </w:rPr>
        <w:t>以</w:t>
      </w:r>
      <w:r>
        <w:rPr>
          <w:rFonts w:ascii="仿宋" w:eastAsia="仿宋" w:hAnsi="仿宋"/>
          <w:sz w:val="32"/>
          <w:szCs w:val="32"/>
        </w:rPr>
        <w:t>中国（河南） 国际贸易单一窗口（以下简称河南“单一窗口”） 跨境贸易通关政务服务的主平台</w:t>
      </w:r>
      <w:r>
        <w:rPr>
          <w:rFonts w:ascii="仿宋" w:eastAsia="仿宋" w:hAnsi="仿宋" w:hint="eastAsia"/>
          <w:sz w:val="32"/>
          <w:szCs w:val="32"/>
        </w:rPr>
        <w:t>为依托，全方位服务我区</w:t>
      </w:r>
      <w:r>
        <w:rPr>
          <w:rFonts w:ascii="仿宋" w:eastAsia="仿宋" w:hAnsi="仿宋"/>
          <w:sz w:val="32"/>
          <w:szCs w:val="32"/>
        </w:rPr>
        <w:t>跨境贸易</w:t>
      </w:r>
      <w:r>
        <w:rPr>
          <w:rFonts w:ascii="仿宋" w:eastAsia="仿宋" w:hAnsi="仿宋" w:hint="eastAsia"/>
          <w:sz w:val="32"/>
          <w:szCs w:val="32"/>
        </w:rPr>
        <w:t>企业</w:t>
      </w:r>
      <w:r>
        <w:rPr>
          <w:rFonts w:ascii="仿宋" w:eastAsia="仿宋" w:hAnsi="仿宋"/>
          <w:sz w:val="32"/>
          <w:szCs w:val="32"/>
        </w:rPr>
        <w:t>。</w:t>
      </w:r>
    </w:p>
    <w:p w14:paraId="32139DD1" w14:textId="77777777" w:rsidR="00C97237" w:rsidRDefault="00000000">
      <w:pPr>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b/>
          <w:sz w:val="32"/>
          <w:szCs w:val="32"/>
        </w:rPr>
        <w:t xml:space="preserve">三、任务举措 </w:t>
      </w:r>
    </w:p>
    <w:p w14:paraId="359A1D2A" w14:textId="77777777" w:rsidR="00C97237" w:rsidRDefault="00000000">
      <w:pPr>
        <w:ind w:firstLineChars="200" w:firstLine="640"/>
        <w:rPr>
          <w:rFonts w:ascii="仿宋" w:eastAsia="仿宋" w:hAnsi="仿宋"/>
          <w:sz w:val="32"/>
          <w:szCs w:val="32"/>
        </w:rPr>
      </w:pPr>
      <w:r>
        <w:rPr>
          <w:rFonts w:ascii="仿宋" w:eastAsia="仿宋" w:hAnsi="仿宋"/>
          <w:sz w:val="32"/>
          <w:szCs w:val="32"/>
        </w:rPr>
        <w:t>（一）进一步深化改革创新</w:t>
      </w:r>
      <w:r>
        <w:rPr>
          <w:rFonts w:ascii="仿宋" w:eastAsia="仿宋" w:hAnsi="仿宋" w:hint="eastAsia"/>
          <w:sz w:val="32"/>
          <w:szCs w:val="32"/>
        </w:rPr>
        <w:t>。引导我区外贸企业熟悉了解、落实洛阳海关</w:t>
      </w:r>
      <w:r>
        <w:rPr>
          <w:rFonts w:ascii="仿宋" w:eastAsia="仿宋" w:hAnsi="仿宋"/>
          <w:sz w:val="32"/>
          <w:szCs w:val="32"/>
        </w:rPr>
        <w:t>推进全业务领域一体化</w:t>
      </w:r>
      <w:r>
        <w:rPr>
          <w:rFonts w:ascii="仿宋" w:eastAsia="仿宋" w:hAnsi="仿宋" w:hint="eastAsia"/>
          <w:sz w:val="32"/>
          <w:szCs w:val="32"/>
        </w:rPr>
        <w:t>政策，配合洛阳海关</w:t>
      </w:r>
      <w:r>
        <w:rPr>
          <w:rFonts w:ascii="仿宋" w:eastAsia="仿宋" w:hAnsi="仿宋"/>
          <w:sz w:val="32"/>
          <w:szCs w:val="32"/>
        </w:rPr>
        <w:t>优化进出口货物通关模式</w:t>
      </w:r>
      <w:r>
        <w:rPr>
          <w:rFonts w:ascii="仿宋" w:eastAsia="仿宋" w:hAnsi="仿宋" w:hint="eastAsia"/>
          <w:sz w:val="32"/>
          <w:szCs w:val="32"/>
        </w:rPr>
        <w:t>，</w:t>
      </w:r>
      <w:r>
        <w:rPr>
          <w:rFonts w:ascii="仿宋" w:eastAsia="仿宋" w:hAnsi="仿宋"/>
          <w:sz w:val="32"/>
          <w:szCs w:val="32"/>
        </w:rPr>
        <w:t>提高</w:t>
      </w:r>
      <w:r>
        <w:rPr>
          <w:rFonts w:ascii="仿宋" w:eastAsia="仿宋" w:hAnsi="仿宋" w:hint="eastAsia"/>
          <w:sz w:val="32"/>
          <w:szCs w:val="32"/>
        </w:rPr>
        <w:t>企业</w:t>
      </w:r>
      <w:r>
        <w:rPr>
          <w:rFonts w:ascii="仿宋" w:eastAsia="仿宋" w:hAnsi="仿宋"/>
          <w:sz w:val="32"/>
          <w:szCs w:val="32"/>
        </w:rPr>
        <w:t>出口便利化水平，优化</w:t>
      </w:r>
      <w:r>
        <w:rPr>
          <w:rFonts w:ascii="仿宋" w:eastAsia="仿宋" w:hAnsi="仿宋" w:hint="eastAsia"/>
          <w:sz w:val="32"/>
          <w:szCs w:val="32"/>
        </w:rPr>
        <w:t>进</w:t>
      </w:r>
      <w:r>
        <w:rPr>
          <w:rFonts w:ascii="仿宋" w:eastAsia="仿宋" w:hAnsi="仿宋"/>
          <w:sz w:val="32"/>
          <w:szCs w:val="32"/>
        </w:rPr>
        <w:t>出口环节服务。</w:t>
      </w:r>
    </w:p>
    <w:p w14:paraId="745D9D9C" w14:textId="77777777" w:rsidR="00C97237" w:rsidRDefault="00000000">
      <w:pPr>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深入推进“主动披露”制度和容错机制实施。及时了解企业进出口需求，加大涉企政策宣传，便利企业利用“主动披露”制度和容错机制。</w:t>
      </w:r>
    </w:p>
    <w:p w14:paraId="46746335" w14:textId="77777777" w:rsidR="00C97237" w:rsidRDefault="00000000">
      <w:p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整合跨境贸易数据资源。充分利用大数据、区块链、5G、移动互联网等现代信息技术，依托河南“单一窗口”，信息共享共用，为企业提供便利精准的贸易数据分析及风险预警，为政府部门决策提供数据信息支撑。</w:t>
      </w:r>
    </w:p>
    <w:p w14:paraId="7A0EB3B4" w14:textId="77777777" w:rsidR="00C97237" w:rsidRDefault="00000000">
      <w:pPr>
        <w:ind w:firstLineChars="200" w:firstLine="640"/>
        <w:rPr>
          <w:rFonts w:ascii="仿宋" w:eastAsia="仿宋" w:hAnsi="仿宋"/>
          <w:sz w:val="32"/>
          <w:szCs w:val="32"/>
        </w:rPr>
      </w:pPr>
      <w:r>
        <w:rPr>
          <w:rFonts w:ascii="仿宋" w:eastAsia="仿宋" w:hAnsi="仿宋"/>
          <w:sz w:val="32"/>
          <w:szCs w:val="32"/>
        </w:rPr>
        <w:lastRenderedPageBreak/>
        <w:t>（四）改善跨境贸易服务环境</w:t>
      </w:r>
      <w:r>
        <w:rPr>
          <w:rFonts w:ascii="仿宋" w:eastAsia="仿宋" w:hAnsi="仿宋" w:hint="eastAsia"/>
          <w:sz w:val="32"/>
          <w:szCs w:val="32"/>
        </w:rPr>
        <w:t>。</w:t>
      </w:r>
      <w:r>
        <w:rPr>
          <w:rFonts w:ascii="仿宋" w:eastAsia="仿宋" w:hAnsi="仿宋"/>
          <w:sz w:val="32"/>
          <w:szCs w:val="32"/>
        </w:rPr>
        <w:t>及时回应和解决进出口企业所提意见建议，确保</w:t>
      </w:r>
      <w:r>
        <w:rPr>
          <w:rFonts w:ascii="仿宋" w:eastAsia="仿宋" w:hAnsi="仿宋" w:hint="eastAsia"/>
          <w:sz w:val="32"/>
          <w:szCs w:val="32"/>
        </w:rPr>
        <w:t>企业进出口</w:t>
      </w:r>
      <w:r>
        <w:rPr>
          <w:rFonts w:ascii="仿宋" w:eastAsia="仿宋" w:hAnsi="仿宋"/>
          <w:sz w:val="32"/>
          <w:szCs w:val="32"/>
        </w:rPr>
        <w:t>便捷高效。</w:t>
      </w:r>
    </w:p>
    <w:p w14:paraId="2110FD39" w14:textId="77777777" w:rsidR="00C97237" w:rsidRDefault="00000000">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加强政策和法律宣贯指导，提升企业守法经营和尊重知识产权意识。优化措施</w:t>
      </w:r>
      <w:r>
        <w:rPr>
          <w:rFonts w:ascii="仿宋" w:eastAsia="仿宋" w:hAnsi="仿宋" w:hint="eastAsia"/>
          <w:sz w:val="32"/>
          <w:szCs w:val="32"/>
        </w:rPr>
        <w:t>，</w:t>
      </w:r>
      <w:r>
        <w:rPr>
          <w:rFonts w:ascii="仿宋" w:eastAsia="仿宋" w:hAnsi="仿宋"/>
          <w:sz w:val="32"/>
          <w:szCs w:val="32"/>
        </w:rPr>
        <w:t>为企业创新和维权提供便捷服务。提升外贸企业的合规意识和技术创新能力，助力企业“走出去”。</w:t>
      </w:r>
    </w:p>
    <w:p w14:paraId="23CF3EDD" w14:textId="77777777" w:rsidR="00C97237" w:rsidRDefault="00000000">
      <w:pPr>
        <w:ind w:firstLineChars="200" w:firstLine="643"/>
        <w:rPr>
          <w:rFonts w:ascii="仿宋" w:eastAsia="仿宋" w:hAnsi="仿宋"/>
          <w:sz w:val="32"/>
          <w:szCs w:val="32"/>
        </w:rPr>
      </w:pPr>
      <w:r>
        <w:rPr>
          <w:rFonts w:ascii="仿宋" w:eastAsia="仿宋" w:hAnsi="仿宋"/>
          <w:b/>
          <w:sz w:val="32"/>
          <w:szCs w:val="32"/>
        </w:rPr>
        <w:t>四、保障措施</w:t>
      </w:r>
      <w:r>
        <w:rPr>
          <w:rFonts w:ascii="仿宋" w:eastAsia="仿宋" w:hAnsi="仿宋"/>
          <w:sz w:val="32"/>
          <w:szCs w:val="32"/>
        </w:rPr>
        <w:t xml:space="preserve"> </w:t>
      </w:r>
    </w:p>
    <w:p w14:paraId="60AB5EE1" w14:textId="77777777" w:rsidR="00C97237" w:rsidRDefault="00000000">
      <w:pPr>
        <w:ind w:firstLineChars="200" w:firstLine="640"/>
        <w:rPr>
          <w:rFonts w:ascii="仿宋" w:eastAsia="仿宋" w:hAnsi="仿宋"/>
          <w:sz w:val="32"/>
          <w:szCs w:val="32"/>
        </w:rPr>
      </w:pPr>
      <w:r>
        <w:rPr>
          <w:rFonts w:ascii="仿宋" w:eastAsia="仿宋" w:hAnsi="仿宋"/>
          <w:sz w:val="32"/>
          <w:szCs w:val="32"/>
        </w:rPr>
        <w:t>（一）加强组织领导。</w:t>
      </w:r>
      <w:r>
        <w:rPr>
          <w:rFonts w:ascii="仿宋" w:eastAsia="仿宋" w:hAnsi="仿宋" w:hint="eastAsia"/>
          <w:sz w:val="32"/>
          <w:szCs w:val="32"/>
        </w:rPr>
        <w:t>区</w:t>
      </w:r>
      <w:r>
        <w:rPr>
          <w:rFonts w:ascii="仿宋" w:eastAsia="仿宋" w:hAnsi="仿宋"/>
          <w:sz w:val="32"/>
          <w:szCs w:val="32"/>
        </w:rPr>
        <w:t>商务局</w:t>
      </w:r>
      <w:r>
        <w:rPr>
          <w:rFonts w:ascii="仿宋" w:eastAsia="仿宋" w:hAnsi="仿宋" w:hint="eastAsia"/>
          <w:sz w:val="32"/>
          <w:szCs w:val="32"/>
        </w:rPr>
        <w:t>牵头</w:t>
      </w:r>
      <w:r>
        <w:rPr>
          <w:rFonts w:ascii="仿宋" w:eastAsia="仿宋" w:hAnsi="仿宋"/>
          <w:sz w:val="32"/>
          <w:szCs w:val="32"/>
        </w:rPr>
        <w:t>统筹指导推进全</w:t>
      </w:r>
      <w:r>
        <w:rPr>
          <w:rFonts w:ascii="仿宋" w:eastAsia="仿宋" w:hAnsi="仿宋" w:hint="eastAsia"/>
          <w:sz w:val="32"/>
          <w:szCs w:val="32"/>
        </w:rPr>
        <w:t>区</w:t>
      </w:r>
      <w:r>
        <w:rPr>
          <w:rFonts w:ascii="仿宋" w:eastAsia="仿宋" w:hAnsi="仿宋"/>
          <w:sz w:val="32"/>
          <w:szCs w:val="32"/>
        </w:rPr>
        <w:t>跨境贸易便利化提升工作，</w:t>
      </w:r>
      <w:r>
        <w:rPr>
          <w:rFonts w:ascii="仿宋" w:eastAsia="仿宋" w:hAnsi="仿宋" w:hint="eastAsia"/>
          <w:sz w:val="32"/>
          <w:szCs w:val="32"/>
        </w:rPr>
        <w:t>外贸科</w:t>
      </w:r>
      <w:r>
        <w:rPr>
          <w:rFonts w:ascii="仿宋" w:eastAsia="仿宋" w:hAnsi="仿宋"/>
          <w:sz w:val="32"/>
          <w:szCs w:val="32"/>
        </w:rPr>
        <w:t>根据方案</w:t>
      </w:r>
      <w:r>
        <w:rPr>
          <w:rFonts w:ascii="仿宋" w:eastAsia="仿宋" w:hAnsi="仿宋" w:hint="eastAsia"/>
          <w:sz w:val="32"/>
          <w:szCs w:val="32"/>
        </w:rPr>
        <w:t>职责</w:t>
      </w:r>
      <w:r>
        <w:rPr>
          <w:rFonts w:ascii="仿宋" w:eastAsia="仿宋" w:hAnsi="仿宋"/>
          <w:sz w:val="32"/>
          <w:szCs w:val="32"/>
        </w:rPr>
        <w:t>，建立工作责任制，负责</w:t>
      </w:r>
      <w:r>
        <w:rPr>
          <w:rFonts w:ascii="仿宋" w:eastAsia="仿宋" w:hAnsi="仿宋" w:hint="eastAsia"/>
          <w:sz w:val="32"/>
          <w:szCs w:val="32"/>
        </w:rPr>
        <w:t>全</w:t>
      </w:r>
      <w:r>
        <w:rPr>
          <w:rFonts w:ascii="仿宋" w:eastAsia="仿宋" w:hAnsi="仿宋"/>
          <w:sz w:val="32"/>
          <w:szCs w:val="32"/>
        </w:rPr>
        <w:t xml:space="preserve">区跨境贸易提升专项方案落实工作。 </w:t>
      </w:r>
    </w:p>
    <w:p w14:paraId="2963B93A" w14:textId="77777777" w:rsidR="00C97237" w:rsidRDefault="00000000">
      <w:pPr>
        <w:ind w:firstLineChars="200" w:firstLine="640"/>
        <w:rPr>
          <w:rFonts w:ascii="仿宋" w:eastAsia="仿宋" w:hAnsi="仿宋"/>
          <w:sz w:val="32"/>
          <w:szCs w:val="32"/>
        </w:rPr>
      </w:pPr>
      <w:r>
        <w:rPr>
          <w:rFonts w:ascii="仿宋" w:eastAsia="仿宋" w:hAnsi="仿宋"/>
          <w:sz w:val="32"/>
          <w:szCs w:val="32"/>
        </w:rPr>
        <w:t>（二）落实工作职责。</w:t>
      </w:r>
      <w:r>
        <w:rPr>
          <w:rFonts w:ascii="仿宋" w:eastAsia="仿宋" w:hAnsi="仿宋" w:hint="eastAsia"/>
          <w:sz w:val="32"/>
          <w:szCs w:val="32"/>
        </w:rPr>
        <w:t>区商务局要</w:t>
      </w:r>
      <w:r>
        <w:rPr>
          <w:rFonts w:ascii="仿宋" w:eastAsia="仿宋" w:hAnsi="仿宋"/>
          <w:sz w:val="32"/>
          <w:szCs w:val="32"/>
        </w:rPr>
        <w:t>强化对本地跨境贸易便利化提升工作领导和统筹协调，健全工作机制，加强政策实施和资金保障，确保各项任务落实到位</w:t>
      </w:r>
      <w:r>
        <w:rPr>
          <w:rFonts w:ascii="仿宋" w:eastAsia="仿宋" w:hAnsi="仿宋" w:hint="eastAsia"/>
          <w:sz w:val="32"/>
          <w:szCs w:val="32"/>
        </w:rPr>
        <w:t>，</w:t>
      </w:r>
      <w:r>
        <w:rPr>
          <w:rFonts w:ascii="仿宋" w:eastAsia="仿宋" w:hAnsi="仿宋"/>
          <w:sz w:val="32"/>
          <w:szCs w:val="32"/>
        </w:rPr>
        <w:t xml:space="preserve">确保各项政策措施落地生效。 </w:t>
      </w:r>
    </w:p>
    <w:p w14:paraId="71C5B797" w14:textId="77777777" w:rsidR="00C97237" w:rsidRDefault="00000000">
      <w:pPr>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）加大政策宣传。</w:t>
      </w:r>
      <w:r>
        <w:rPr>
          <w:rFonts w:ascii="仿宋" w:eastAsia="仿宋" w:hAnsi="仿宋" w:hint="eastAsia"/>
          <w:sz w:val="32"/>
          <w:szCs w:val="32"/>
        </w:rPr>
        <w:t>要</w:t>
      </w:r>
      <w:r>
        <w:rPr>
          <w:rFonts w:ascii="仿宋" w:eastAsia="仿宋" w:hAnsi="仿宋"/>
          <w:sz w:val="32"/>
          <w:szCs w:val="32"/>
        </w:rPr>
        <w:t xml:space="preserve">加大政策宣传力度，充分发挥政府与企业合力，聚焦市场主体关切，引导企业用好用足各项利企便民政策措施，对企业反映的问题要及时回 应，积极推动研究解决，更好服务市场主体，大力营造良好社会舆论氛围。 </w:t>
      </w:r>
    </w:p>
    <w:p w14:paraId="49210DAC" w14:textId="77777777" w:rsidR="00C97237" w:rsidRDefault="00C97237">
      <w:pPr>
        <w:widowControl/>
        <w:spacing w:line="580" w:lineRule="exact"/>
        <w:jc w:val="left"/>
        <w:rPr>
          <w:rFonts w:ascii="黑体" w:eastAsia="黑体" w:hAnsi="黑体" w:cs="黑体"/>
          <w:color w:val="000000"/>
          <w:kern w:val="0"/>
          <w:sz w:val="44"/>
          <w:szCs w:val="44"/>
          <w:lang w:bidi="ar"/>
        </w:rPr>
      </w:pPr>
    </w:p>
    <w:p w14:paraId="14165608" w14:textId="77777777" w:rsidR="00C97237" w:rsidRDefault="00C97237">
      <w:pPr>
        <w:widowControl/>
        <w:spacing w:line="580" w:lineRule="exact"/>
        <w:jc w:val="left"/>
        <w:rPr>
          <w:rFonts w:ascii="黑体" w:eastAsia="黑体" w:hAnsi="黑体" w:cs="黑体"/>
          <w:color w:val="000000"/>
          <w:kern w:val="0"/>
          <w:sz w:val="44"/>
          <w:szCs w:val="44"/>
          <w:lang w:bidi="ar"/>
        </w:rPr>
      </w:pPr>
    </w:p>
    <w:p w14:paraId="37EF1C84" w14:textId="77777777" w:rsidR="00C97237" w:rsidRDefault="00C97237">
      <w:pPr>
        <w:widowControl/>
        <w:spacing w:line="580" w:lineRule="exact"/>
        <w:jc w:val="left"/>
        <w:rPr>
          <w:rFonts w:ascii="黑体" w:eastAsia="黑体" w:hAnsi="黑体" w:cs="黑体"/>
          <w:color w:val="000000"/>
          <w:kern w:val="0"/>
          <w:sz w:val="44"/>
          <w:szCs w:val="44"/>
          <w:lang w:bidi="ar"/>
        </w:rPr>
      </w:pPr>
    </w:p>
    <w:p w14:paraId="6B25C2DA" w14:textId="77777777" w:rsidR="00C97237" w:rsidRDefault="00C97237">
      <w:pPr>
        <w:widowControl/>
        <w:spacing w:line="580" w:lineRule="exact"/>
        <w:jc w:val="left"/>
        <w:rPr>
          <w:rFonts w:ascii="黑体" w:eastAsia="黑体" w:hAnsi="黑体" w:cs="黑体"/>
          <w:color w:val="000000"/>
          <w:kern w:val="0"/>
          <w:sz w:val="44"/>
          <w:szCs w:val="44"/>
          <w:lang w:bidi="ar"/>
        </w:rPr>
      </w:pPr>
    </w:p>
    <w:p w14:paraId="22B1094D" w14:textId="77777777" w:rsidR="00C97237" w:rsidRDefault="00C97237">
      <w:pPr>
        <w:widowControl/>
        <w:spacing w:line="580" w:lineRule="exact"/>
        <w:jc w:val="left"/>
        <w:rPr>
          <w:rFonts w:ascii="黑体" w:eastAsia="黑体" w:hAnsi="黑体" w:cs="黑体"/>
          <w:color w:val="000000"/>
          <w:kern w:val="0"/>
          <w:sz w:val="44"/>
          <w:szCs w:val="44"/>
          <w:lang w:bidi="ar"/>
        </w:rPr>
      </w:pPr>
    </w:p>
    <w:p w14:paraId="7CBE9C38" w14:textId="77777777" w:rsidR="00C97237" w:rsidRDefault="00C97237">
      <w:pPr>
        <w:widowControl/>
        <w:spacing w:line="580" w:lineRule="exact"/>
        <w:jc w:val="left"/>
        <w:rPr>
          <w:rFonts w:ascii="黑体" w:eastAsia="黑体" w:hAnsi="黑体" w:cs="黑体"/>
          <w:color w:val="000000"/>
          <w:kern w:val="0"/>
          <w:sz w:val="44"/>
          <w:szCs w:val="44"/>
          <w:lang w:bidi="ar"/>
        </w:rPr>
      </w:pPr>
    </w:p>
    <w:p w14:paraId="377C1AF6" w14:textId="77777777" w:rsidR="00C97237" w:rsidRDefault="00C97237">
      <w:pPr>
        <w:widowControl/>
        <w:spacing w:line="580" w:lineRule="exact"/>
        <w:jc w:val="left"/>
        <w:rPr>
          <w:rFonts w:ascii="黑体" w:eastAsia="黑体" w:hAnsi="黑体" w:cs="黑体"/>
          <w:color w:val="000000"/>
          <w:kern w:val="0"/>
          <w:sz w:val="44"/>
          <w:szCs w:val="44"/>
          <w:lang w:bidi="ar"/>
        </w:rPr>
      </w:pPr>
    </w:p>
    <w:p w14:paraId="2F232AB5" w14:textId="77777777" w:rsidR="00C97237" w:rsidRDefault="00C97237">
      <w:pPr>
        <w:widowControl/>
        <w:spacing w:line="580" w:lineRule="exact"/>
        <w:jc w:val="left"/>
        <w:rPr>
          <w:rFonts w:ascii="黑体" w:eastAsia="黑体" w:hAnsi="黑体" w:cs="黑体"/>
          <w:color w:val="000000"/>
          <w:kern w:val="0"/>
          <w:sz w:val="44"/>
          <w:szCs w:val="44"/>
          <w:lang w:bidi="ar"/>
        </w:rPr>
      </w:pPr>
    </w:p>
    <w:p w14:paraId="732A2556" w14:textId="77777777" w:rsidR="00C97237" w:rsidRDefault="00C97237">
      <w:pPr>
        <w:widowControl/>
        <w:spacing w:line="580" w:lineRule="exact"/>
        <w:jc w:val="left"/>
        <w:rPr>
          <w:rFonts w:ascii="黑体" w:eastAsia="黑体" w:hAnsi="黑体" w:cs="黑体"/>
          <w:color w:val="000000"/>
          <w:kern w:val="0"/>
          <w:sz w:val="44"/>
          <w:szCs w:val="44"/>
          <w:lang w:bidi="ar"/>
        </w:rPr>
      </w:pPr>
    </w:p>
    <w:p w14:paraId="32E74E4D" w14:textId="77777777" w:rsidR="00C97237" w:rsidRDefault="00C97237">
      <w:pPr>
        <w:widowControl/>
        <w:spacing w:line="580" w:lineRule="exact"/>
        <w:jc w:val="left"/>
        <w:rPr>
          <w:rFonts w:ascii="黑体" w:eastAsia="黑体" w:hAnsi="黑体" w:cs="黑体"/>
          <w:color w:val="000000"/>
          <w:kern w:val="0"/>
          <w:sz w:val="44"/>
          <w:szCs w:val="44"/>
          <w:lang w:bidi="ar"/>
        </w:rPr>
      </w:pPr>
    </w:p>
    <w:p w14:paraId="6EB3B5C3" w14:textId="77777777" w:rsidR="00C97237" w:rsidRDefault="00C97237">
      <w:pPr>
        <w:widowControl/>
        <w:spacing w:line="580" w:lineRule="exact"/>
        <w:jc w:val="left"/>
        <w:rPr>
          <w:rFonts w:ascii="黑体" w:eastAsia="黑体" w:hAnsi="黑体" w:cs="黑体"/>
          <w:color w:val="000000"/>
          <w:kern w:val="0"/>
          <w:sz w:val="44"/>
          <w:szCs w:val="44"/>
          <w:lang w:bidi="ar"/>
        </w:rPr>
      </w:pPr>
    </w:p>
    <w:p w14:paraId="7F50F937" w14:textId="77777777" w:rsidR="00C97237" w:rsidRDefault="00C97237">
      <w:pPr>
        <w:widowControl/>
        <w:spacing w:line="580" w:lineRule="exact"/>
        <w:jc w:val="left"/>
        <w:rPr>
          <w:rFonts w:ascii="黑体" w:eastAsia="黑体" w:hAnsi="黑体" w:cs="黑体"/>
          <w:color w:val="000000"/>
          <w:kern w:val="0"/>
          <w:sz w:val="44"/>
          <w:szCs w:val="44"/>
          <w:lang w:bidi="ar"/>
        </w:rPr>
      </w:pPr>
    </w:p>
    <w:p w14:paraId="6075AB17" w14:textId="77777777" w:rsidR="00C97237" w:rsidRDefault="00000000">
      <w:pPr>
        <w:widowControl/>
        <w:spacing w:line="580" w:lineRule="exact"/>
        <w:jc w:val="left"/>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t>附件10</w:t>
      </w:r>
    </w:p>
    <w:p w14:paraId="1D3171CA"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黑体" w:eastAsia="黑体" w:hAnsi="黑体" w:cs="黑体" w:hint="eastAsia"/>
          <w:color w:val="000000"/>
          <w:kern w:val="0"/>
          <w:sz w:val="44"/>
          <w:szCs w:val="44"/>
          <w:lang w:bidi="ar"/>
        </w:rPr>
        <w:t>偃师区执行合同提升专项行动方案</w:t>
      </w:r>
    </w:p>
    <w:p w14:paraId="0CE72375" w14:textId="77777777" w:rsidR="00C97237" w:rsidRDefault="00C97237">
      <w:pPr>
        <w:widowControl/>
        <w:spacing w:line="580" w:lineRule="exact"/>
        <w:ind w:firstLineChars="200" w:firstLine="640"/>
        <w:jc w:val="left"/>
        <w:rPr>
          <w:rFonts w:ascii="仿宋" w:eastAsia="仿宋" w:hAnsi="仿宋" w:cs="仿宋"/>
          <w:color w:val="000000"/>
          <w:kern w:val="0"/>
          <w:sz w:val="32"/>
          <w:szCs w:val="32"/>
          <w:lang w:bidi="ar"/>
        </w:rPr>
      </w:pPr>
    </w:p>
    <w:p w14:paraId="1A480783"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为高标准推进偃师区法治化营商环境持续优化，充分发挥人民法院审判职能作用，全面提升司法水平，进一步提升我区“执行合同”指标，根据《河南省优化营商环境条例》相关内容</w:t>
      </w:r>
      <w:r>
        <w:rPr>
          <w:rFonts w:ascii="仿宋" w:eastAsia="仿宋" w:hAnsi="仿宋" w:cs="仿宋" w:hint="eastAsia"/>
          <w:kern w:val="0"/>
          <w:sz w:val="32"/>
          <w:szCs w:val="32"/>
          <w:lang w:bidi="ar"/>
        </w:rPr>
        <w:t>及《偃师区优化营商环境提升行动方案（2022版）》，</w:t>
      </w:r>
      <w:r>
        <w:rPr>
          <w:rFonts w:ascii="仿宋" w:eastAsia="仿宋" w:hAnsi="仿宋" w:cs="仿宋" w:hint="eastAsia"/>
          <w:color w:val="000000"/>
          <w:kern w:val="0"/>
          <w:sz w:val="32"/>
          <w:szCs w:val="32"/>
          <w:lang w:bidi="ar"/>
        </w:rPr>
        <w:t>结合我区实际，制定本方案。</w:t>
      </w:r>
    </w:p>
    <w:p w14:paraId="5854F56B" w14:textId="77777777" w:rsidR="00C97237" w:rsidRDefault="00000000">
      <w:pPr>
        <w:widowControl/>
        <w:tabs>
          <w:tab w:val="left" w:pos="5481"/>
        </w:tabs>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一、总体要求</w:t>
      </w:r>
    </w:p>
    <w:p w14:paraId="4E57F8FD"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坚持以习近平新时代中国特色社会主义思想为引领，全面贯彻党的十九大和十九届历次全会精神，按照省委、市委、区委工作要求，进一步提高思想认识、提升政治站位，切实增强工作责任心和紧迫感，把提升“执行合同”指标作为一项政治任务，作为服务大局的重要抓手，对标先进、对标省内一流地区，聚焦市场化、法治化，切实提升市场主体和群</w:t>
      </w:r>
      <w:r>
        <w:rPr>
          <w:rFonts w:ascii="仿宋" w:eastAsia="仿宋" w:hAnsi="仿宋" w:cs="仿宋" w:hint="eastAsia"/>
          <w:color w:val="000000"/>
          <w:kern w:val="0"/>
          <w:sz w:val="32"/>
          <w:szCs w:val="32"/>
          <w:lang w:bidi="ar"/>
        </w:rPr>
        <w:lastRenderedPageBreak/>
        <w:t>众司法获得感，推动全区营商法治环境提升，改进法院整体工作。</w:t>
      </w:r>
    </w:p>
    <w:p w14:paraId="1FF7EA10"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 xml:space="preserve">二、工作目标 </w:t>
      </w:r>
    </w:p>
    <w:p w14:paraId="04DB2DB9" w14:textId="77777777" w:rsidR="00C97237" w:rsidRDefault="00000000">
      <w:pPr>
        <w:widowControl/>
        <w:spacing w:line="58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对标国内一流水平，力争到2022年6月，将解决商业纠纷平均用时降低到150天以下，解决商业纠纷成本占索赔额的平均值降低到1.5%以下。2022年底，将解决商业纠纷平均用时降低到145天以下，解决商业纠纷成本占索赔额的平均值降低到1.4%以下。</w:t>
      </w:r>
    </w:p>
    <w:p w14:paraId="6775D7BD"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三、主要措施 </w:t>
      </w:r>
    </w:p>
    <w:p w14:paraId="2EE25D14" w14:textId="77777777" w:rsidR="00C97237" w:rsidRDefault="00000000">
      <w:pPr>
        <w:widowControl/>
        <w:tabs>
          <w:tab w:val="left" w:pos="576"/>
        </w:tabs>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 xml:space="preserve">（一）畅通审判执行案件立案渠道，提升立案效率 </w:t>
      </w:r>
    </w:p>
    <w:p w14:paraId="3D19A5ED" w14:textId="77777777" w:rsidR="00C97237" w:rsidRDefault="00000000">
      <w:pPr>
        <w:widowControl/>
        <w:spacing w:line="58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切实落实立案登记制，大力推行网上缴费，压缩民商事案件立案耗时，人民法院受理的民商事一审和执行案件，立案部门应于收到当事人申请后及时审核、及时立案，不得人为控制或阻挠立案。建立健全容缺受理、跨层级立案、跨区域立案等便民立案机制，</w:t>
      </w:r>
      <w:r>
        <w:rPr>
          <w:rFonts w:ascii="仿宋" w:eastAsia="仿宋" w:hAnsi="仿宋" w:cs="仿宋" w:hint="eastAsia"/>
          <w:color w:val="000000"/>
          <w:kern w:val="0"/>
          <w:sz w:val="32"/>
          <w:szCs w:val="32"/>
          <w:lang w:bidi="ar"/>
        </w:rPr>
        <w:t>创新扩展12368热线功能，</w:t>
      </w:r>
      <w:r>
        <w:rPr>
          <w:rFonts w:ascii="仿宋" w:eastAsia="仿宋" w:hAnsi="仿宋" w:cs="仿宋" w:hint="eastAsia"/>
          <w:kern w:val="0"/>
          <w:sz w:val="32"/>
          <w:szCs w:val="32"/>
          <w:lang w:bidi="ar"/>
        </w:rPr>
        <w:t>探索创新导诉立案、自助立案等便民立案措施。民商事一审案件立案时，当事人同意诉前调解的，应于一个月内调解完毕，调解不成功的，自动转入民事一审程序。</w:t>
      </w:r>
    </w:p>
    <w:p w14:paraId="1BFF50E3"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2CCEDB80"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责任部门：区法院 </w:t>
      </w:r>
    </w:p>
    <w:p w14:paraId="16C77879" w14:textId="77777777" w:rsidR="00C97237" w:rsidRDefault="00000000">
      <w:pPr>
        <w:widowControl/>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（二）深入推进民商事案件繁简分流，提升简易程序、小额诉讼程序适用率</w:t>
      </w:r>
    </w:p>
    <w:p w14:paraId="7D656B8E" w14:textId="77777777" w:rsidR="00C97237" w:rsidRDefault="00000000">
      <w:pPr>
        <w:widowControl/>
        <w:spacing w:line="58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科学调配和高效运用各种司法资源，继续压缩民商事案件庭审耗时，持续优化诉讼服务、送达、庭前准备、庭审、</w:t>
      </w:r>
      <w:r>
        <w:rPr>
          <w:rFonts w:ascii="仿宋" w:eastAsia="仿宋" w:hAnsi="仿宋" w:cs="仿宋" w:hint="eastAsia"/>
          <w:kern w:val="0"/>
          <w:sz w:val="32"/>
          <w:szCs w:val="32"/>
          <w:lang w:bidi="ar"/>
        </w:rPr>
        <w:lastRenderedPageBreak/>
        <w:t>裁判文书制作、执行等各环节的繁简分流工作机制，在立案环节科学甄别分流。制定简单案件与复杂案件的区分标准和分流规则，逐步建立完善信息化自动识别分案系统，进一步健全随机分案为主、指定分案为辅的案件分配机制，系统自动分案时，应直接分配到案件承办人，不得人为增设承办业务庭领导“二次审批”程序。依法快速审理简单案件，全面推进速裁快审机制，提升商业纠纷案件审判效率。</w:t>
      </w:r>
      <w:r>
        <w:rPr>
          <w:rFonts w:ascii="仿宋" w:eastAsia="仿宋" w:hAnsi="仿宋" w:cs="仿宋" w:hint="eastAsia"/>
          <w:color w:val="000000"/>
          <w:kern w:val="0"/>
          <w:sz w:val="32"/>
          <w:szCs w:val="32"/>
          <w:lang w:bidi="ar"/>
        </w:rPr>
        <w:t>进一步明确小额诉讼程序案件、简易程序案件的适用条件和标准，提升案件速裁程序、简易程序的适用率，减轻当事人诉讼费负担，努力以较小的司法成本取得最大的法律效果。</w:t>
      </w:r>
    </w:p>
    <w:p w14:paraId="36DC303B" w14:textId="77777777" w:rsidR="00C97237" w:rsidRDefault="00000000">
      <w:pPr>
        <w:widowControl/>
        <w:spacing w:line="58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 xml:space="preserve">时间节点：持续推进 </w:t>
      </w:r>
    </w:p>
    <w:p w14:paraId="383314D6" w14:textId="77777777" w:rsidR="00C97237" w:rsidRDefault="00000000">
      <w:pPr>
        <w:widowControl/>
        <w:spacing w:line="580" w:lineRule="exact"/>
        <w:ind w:firstLineChars="200" w:firstLine="640"/>
        <w:jc w:val="left"/>
        <w:rPr>
          <w:rFonts w:ascii="仿宋" w:eastAsia="仿宋" w:hAnsi="仿宋" w:cs="仿宋"/>
          <w:kern w:val="0"/>
          <w:sz w:val="32"/>
          <w:szCs w:val="32"/>
          <w:lang w:bidi="ar"/>
        </w:rPr>
      </w:pPr>
      <w:r>
        <w:rPr>
          <w:rFonts w:ascii="仿宋" w:eastAsia="仿宋" w:hAnsi="仿宋" w:cs="仿宋" w:hint="eastAsia"/>
          <w:kern w:val="0"/>
          <w:sz w:val="32"/>
          <w:szCs w:val="32"/>
          <w:lang w:bidi="ar"/>
        </w:rPr>
        <w:t>责任部门：区法院</w:t>
      </w:r>
    </w:p>
    <w:p w14:paraId="1AB32192" w14:textId="77777777" w:rsidR="00C97237" w:rsidRDefault="00000000">
      <w:pPr>
        <w:widowControl/>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（三）积极组织各种解纷资源，推动构建民营经济领域多元化解机制</w:t>
      </w:r>
    </w:p>
    <w:p w14:paraId="651BB0FC"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坚持把非诉讼纠纷解决机制挺在前面，完善诉讼服务中心的解纷职能，积极组织专家学者、律师、基层法律工作者、仲裁员、鉴定员、人大代表、政协委员以及退休法律工作者等积极参与诉前调解，切实提高诉前调解率和诉前调解成功率，依法探索调解协议司法确认的范围。依托人民法院调解平台，做好调解员培训和业务指导工作，加强争议调解与诉讼衔接工作，增强争议多元化解质效，降低劳动者维权成本，维护社会公平正义。加大协调结案力度，加强案件的诉前、诉中实质性化解力度，坚持调判结合，注重通过商事审判强</w:t>
      </w:r>
      <w:r>
        <w:rPr>
          <w:rFonts w:ascii="仿宋" w:eastAsia="仿宋" w:hAnsi="仿宋" w:cs="仿宋" w:hint="eastAsia"/>
          <w:color w:val="000000"/>
          <w:kern w:val="0"/>
          <w:sz w:val="32"/>
          <w:szCs w:val="32"/>
          <w:lang w:bidi="ar"/>
        </w:rPr>
        <w:lastRenderedPageBreak/>
        <w:t>化规则意识和契约精神，促成当事人和解或达成调解协议，提升案件调解率。</w:t>
      </w:r>
    </w:p>
    <w:p w14:paraId="7261904E"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时间节点：2022年9月</w:t>
      </w:r>
    </w:p>
    <w:p w14:paraId="23E9FB9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责任部门：区法院</w:t>
      </w:r>
    </w:p>
    <w:p w14:paraId="6265C86A"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（四）加强民商事案件诉讼全流程管理，努力压缩审理期限 </w:t>
      </w:r>
    </w:p>
    <w:p w14:paraId="75C66E4F"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完善“绿标签”制度，加强对涉营商环境案件全流程监管，有效压缩立案审查、诉调对接、和解调解、审理、委托司法鉴定、审计、评估等各环节的办理时间和周转时间。严格执行法律、司法解释规定的诉讼文书送达、案卷移送的期限规定。采用小额诉讼程序审理的民商事一审案件，应简化送达方式、庭审程序、文书格式等，举证期限原则上不超过7日，案件审理一般应在1个月内审结。到2022年底，区法院审理的一审民商事案件平均审理周期降低至40天以下。</w:t>
      </w:r>
    </w:p>
    <w:p w14:paraId="5882CACD"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时间节点：2022年12月 </w:t>
      </w:r>
    </w:p>
    <w:p w14:paraId="2CAB0F4A"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责任单位：区法院</w:t>
      </w:r>
    </w:p>
    <w:p w14:paraId="3976442E" w14:textId="77777777" w:rsidR="00C97237" w:rsidRDefault="00000000">
      <w:pPr>
        <w:widowControl/>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 xml:space="preserve">（五）提高案卷移送效率，缩短案件移转周期 </w:t>
      </w:r>
    </w:p>
    <w:p w14:paraId="09225854"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严格规范上诉、发回重审等与上级法院之间卷宗移送的期限和流程，缩短卷宗移转环节耗时。除需公告送达的案件外，法院应于当事人提出上诉或发回重审结案后，于法律规定的期限内尽快履行完毕法定的送达、告知等义务，同时将案件卷宗移转至后续法院立案。移转申请延期审理、指定管辖案件的，应当自做出决定后立即移送。到2022年底，区法院上诉移转平均用时不超过26天。</w:t>
      </w:r>
    </w:p>
    <w:p w14:paraId="05A34A2A"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时间节点：2022年12月</w:t>
      </w:r>
    </w:p>
    <w:p w14:paraId="6460D0D9"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责任单位：区法院</w:t>
      </w:r>
    </w:p>
    <w:p w14:paraId="7138F962"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（六）加强民商事案件审限管理，严格审限变更审批程序 </w:t>
      </w:r>
    </w:p>
    <w:p w14:paraId="31C41BAA"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加强对案件审限的日常监督管理，健全超审限通报、临近审限预警机制。严格执行最高人民法院、省法院有关规定，明确延长、中止、暂停、扣除审限的条件，对符合条件的案件，承办法官应当通过案件信息系统及时提交审限变更申请，报有权审批人批准。</w:t>
      </w:r>
      <w:r>
        <w:rPr>
          <w:rFonts w:ascii="仿宋" w:eastAsia="仿宋" w:hAnsi="仿宋" w:cs="仿宋" w:hint="eastAsia"/>
          <w:kern w:val="0"/>
          <w:sz w:val="32"/>
          <w:szCs w:val="32"/>
          <w:lang w:bidi="ar"/>
        </w:rPr>
        <w:t>落实院庭长、审判长、员额法官层级审限管理职责，认真审查审限变更申请。所有审批手续一律录入电子卷宗，坚决杜绝随意</w:t>
      </w:r>
      <w:r>
        <w:rPr>
          <w:rFonts w:ascii="仿宋" w:eastAsia="仿宋" w:hAnsi="仿宋" w:cs="仿宋" w:hint="eastAsia"/>
          <w:color w:val="000000"/>
          <w:kern w:val="0"/>
          <w:sz w:val="32"/>
          <w:szCs w:val="32"/>
          <w:lang w:bidi="ar"/>
        </w:rPr>
        <w:t>延长审限、扣除审限的现象，杜绝案件不符合结案标准而随意报结的现象，存在突出问题的，要按照落实司法责任制的要求启动问责程序。</w:t>
      </w:r>
    </w:p>
    <w:p w14:paraId="4B66145C"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2627F1D4"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责任单位：区法院 </w:t>
      </w:r>
    </w:p>
    <w:p w14:paraId="657514C6"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（七）构建集中送达新模式，切实解决“送达难”问题 </w:t>
      </w:r>
    </w:p>
    <w:p w14:paraId="57AAEA10"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借助“河南法院集中送达平台”，利用信息化手段，构建以电子送达为基础、直接送达为辅助、邮政送达为补充、公告送达兜底的全流程闭环送达体系。案件符合电子送达条件的，一律优先使用电子送达，将送达业务进行集约化处理，实现“信息线上多跑路，线下操作少跑腿”，将法官和书记员从繁琐的事务性工作中解放出来，解决“送达难”顽疾，提升案件送达效率。大力推动智慧法院建设，积极发挥电子送达平台、电子诉讼平台、诉讼服务网和阳光送达平台等在</w:t>
      </w:r>
      <w:r>
        <w:rPr>
          <w:rFonts w:ascii="仿宋" w:eastAsia="仿宋" w:hAnsi="仿宋" w:cs="仿宋" w:hint="eastAsia"/>
          <w:color w:val="000000"/>
          <w:kern w:val="0"/>
          <w:sz w:val="32"/>
          <w:szCs w:val="32"/>
          <w:lang w:bidi="ar"/>
        </w:rPr>
        <w:lastRenderedPageBreak/>
        <w:t>送达诉讼文书和证据材料中的作用，以方便当事人诉讼、节约诉讼成本、提高诉讼效率。</w:t>
      </w:r>
    </w:p>
    <w:p w14:paraId="52E2447F"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4D6AB06D"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责任单位：区法院 </w:t>
      </w:r>
    </w:p>
    <w:p w14:paraId="10FF1BD8"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（八）加强效率管理，及时妥善清理长期未结案件 </w:t>
      </w:r>
    </w:p>
    <w:p w14:paraId="25DBE392"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把长期未结案件清理实效作为院领导落实审判管理职责的硬指标，并在部门及员额法官的考核中设定相关考评项。加大对院业务部门长期未结诉讼案件的监管通报力度，以公正高效为目标，常态化对长期未结案件进行评查、问责、清理，防止边清边积。</w:t>
      </w:r>
    </w:p>
    <w:p w14:paraId="7FB6110E"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06B94F0F"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责任单位：区法院 </w:t>
      </w:r>
    </w:p>
    <w:p w14:paraId="0E1AA76D"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（九）加大合同案件的执行力度，进一步压缩执行周期 </w:t>
      </w:r>
    </w:p>
    <w:p w14:paraId="2F95C42F"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进一步完善执行工作集约化管理，提升执行工作效率。立案、执行各部门、与上级法院之间，严格执行案件流转的时限规定。立案部门于立案后尽快将案件分配给执行人员。执行人员在收到案件后立即向被执行人发出执行通知书、履行裁判文书告知书、报告财产令、“一案一账号”使用规定，责令被执行人履行义务，并可以立即采取执行措施。有财产可供执行的案件，要尽快执结，无可供执行财产的案件，符合终本条件的，要严格依法依规以“终结本次执行”等方式结案，压缩执行案件的办理周期。到2022年底，首次执行案件平均用时降低到70天以下。</w:t>
      </w:r>
    </w:p>
    <w:p w14:paraId="1F9412C5"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时间节点：2022年12月</w:t>
      </w:r>
    </w:p>
    <w:p w14:paraId="0EA0E54A"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 xml:space="preserve">责任单位：区法院 </w:t>
      </w:r>
    </w:p>
    <w:p w14:paraId="4D88F391" w14:textId="77777777" w:rsidR="00C97237" w:rsidRDefault="00000000">
      <w:pPr>
        <w:widowControl/>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（十）积极创新执行方式方法，提高执行质量和效率</w:t>
      </w:r>
    </w:p>
    <w:p w14:paraId="19F4D78C"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继续完善执行指挥中心的职能，科学调配各种执行资源，合理建立不同功能团队，真正实现执行指挥中心的实体化集约化运行。在完善既有“总对总”网络查控措施的基础上，依法探索“点对点”网络查控的方法和应用。积极创新民商事案件的执行方式方法，大力压缩买卖合同纠纷案件首次执行案件用时。深入推进执行权运行机制改革，做到“简案快执，繁案精执”，进一步压缩结案用时，提高执行效率，及时有效维护企业胜诉权益。加强对失信被执行人的联合惩戒，探索与市场监管部门、征信机构和电商平台等之间在失信执行人信用信息方面的分享和应用机制。</w:t>
      </w:r>
    </w:p>
    <w:p w14:paraId="60FDCF7A"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040D6F50"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责任单位：区法院</w:t>
      </w:r>
    </w:p>
    <w:p w14:paraId="12740A6F" w14:textId="77777777" w:rsidR="00C97237" w:rsidRDefault="00000000">
      <w:pPr>
        <w:widowControl/>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（十一）依法缓、减、免诉讼费执行费，提高诉讼费退费效率</w:t>
      </w:r>
    </w:p>
    <w:p w14:paraId="08C10AE9" w14:textId="77777777" w:rsidR="00C97237" w:rsidRDefault="00000000">
      <w:pPr>
        <w:widowControl/>
        <w:spacing w:line="580" w:lineRule="exact"/>
        <w:ind w:firstLineChars="200" w:firstLine="640"/>
        <w:jc w:val="left"/>
        <w:rPr>
          <w:rFonts w:ascii="仿宋" w:eastAsia="仿宋" w:hAnsi="仿宋" w:cs="仿宋"/>
          <w:color w:val="000000" w:themeColor="text1"/>
          <w:kern w:val="0"/>
          <w:sz w:val="32"/>
          <w:szCs w:val="32"/>
          <w:lang w:bidi="ar"/>
        </w:rPr>
      </w:pPr>
      <w:r>
        <w:rPr>
          <w:rFonts w:ascii="仿宋" w:eastAsia="仿宋" w:hAnsi="仿宋" w:cs="仿宋" w:hint="eastAsia"/>
          <w:color w:val="000000" w:themeColor="text1"/>
          <w:kern w:val="0"/>
          <w:sz w:val="32"/>
          <w:szCs w:val="32"/>
          <w:lang w:bidi="ar"/>
        </w:rPr>
        <w:t>坚持司法为民理念，积极探索降低民商事案件当事人诉讼成本的途径方法，依法及时为符合条件的当事人办理诉讼费、执行费的减、缓、免手续，传递司法温暖，体现人文关怀，提升司法公信力，彰显社会公平正义。建立民商事案件判决生效即向胜诉当事人退回诉讼费的高效机制，严格落实诉讼费退费相关规定，依法及时为胜诉的案件当事人办理诉讼费退费，畅通网络缴费退费的渠道，提高诉讼费退费效率。</w:t>
      </w:r>
    </w:p>
    <w:p w14:paraId="70CC442A"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675FEFF3"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责任单位：区法院</w:t>
      </w:r>
    </w:p>
    <w:p w14:paraId="66851E4F"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（十二）进一步加强对专业机构的监管 </w:t>
      </w:r>
    </w:p>
    <w:p w14:paraId="1BE89F2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人民法院、律师、当事人等依据人民法院对外委托专业机构专业人员信息平台汇集的委托鉴定、评估、审计等专业机构和专业人员信息，对具体案件鉴定人的专业资质和能力进行在线审查，及时发现并向司法局、其他行业主管部门反馈久鉴不决、鉴定结论明显错误、无故拒绝鉴定、鉴定行为不规范等专业机构或人员存在的突出问题。人民法院依法依规对存在突出问题的专业机构停止委托。</w:t>
      </w:r>
    </w:p>
    <w:p w14:paraId="462E8EEF"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032E32A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责任单位：区法院、区司法局</w:t>
      </w:r>
    </w:p>
    <w:p w14:paraId="1E5A039E"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（十三）加强引导，健全动态监督监测，减少律师服务成本</w:t>
      </w:r>
    </w:p>
    <w:p w14:paraId="7E497ACC"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律师服务收费应遵循公开公平、自愿有偿、诚实信用的原则，收费项目、方式及标准由律师事务所自行制定，由律师协会备案并实施动态监测。司法行政机关及律师协会对律师服务收费加强常态化监管，严格规范律师风险代理行为，引导收费合理化、公开化并针对弱势群体及公益事项实行普惠化，引导律师和律师事务所适当降低收费标准，尽量减少法律服务成本。</w:t>
      </w:r>
    </w:p>
    <w:p w14:paraId="63F8D001"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5B50A5C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责任单位：区法院、区司法局 </w:t>
      </w:r>
    </w:p>
    <w:p w14:paraId="3FF4C751" w14:textId="77777777" w:rsidR="00C97237" w:rsidRDefault="00000000">
      <w:pPr>
        <w:widowControl/>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 xml:space="preserve">（十四）进一步完善人民法院审判执行工作制度 </w:t>
      </w:r>
    </w:p>
    <w:p w14:paraId="2C8F4A37"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 xml:space="preserve">围绕进一步发挥审判执行工作职能，为优化偃师区偃师区营商环境提供司法保障，进一步提升“执行合同”指标这一目标，继续查找在审判执行工作环节上存在的短板，在案件繁简分流、多元化解、速裁程序、庭审方式、裁判文书格式、执行联动、电子送达、司法拍卖等方面，继续出台和完善相关政策性文件，形成指引明确、有据可依的工作制度。 </w:t>
      </w:r>
    </w:p>
    <w:p w14:paraId="101EE704"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0C913F6D"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责任单位：区法院</w:t>
      </w:r>
    </w:p>
    <w:p w14:paraId="3B3AEA33"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 xml:space="preserve">四、指标对比 </w:t>
      </w:r>
    </w:p>
    <w:p w14:paraId="5E3789CE"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执行合同”各环节用时显著缩短，到2022年12月，立案审查平均时长下降到1天，民商事一审平均审理天数下降到40天，首次执行案件平均办理天数下降到70天，民商事一审案件简易程序适用率提升到92%，民商事一、二审案件平均移转天数下降到26天，民商事案件调解率提升到28%。</w:t>
      </w:r>
    </w:p>
    <w:tbl>
      <w:tblPr>
        <w:tblStyle w:val="ac"/>
        <w:tblW w:w="9052" w:type="dxa"/>
        <w:jc w:val="center"/>
        <w:tblLayout w:type="fixed"/>
        <w:tblLook w:val="04A0" w:firstRow="1" w:lastRow="0" w:firstColumn="1" w:lastColumn="0" w:noHBand="0" w:noVBand="1"/>
      </w:tblPr>
      <w:tblGrid>
        <w:gridCol w:w="2205"/>
        <w:gridCol w:w="1050"/>
        <w:gridCol w:w="1335"/>
        <w:gridCol w:w="1455"/>
        <w:gridCol w:w="1369"/>
        <w:gridCol w:w="1638"/>
      </w:tblGrid>
      <w:tr w:rsidR="00C97237" w14:paraId="03A8EA12" w14:textId="77777777">
        <w:trPr>
          <w:trHeight w:val="990"/>
          <w:jc w:val="center"/>
        </w:trPr>
        <w:tc>
          <w:tcPr>
            <w:tcW w:w="2205" w:type="dxa"/>
          </w:tcPr>
          <w:p w14:paraId="13AE9787"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指标</w:t>
            </w:r>
          </w:p>
          <w:p w14:paraId="2BF7DAE7"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（项目）</w:t>
            </w:r>
          </w:p>
        </w:tc>
        <w:tc>
          <w:tcPr>
            <w:tcW w:w="1050" w:type="dxa"/>
          </w:tcPr>
          <w:p w14:paraId="5E95A6FC"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现状水平</w:t>
            </w:r>
          </w:p>
        </w:tc>
        <w:tc>
          <w:tcPr>
            <w:tcW w:w="1335" w:type="dxa"/>
          </w:tcPr>
          <w:p w14:paraId="2E33EDEF"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2022年6月目标</w:t>
            </w:r>
          </w:p>
        </w:tc>
        <w:tc>
          <w:tcPr>
            <w:tcW w:w="1455" w:type="dxa"/>
          </w:tcPr>
          <w:p w14:paraId="193BC23E"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2022年12月目标</w:t>
            </w:r>
          </w:p>
        </w:tc>
        <w:tc>
          <w:tcPr>
            <w:tcW w:w="1369" w:type="dxa"/>
          </w:tcPr>
          <w:p w14:paraId="249784E4"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国内前沿水平</w:t>
            </w:r>
          </w:p>
        </w:tc>
        <w:tc>
          <w:tcPr>
            <w:tcW w:w="1638" w:type="dxa"/>
          </w:tcPr>
          <w:p w14:paraId="63D1D36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完成时限</w:t>
            </w:r>
          </w:p>
        </w:tc>
      </w:tr>
      <w:tr w:rsidR="00C97237" w14:paraId="2F857CB2" w14:textId="77777777">
        <w:trPr>
          <w:trHeight w:val="604"/>
          <w:jc w:val="center"/>
        </w:trPr>
        <w:tc>
          <w:tcPr>
            <w:tcW w:w="2205" w:type="dxa"/>
          </w:tcPr>
          <w:p w14:paraId="0228767B"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立案审查平均时长</w:t>
            </w:r>
          </w:p>
        </w:tc>
        <w:tc>
          <w:tcPr>
            <w:tcW w:w="1050" w:type="dxa"/>
          </w:tcPr>
          <w:p w14:paraId="6555FA2A" w14:textId="77777777" w:rsidR="00C97237" w:rsidRDefault="00000000">
            <w:pPr>
              <w:spacing w:line="580" w:lineRule="exact"/>
              <w:jc w:val="center"/>
              <w:rPr>
                <w:rFonts w:ascii="仿宋" w:eastAsia="仿宋" w:hAnsi="仿宋" w:cs="仿宋"/>
                <w:kern w:val="32"/>
                <w:sz w:val="32"/>
                <w:szCs w:val="32"/>
              </w:rPr>
            </w:pPr>
            <w:r>
              <w:rPr>
                <w:rFonts w:ascii="仿宋" w:eastAsia="仿宋" w:hAnsi="仿宋" w:cs="仿宋" w:hint="eastAsia"/>
                <w:kern w:val="32"/>
                <w:sz w:val="32"/>
                <w:szCs w:val="32"/>
              </w:rPr>
              <w:t>1天</w:t>
            </w:r>
          </w:p>
        </w:tc>
        <w:tc>
          <w:tcPr>
            <w:tcW w:w="1335" w:type="dxa"/>
          </w:tcPr>
          <w:p w14:paraId="2E6B00EB" w14:textId="77777777" w:rsidR="00C97237" w:rsidRDefault="00000000">
            <w:pPr>
              <w:widowControl/>
              <w:tabs>
                <w:tab w:val="left" w:pos="342"/>
                <w:tab w:val="center" w:pos="626"/>
              </w:tabs>
              <w:spacing w:line="580" w:lineRule="exact"/>
              <w:jc w:val="center"/>
              <w:rPr>
                <w:rFonts w:ascii="仿宋" w:eastAsia="仿宋" w:hAnsi="仿宋" w:cs="仿宋"/>
                <w:kern w:val="32"/>
                <w:sz w:val="32"/>
                <w:szCs w:val="32"/>
              </w:rPr>
            </w:pPr>
            <w:r>
              <w:rPr>
                <w:rFonts w:ascii="仿宋" w:eastAsia="仿宋" w:hAnsi="仿宋" w:cs="仿宋" w:hint="eastAsia"/>
                <w:color w:val="000000"/>
                <w:kern w:val="0"/>
                <w:sz w:val="32"/>
                <w:szCs w:val="32"/>
                <w:lang w:bidi="ar"/>
              </w:rPr>
              <w:t>1天</w:t>
            </w:r>
          </w:p>
        </w:tc>
        <w:tc>
          <w:tcPr>
            <w:tcW w:w="1455" w:type="dxa"/>
          </w:tcPr>
          <w:p w14:paraId="5A0EF1D0"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1天</w:t>
            </w:r>
          </w:p>
        </w:tc>
        <w:tc>
          <w:tcPr>
            <w:tcW w:w="1369" w:type="dxa"/>
          </w:tcPr>
          <w:p w14:paraId="0A5FAC7B" w14:textId="77777777" w:rsidR="00C97237" w:rsidRDefault="00C97237">
            <w:pPr>
              <w:widowControl/>
              <w:spacing w:line="580" w:lineRule="exact"/>
              <w:jc w:val="center"/>
              <w:rPr>
                <w:rFonts w:ascii="仿宋" w:eastAsia="仿宋" w:hAnsi="仿宋" w:cs="仿宋"/>
                <w:color w:val="000000"/>
                <w:kern w:val="0"/>
                <w:sz w:val="32"/>
                <w:szCs w:val="32"/>
                <w:lang w:bidi="ar"/>
              </w:rPr>
            </w:pPr>
          </w:p>
        </w:tc>
        <w:tc>
          <w:tcPr>
            <w:tcW w:w="1638" w:type="dxa"/>
          </w:tcPr>
          <w:p w14:paraId="13689E16" w14:textId="77777777" w:rsidR="00C97237" w:rsidRDefault="00000000">
            <w:pPr>
              <w:widowControl/>
              <w:spacing w:line="580" w:lineRule="exac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2022年12 月</w:t>
            </w:r>
          </w:p>
        </w:tc>
      </w:tr>
      <w:tr w:rsidR="00C97237" w14:paraId="432CEE7D" w14:textId="77777777">
        <w:trPr>
          <w:trHeight w:val="885"/>
          <w:jc w:val="center"/>
        </w:trPr>
        <w:tc>
          <w:tcPr>
            <w:tcW w:w="2205" w:type="dxa"/>
          </w:tcPr>
          <w:p w14:paraId="2F0D962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民商事一审平均审理天数</w:t>
            </w:r>
          </w:p>
        </w:tc>
        <w:tc>
          <w:tcPr>
            <w:tcW w:w="1050" w:type="dxa"/>
          </w:tcPr>
          <w:p w14:paraId="37470A33"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42天</w:t>
            </w:r>
          </w:p>
        </w:tc>
        <w:tc>
          <w:tcPr>
            <w:tcW w:w="1335" w:type="dxa"/>
          </w:tcPr>
          <w:p w14:paraId="3B5F15C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41天</w:t>
            </w:r>
          </w:p>
        </w:tc>
        <w:tc>
          <w:tcPr>
            <w:tcW w:w="1455" w:type="dxa"/>
          </w:tcPr>
          <w:p w14:paraId="49D43A0E"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40天</w:t>
            </w:r>
          </w:p>
        </w:tc>
        <w:tc>
          <w:tcPr>
            <w:tcW w:w="1369" w:type="dxa"/>
          </w:tcPr>
          <w:p w14:paraId="6DC40A18"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50天</w:t>
            </w:r>
          </w:p>
        </w:tc>
        <w:tc>
          <w:tcPr>
            <w:tcW w:w="1638" w:type="dxa"/>
          </w:tcPr>
          <w:p w14:paraId="14C420D9" w14:textId="77777777" w:rsidR="00C97237" w:rsidRDefault="00000000">
            <w:pPr>
              <w:widowControl/>
              <w:spacing w:line="580" w:lineRule="exac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2022年12 月</w:t>
            </w:r>
          </w:p>
        </w:tc>
      </w:tr>
      <w:tr w:rsidR="00C97237" w14:paraId="3A44A804" w14:textId="77777777">
        <w:trPr>
          <w:jc w:val="center"/>
        </w:trPr>
        <w:tc>
          <w:tcPr>
            <w:tcW w:w="2205" w:type="dxa"/>
          </w:tcPr>
          <w:p w14:paraId="2DC5FA18"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首次执行案件平均办理天数</w:t>
            </w:r>
          </w:p>
        </w:tc>
        <w:tc>
          <w:tcPr>
            <w:tcW w:w="1050" w:type="dxa"/>
          </w:tcPr>
          <w:p w14:paraId="1F18258A"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80.1天</w:t>
            </w:r>
          </w:p>
        </w:tc>
        <w:tc>
          <w:tcPr>
            <w:tcW w:w="1335" w:type="dxa"/>
          </w:tcPr>
          <w:p w14:paraId="7C64E929"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75天</w:t>
            </w:r>
          </w:p>
        </w:tc>
        <w:tc>
          <w:tcPr>
            <w:tcW w:w="1455" w:type="dxa"/>
          </w:tcPr>
          <w:p w14:paraId="4651B56B"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70天</w:t>
            </w:r>
          </w:p>
        </w:tc>
        <w:tc>
          <w:tcPr>
            <w:tcW w:w="1369" w:type="dxa"/>
          </w:tcPr>
          <w:p w14:paraId="47A99686"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55天</w:t>
            </w:r>
          </w:p>
        </w:tc>
        <w:tc>
          <w:tcPr>
            <w:tcW w:w="1638" w:type="dxa"/>
          </w:tcPr>
          <w:p w14:paraId="5000658D" w14:textId="77777777" w:rsidR="00C97237" w:rsidRDefault="00000000">
            <w:pPr>
              <w:widowControl/>
              <w:spacing w:line="580" w:lineRule="exac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2022年12 月</w:t>
            </w:r>
          </w:p>
        </w:tc>
      </w:tr>
      <w:tr w:rsidR="00C97237" w14:paraId="788D4BE3" w14:textId="77777777">
        <w:trPr>
          <w:trHeight w:val="1005"/>
          <w:jc w:val="center"/>
        </w:trPr>
        <w:tc>
          <w:tcPr>
            <w:tcW w:w="2205" w:type="dxa"/>
          </w:tcPr>
          <w:p w14:paraId="76EE7A77"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民商事一审案件简易程序适用率</w:t>
            </w:r>
          </w:p>
        </w:tc>
        <w:tc>
          <w:tcPr>
            <w:tcW w:w="1050" w:type="dxa"/>
          </w:tcPr>
          <w:p w14:paraId="35DD1F57"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88.8%</w:t>
            </w:r>
          </w:p>
        </w:tc>
        <w:tc>
          <w:tcPr>
            <w:tcW w:w="1335" w:type="dxa"/>
          </w:tcPr>
          <w:p w14:paraId="7F082D09"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90%</w:t>
            </w:r>
          </w:p>
        </w:tc>
        <w:tc>
          <w:tcPr>
            <w:tcW w:w="1455" w:type="dxa"/>
          </w:tcPr>
          <w:p w14:paraId="77B4A9B4"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92%</w:t>
            </w:r>
          </w:p>
        </w:tc>
        <w:tc>
          <w:tcPr>
            <w:tcW w:w="1369" w:type="dxa"/>
          </w:tcPr>
          <w:p w14:paraId="68DF4CE8" w14:textId="77777777" w:rsidR="00C97237" w:rsidRDefault="00000000">
            <w:pPr>
              <w:widowControl/>
              <w:spacing w:line="58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92%</w:t>
            </w:r>
          </w:p>
        </w:tc>
        <w:tc>
          <w:tcPr>
            <w:tcW w:w="1638" w:type="dxa"/>
          </w:tcPr>
          <w:p w14:paraId="59965D7C" w14:textId="77777777" w:rsidR="00C97237" w:rsidRDefault="00000000">
            <w:pPr>
              <w:widowControl/>
              <w:spacing w:line="580" w:lineRule="exac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2022年12 月</w:t>
            </w:r>
          </w:p>
        </w:tc>
      </w:tr>
      <w:tr w:rsidR="00C97237" w14:paraId="300A2D25" w14:textId="77777777">
        <w:trPr>
          <w:trHeight w:val="920"/>
          <w:jc w:val="center"/>
        </w:trPr>
        <w:tc>
          <w:tcPr>
            <w:tcW w:w="2205" w:type="dxa"/>
          </w:tcPr>
          <w:p w14:paraId="5FA54E9B"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民商事一、二审案件平均移转天数</w:t>
            </w:r>
          </w:p>
        </w:tc>
        <w:tc>
          <w:tcPr>
            <w:tcW w:w="1050" w:type="dxa"/>
          </w:tcPr>
          <w:p w14:paraId="63C575FC"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28天</w:t>
            </w:r>
          </w:p>
        </w:tc>
        <w:tc>
          <w:tcPr>
            <w:tcW w:w="1335" w:type="dxa"/>
          </w:tcPr>
          <w:p w14:paraId="294C310B"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27天</w:t>
            </w:r>
          </w:p>
        </w:tc>
        <w:tc>
          <w:tcPr>
            <w:tcW w:w="1455" w:type="dxa"/>
          </w:tcPr>
          <w:p w14:paraId="6B024D6F"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26天</w:t>
            </w:r>
          </w:p>
        </w:tc>
        <w:tc>
          <w:tcPr>
            <w:tcW w:w="1369" w:type="dxa"/>
          </w:tcPr>
          <w:p w14:paraId="52617E61" w14:textId="77777777" w:rsidR="00C97237" w:rsidRDefault="00C97237">
            <w:pPr>
              <w:widowControl/>
              <w:spacing w:line="580" w:lineRule="exact"/>
              <w:jc w:val="center"/>
              <w:rPr>
                <w:rFonts w:ascii="仿宋" w:eastAsia="仿宋" w:hAnsi="仿宋" w:cs="仿宋"/>
                <w:color w:val="000000"/>
                <w:kern w:val="0"/>
                <w:sz w:val="32"/>
                <w:szCs w:val="32"/>
                <w:lang w:bidi="ar"/>
              </w:rPr>
            </w:pPr>
          </w:p>
        </w:tc>
        <w:tc>
          <w:tcPr>
            <w:tcW w:w="1638" w:type="dxa"/>
          </w:tcPr>
          <w:p w14:paraId="013A2E2D" w14:textId="77777777" w:rsidR="00C97237" w:rsidRDefault="00000000">
            <w:pPr>
              <w:widowControl/>
              <w:spacing w:line="580" w:lineRule="exac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2022年12 月</w:t>
            </w:r>
          </w:p>
        </w:tc>
      </w:tr>
      <w:tr w:rsidR="00C97237" w14:paraId="212C1AB3" w14:textId="77777777">
        <w:trPr>
          <w:trHeight w:val="650"/>
          <w:jc w:val="center"/>
        </w:trPr>
        <w:tc>
          <w:tcPr>
            <w:tcW w:w="2205" w:type="dxa"/>
          </w:tcPr>
          <w:p w14:paraId="1172B225"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民商事案件调解率</w:t>
            </w:r>
          </w:p>
        </w:tc>
        <w:tc>
          <w:tcPr>
            <w:tcW w:w="1050" w:type="dxa"/>
          </w:tcPr>
          <w:p w14:paraId="78290247"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20.10%</w:t>
            </w:r>
          </w:p>
        </w:tc>
        <w:tc>
          <w:tcPr>
            <w:tcW w:w="1335" w:type="dxa"/>
          </w:tcPr>
          <w:p w14:paraId="58495544"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25%</w:t>
            </w:r>
          </w:p>
        </w:tc>
        <w:tc>
          <w:tcPr>
            <w:tcW w:w="1455" w:type="dxa"/>
          </w:tcPr>
          <w:p w14:paraId="1058F07E"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28%</w:t>
            </w:r>
          </w:p>
        </w:tc>
        <w:tc>
          <w:tcPr>
            <w:tcW w:w="1369" w:type="dxa"/>
          </w:tcPr>
          <w:p w14:paraId="3F0EBCA2" w14:textId="77777777" w:rsidR="00C97237" w:rsidRDefault="00C97237">
            <w:pPr>
              <w:widowControl/>
              <w:spacing w:line="580" w:lineRule="exact"/>
              <w:jc w:val="center"/>
              <w:rPr>
                <w:rFonts w:ascii="仿宋" w:eastAsia="仿宋" w:hAnsi="仿宋" w:cs="仿宋"/>
                <w:color w:val="000000"/>
                <w:kern w:val="0"/>
                <w:sz w:val="32"/>
                <w:szCs w:val="32"/>
                <w:lang w:bidi="ar"/>
              </w:rPr>
            </w:pPr>
          </w:p>
        </w:tc>
        <w:tc>
          <w:tcPr>
            <w:tcW w:w="1638" w:type="dxa"/>
          </w:tcPr>
          <w:p w14:paraId="336768CC" w14:textId="77777777" w:rsidR="00C97237" w:rsidRDefault="00000000">
            <w:pPr>
              <w:widowControl/>
              <w:spacing w:line="580" w:lineRule="exac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2022年12 月</w:t>
            </w:r>
          </w:p>
        </w:tc>
      </w:tr>
    </w:tbl>
    <w:p w14:paraId="34090E88"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 xml:space="preserve">五、保障措施 </w:t>
      </w:r>
    </w:p>
    <w:p w14:paraId="5A7F5883" w14:textId="77777777" w:rsidR="00C97237" w:rsidRDefault="00000000">
      <w:pPr>
        <w:widowControl/>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 xml:space="preserve">（一）着力打造专家型商事审判队伍 </w:t>
      </w:r>
    </w:p>
    <w:p w14:paraId="62738303"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根据案件繁简程度等相关因素，合理确定法官、法官助理、书记员的配置比例，科学界定各自职能定位及其相互关系，最大程度地发挥审判团队优势。推动队伍建设专业化。各审判业务部门加强对本条线业务的深入调研和归口指导，定期组织开展破产、建筑工程合同、金融以及其他重点商事审判业务培训，提高法官的专业水平，努力打造专家型商事审判队伍。</w:t>
      </w:r>
    </w:p>
    <w:p w14:paraId="0475F9BD" w14:textId="77777777" w:rsidR="00C97237" w:rsidRDefault="00000000">
      <w:pPr>
        <w:widowControl/>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 xml:space="preserve">（二）进一步加强智慧法院建设 </w:t>
      </w:r>
    </w:p>
    <w:p w14:paraId="3CFA6D80"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坚持随机分案、统一扎口结案，开庭、合议、送达、期限变更等主要节点全部在流程管理系统显示，促进法官严格按照规程办案。全面推进电子卷宗随案生成和深度应用，案件各流程、各诉讼环节、执行节点制作的诉讼文件、实施的诉讼执行活动，要在网上进行并同步转化、上传电子卷宗。</w:t>
      </w:r>
      <w:r>
        <w:rPr>
          <w:rFonts w:ascii="仿宋" w:eastAsia="仿宋" w:hAnsi="仿宋" w:cs="仿宋" w:hint="eastAsia"/>
          <w:color w:val="000000"/>
          <w:kern w:val="0"/>
          <w:sz w:val="32"/>
          <w:szCs w:val="32"/>
          <w:lang w:bidi="ar"/>
        </w:rPr>
        <w:lastRenderedPageBreak/>
        <w:t>推行庭审记录方式改革，努力实现庭审语音同步转化为文字并生成法庭笔录。</w:t>
      </w:r>
    </w:p>
    <w:p w14:paraId="6E4796EC" w14:textId="77777777" w:rsidR="00C97237" w:rsidRDefault="00000000">
      <w:pPr>
        <w:widowControl/>
        <w:spacing w:line="580" w:lineRule="exact"/>
        <w:ind w:firstLineChars="200" w:firstLine="643"/>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 xml:space="preserve">（三）加大提升“执行合同”宣传力度 </w:t>
      </w:r>
    </w:p>
    <w:p w14:paraId="4B75CA41"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加强对网上立案、随机自动分案、电子送达等司法创新实践的宣传。通过诉讼服务平台、司法公开平台、微信公众号等多种媒体渠道，广泛宣传推进提升“执行合同”的做法和成效，让涉诉当事人和社会公众及时全面了解创新举措，对司法的公开透明和便捷服务有更多获得感。 </w:t>
      </w:r>
    </w:p>
    <w:p w14:paraId="00DCF676"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（四）抓好工作责任落实 </w:t>
      </w:r>
    </w:p>
    <w:p w14:paraId="37E7ADFC"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按照实施方案要求，主动担当作为、狠抓工作落实，切实把提升“执行合同”的政治责任落实到具体的司法办案和司法管理中，制定具体落实措施，推进各项任务落地落实，各细化指标提升情况纳入考核。要坚持工作“一盘棋”，建立健全联动机制，确保一体推进。要加强督查问责，对关键环节和重点任务进行专项督查，确保各个环节有效衔接、高效运转。</w:t>
      </w:r>
    </w:p>
    <w:p w14:paraId="4E0A8153" w14:textId="77777777" w:rsidR="00C97237" w:rsidRDefault="00C97237">
      <w:pPr>
        <w:widowControl/>
        <w:spacing w:line="580" w:lineRule="exact"/>
        <w:jc w:val="left"/>
        <w:rPr>
          <w:rFonts w:ascii="黑体" w:eastAsia="黑体" w:hAnsi="黑体" w:cs="黑体"/>
          <w:color w:val="000000"/>
          <w:kern w:val="0"/>
          <w:sz w:val="44"/>
          <w:szCs w:val="44"/>
          <w:lang w:bidi="ar"/>
        </w:rPr>
      </w:pPr>
    </w:p>
    <w:p w14:paraId="04103E39" w14:textId="77777777" w:rsidR="00C97237" w:rsidRDefault="00C97237">
      <w:pPr>
        <w:widowControl/>
        <w:spacing w:line="580" w:lineRule="exact"/>
        <w:jc w:val="left"/>
        <w:rPr>
          <w:rFonts w:ascii="黑体" w:eastAsia="黑体" w:hAnsi="黑体" w:cs="黑体"/>
          <w:color w:val="000000"/>
          <w:kern w:val="0"/>
          <w:sz w:val="44"/>
          <w:szCs w:val="44"/>
          <w:lang w:bidi="ar"/>
        </w:rPr>
      </w:pPr>
    </w:p>
    <w:p w14:paraId="7E2FC7DA" w14:textId="77777777" w:rsidR="00C97237" w:rsidRDefault="00C97237">
      <w:pPr>
        <w:widowControl/>
        <w:spacing w:line="580" w:lineRule="exact"/>
        <w:jc w:val="left"/>
        <w:rPr>
          <w:rFonts w:ascii="黑体" w:eastAsia="黑体" w:hAnsi="黑体" w:cs="黑体"/>
          <w:color w:val="000000"/>
          <w:kern w:val="0"/>
          <w:sz w:val="44"/>
          <w:szCs w:val="44"/>
          <w:lang w:bidi="ar"/>
        </w:rPr>
      </w:pPr>
    </w:p>
    <w:p w14:paraId="0A12EA6A" w14:textId="77777777" w:rsidR="00C97237" w:rsidRDefault="00C97237">
      <w:pPr>
        <w:widowControl/>
        <w:spacing w:line="580" w:lineRule="exact"/>
        <w:jc w:val="left"/>
        <w:rPr>
          <w:rFonts w:ascii="黑体" w:eastAsia="黑体" w:hAnsi="黑体" w:cs="黑体"/>
          <w:color w:val="000000"/>
          <w:kern w:val="0"/>
          <w:sz w:val="44"/>
          <w:szCs w:val="44"/>
          <w:lang w:bidi="ar"/>
        </w:rPr>
      </w:pPr>
    </w:p>
    <w:p w14:paraId="12B78D7F" w14:textId="77777777" w:rsidR="00C97237" w:rsidRDefault="00C97237">
      <w:pPr>
        <w:widowControl/>
        <w:spacing w:line="580" w:lineRule="exact"/>
        <w:jc w:val="left"/>
        <w:rPr>
          <w:rFonts w:ascii="黑体" w:eastAsia="黑体" w:hAnsi="黑体" w:cs="黑体"/>
          <w:color w:val="000000"/>
          <w:kern w:val="0"/>
          <w:sz w:val="44"/>
          <w:szCs w:val="44"/>
          <w:lang w:bidi="ar"/>
        </w:rPr>
      </w:pPr>
    </w:p>
    <w:p w14:paraId="26BC0254" w14:textId="77777777" w:rsidR="00C97237" w:rsidRDefault="00C97237">
      <w:pPr>
        <w:widowControl/>
        <w:spacing w:line="580" w:lineRule="exact"/>
        <w:jc w:val="left"/>
        <w:rPr>
          <w:rFonts w:ascii="黑体" w:eastAsia="黑体" w:hAnsi="黑体" w:cs="黑体"/>
          <w:color w:val="000000"/>
          <w:kern w:val="0"/>
          <w:sz w:val="44"/>
          <w:szCs w:val="44"/>
          <w:lang w:bidi="ar"/>
        </w:rPr>
      </w:pPr>
    </w:p>
    <w:p w14:paraId="15B2050B" w14:textId="77777777" w:rsidR="00C97237" w:rsidRDefault="00000000">
      <w:pPr>
        <w:widowControl/>
        <w:spacing w:line="580" w:lineRule="exact"/>
        <w:jc w:val="left"/>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t>附件11</w:t>
      </w:r>
    </w:p>
    <w:p w14:paraId="69783722" w14:textId="77777777" w:rsidR="00C97237" w:rsidRDefault="00000000">
      <w:pPr>
        <w:widowControl/>
        <w:spacing w:line="580" w:lineRule="exact"/>
        <w:jc w:val="center"/>
        <w:rPr>
          <w:rFonts w:ascii="黑体" w:eastAsia="黑体" w:hAnsi="黑体" w:cs="黑体"/>
          <w:sz w:val="44"/>
          <w:szCs w:val="44"/>
        </w:rPr>
      </w:pPr>
      <w:r>
        <w:rPr>
          <w:rFonts w:ascii="黑体" w:eastAsia="黑体" w:hAnsi="黑体" w:cs="黑体" w:hint="eastAsia"/>
          <w:color w:val="000000"/>
          <w:kern w:val="0"/>
          <w:sz w:val="44"/>
          <w:szCs w:val="44"/>
          <w:lang w:bidi="ar"/>
        </w:rPr>
        <w:t>偃师区办理破产提升专项行动方案</w:t>
      </w:r>
    </w:p>
    <w:p w14:paraId="43E7FFC6" w14:textId="77777777" w:rsidR="00C97237" w:rsidRDefault="00C97237">
      <w:pPr>
        <w:widowControl/>
        <w:spacing w:line="580" w:lineRule="exact"/>
        <w:ind w:firstLineChars="200" w:firstLine="640"/>
        <w:jc w:val="left"/>
        <w:rPr>
          <w:rFonts w:ascii="仿宋" w:eastAsia="仿宋" w:hAnsi="仿宋" w:cs="仿宋"/>
          <w:color w:val="000000"/>
          <w:kern w:val="0"/>
          <w:sz w:val="32"/>
          <w:szCs w:val="32"/>
          <w:lang w:bidi="ar"/>
        </w:rPr>
      </w:pPr>
    </w:p>
    <w:p w14:paraId="364C2267"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为全面营造法治化营商环境，进一步提升“办理破产”质效，促进社会资源优化配置和产业结构转型升级，更好服务经济社会发展，根据国务院《优化营商环境条例》《河南省优化营商环境条例》及河南省优化营商环境工作领导小组《河南省营商环境优化提升方案（2022版）》，结合我区工作实际，制定以下工作方案。</w:t>
      </w:r>
    </w:p>
    <w:p w14:paraId="21D08A3C"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黑体" w:eastAsia="黑体" w:hAnsi="黑体" w:cs="黑体" w:hint="eastAsia"/>
          <w:color w:val="000000"/>
          <w:kern w:val="0"/>
          <w:sz w:val="32"/>
          <w:szCs w:val="32"/>
          <w:lang w:bidi="ar"/>
        </w:rPr>
        <w:t>一、总体要求</w:t>
      </w:r>
      <w:r>
        <w:rPr>
          <w:rFonts w:ascii="仿宋" w:eastAsia="仿宋" w:hAnsi="仿宋" w:cs="仿宋" w:hint="eastAsia"/>
          <w:color w:val="000000"/>
          <w:kern w:val="0"/>
          <w:sz w:val="32"/>
          <w:szCs w:val="32"/>
          <w:lang w:bidi="ar"/>
        </w:rPr>
        <w:t xml:space="preserve"> </w:t>
      </w:r>
    </w:p>
    <w:p w14:paraId="5853D7D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坚持以习近平新时代中国特色社会主义思想为引领，全面贯彻党的十九大和十九届历次全会精神，认真落实党中央、国务院、省委、省政府、市委、市政府以及区委、区政府进一步优化营商环境的决策部署，紧密结合我区实际，学习借鉴</w:t>
      </w:r>
      <w:r>
        <w:rPr>
          <w:rFonts w:ascii="仿宋" w:eastAsia="仿宋" w:hAnsi="仿宋" w:cs="仿宋" w:hint="eastAsia"/>
          <w:kern w:val="0"/>
          <w:sz w:val="32"/>
          <w:szCs w:val="32"/>
          <w:lang w:bidi="ar"/>
        </w:rPr>
        <w:t>国内其他区域先进经验与典型做法，充</w:t>
      </w:r>
      <w:r>
        <w:rPr>
          <w:rFonts w:ascii="仿宋" w:eastAsia="仿宋" w:hAnsi="仿宋" w:cs="仿宋" w:hint="eastAsia"/>
          <w:color w:val="000000"/>
          <w:kern w:val="0"/>
          <w:sz w:val="32"/>
          <w:szCs w:val="32"/>
          <w:lang w:bidi="ar"/>
        </w:rPr>
        <w:t>分发挥破产审判在完善市场经济主体拯救和退出机制等方面的积极作用，按照市场化、法治化的原则，以切实有效的措施保障企业破产制度常态化运行。</w:t>
      </w:r>
    </w:p>
    <w:p w14:paraId="238C4E37"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二、工作目标 </w:t>
      </w:r>
    </w:p>
    <w:p w14:paraId="58A1582A"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全面提高破产审判业务水平，提升破产案件审理质效。以构建企业破产工作大联动格局为着力点，解决长期困扰企业破产工作的痛点难点。进一步减少“收回债务所需时间”、降低“收回债务所需成本”、提高“债权人回收率”，依法平等保护债权人、债务人等相关方利益，充分发挥企业破产制度市场主体救治和退出的机制功能，打造稳定、公平、透明和可预期的营商环境。</w:t>
      </w:r>
    </w:p>
    <w:p w14:paraId="40C02856"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 xml:space="preserve">三、主要措施 </w:t>
      </w:r>
    </w:p>
    <w:p w14:paraId="26D8465B" w14:textId="77777777" w:rsidR="00C97237" w:rsidRDefault="00000000">
      <w:pPr>
        <w:widowControl/>
        <w:spacing w:line="580" w:lineRule="exact"/>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sz w:val="32"/>
          <w:szCs w:val="32"/>
        </w:rPr>
        <w:t>（一）进一步畅通企业破产通道。</w:t>
      </w:r>
      <w:r>
        <w:rPr>
          <w:rFonts w:ascii="仿宋" w:eastAsia="仿宋" w:hAnsi="仿宋" w:cs="仿宋" w:hint="eastAsia"/>
          <w:color w:val="000000"/>
          <w:kern w:val="0"/>
          <w:sz w:val="32"/>
          <w:szCs w:val="32"/>
          <w:lang w:bidi="ar"/>
        </w:rPr>
        <w:t>严格落实《中华人民共和国企业破产法》及相关司法解释关于破产条件的规定，用更专业化、标准化的要求进行破产立案审查，提高受理效率。严格依照《中华人民共和国企业破产法》及相关司法解释关于受理申请的规定，准确把握不同主体提出申请的条件，对符合条件的申请，依法及时予以受理。依法认定企业是否符合破产条件，不以任何非法定条件和“隐形门槛”干扰、阻碍破产案件受理，确保符合破产条件的企业及时进入破产程序。健全“执行转破产”工作机制，提高破产审判部门与执行部门信息共享水平，确保执行程序与破产程序有序衔接、协调配合，提升“执行转破产”工作质效，保证破产启动程序有序畅通。</w:t>
      </w:r>
    </w:p>
    <w:p w14:paraId="520FE61A"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46FB5381"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责任单位：区法院 </w:t>
      </w:r>
    </w:p>
    <w:p w14:paraId="32BF5075"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sz w:val="32"/>
          <w:szCs w:val="32"/>
        </w:rPr>
        <w:t>（二）进一步提升破产案件审理效率。</w:t>
      </w:r>
      <w:r>
        <w:rPr>
          <w:rFonts w:ascii="仿宋" w:eastAsia="仿宋" w:hAnsi="仿宋" w:cs="仿宋" w:hint="eastAsia"/>
          <w:color w:val="000000"/>
          <w:kern w:val="0"/>
          <w:sz w:val="32"/>
          <w:szCs w:val="32"/>
          <w:lang w:bidi="ar"/>
        </w:rPr>
        <w:t>严格落实最高人民法院《关于推进破产案件依法高效审理的意见》，简化办理手续、优化程序流程、合并审理环节。优化案件构成，提高简单案件占比。大力支持破产重整、和解，识别并引导具有挽救价值和可能的企业通过破产程序脱困新生，发挥破产重整制度的功能作用，加大对营业整合和资产重组的重视程度，为企业实现长远发展提供助力。充分理解适用《中华人民共和国企业破产法》及相关司法解释关于重整程序、和解程序及破产清算程序启动及转换条件的规定，根据破产审理</w:t>
      </w:r>
      <w:r>
        <w:rPr>
          <w:rFonts w:ascii="仿宋" w:eastAsia="仿宋" w:hAnsi="仿宋" w:cs="仿宋" w:hint="eastAsia"/>
          <w:color w:val="000000"/>
          <w:kern w:val="0"/>
          <w:sz w:val="32"/>
          <w:szCs w:val="32"/>
          <w:lang w:bidi="ar"/>
        </w:rPr>
        <w:lastRenderedPageBreak/>
        <w:t>情况，依法及时启动相应程序或对程序进行转换，节约破产程序时间，提高破产审判效率。</w:t>
      </w:r>
    </w:p>
    <w:p w14:paraId="707E751D"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时间节点：2022年12月 </w:t>
      </w:r>
    </w:p>
    <w:p w14:paraId="3E5FC6DB"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责任单位：区法院</w:t>
      </w:r>
    </w:p>
    <w:p w14:paraId="7B5C99FE" w14:textId="77777777" w:rsidR="00C97237" w:rsidRDefault="00000000">
      <w:pPr>
        <w:widowControl/>
        <w:spacing w:line="580" w:lineRule="exact"/>
        <w:ind w:firstLineChars="200" w:firstLine="643"/>
        <w:jc w:val="left"/>
        <w:rPr>
          <w:rFonts w:ascii="仿宋" w:eastAsia="仿宋" w:hAnsi="仿宋" w:cs="仿宋"/>
          <w:b/>
          <w:bCs/>
          <w:color w:val="000000"/>
          <w:sz w:val="32"/>
          <w:szCs w:val="32"/>
        </w:rPr>
      </w:pPr>
      <w:r>
        <w:rPr>
          <w:rFonts w:ascii="仿宋" w:eastAsia="仿宋" w:hAnsi="仿宋" w:cs="仿宋" w:hint="eastAsia"/>
          <w:b/>
          <w:bCs/>
          <w:color w:val="000000"/>
          <w:sz w:val="32"/>
          <w:szCs w:val="32"/>
        </w:rPr>
        <w:t>缩短破产案件办理时间。</w:t>
      </w:r>
    </w:p>
    <w:p w14:paraId="2A8CAEB2" w14:textId="77777777" w:rsidR="00C97237" w:rsidRDefault="00000000">
      <w:pPr>
        <w:widowControl/>
        <w:spacing w:line="580" w:lineRule="exact"/>
        <w:ind w:firstLineChars="200" w:firstLine="643"/>
        <w:jc w:val="left"/>
        <w:rPr>
          <w:rFonts w:ascii="仿宋" w:eastAsia="仿宋" w:hAnsi="仿宋" w:cs="仿宋"/>
          <w:color w:val="000000"/>
          <w:sz w:val="32"/>
          <w:szCs w:val="32"/>
        </w:rPr>
      </w:pPr>
      <w:r>
        <w:rPr>
          <w:rFonts w:ascii="仿宋" w:eastAsia="仿宋" w:hAnsi="仿宋" w:cs="仿宋" w:hint="eastAsia"/>
          <w:b/>
          <w:bCs/>
          <w:color w:val="000000"/>
          <w:sz w:val="32"/>
          <w:szCs w:val="32"/>
        </w:rPr>
        <w:t>（三）进一步降低破产案件成本。</w:t>
      </w:r>
      <w:r>
        <w:rPr>
          <w:rFonts w:ascii="仿宋" w:eastAsia="仿宋" w:hAnsi="仿宋" w:cs="仿宋" w:hint="eastAsia"/>
          <w:color w:val="000000"/>
          <w:kern w:val="0"/>
          <w:sz w:val="32"/>
          <w:szCs w:val="32"/>
          <w:lang w:bidi="ar"/>
        </w:rPr>
        <w:t>加快破产审判信息化建设，积极推进破产办案平台与执行查控系统对接，实现债务人基本财产信息网络化查询，节约管理人的调查时间和成本</w:t>
      </w:r>
      <w:r>
        <w:rPr>
          <w:rFonts w:ascii="仿宋" w:eastAsia="仿宋" w:hAnsi="仿宋" w:cs="仿宋" w:hint="eastAsia"/>
          <w:color w:val="000000"/>
          <w:sz w:val="32"/>
          <w:szCs w:val="32"/>
        </w:rPr>
        <w:t>。</w:t>
      </w:r>
      <w:r>
        <w:rPr>
          <w:rFonts w:ascii="仿宋" w:eastAsia="仿宋" w:hAnsi="仿宋" w:cs="仿宋" w:hint="eastAsia"/>
          <w:color w:val="000000"/>
          <w:kern w:val="0"/>
          <w:sz w:val="32"/>
          <w:szCs w:val="32"/>
          <w:lang w:bidi="ar"/>
        </w:rPr>
        <w:t>按照《最高人民法院关于审理企业破产案件确定管理人报酬的规定》等文件，根据案件审理情况，对经债权人会议审查后的管理人报酬方案进行确认或调整，采取分期支付为主、一次性支付为辅的支付方式，对履职出现问题的管理人视情扣减报酬，严格破产费用支取程序和审查标准。</w:t>
      </w:r>
    </w:p>
    <w:p w14:paraId="72169B3B"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时间节点：2021年12月</w:t>
      </w:r>
    </w:p>
    <w:p w14:paraId="684E2BF4"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责任单位：区法院</w:t>
      </w:r>
    </w:p>
    <w:p w14:paraId="19F923DB" w14:textId="77777777" w:rsidR="00C97237" w:rsidRDefault="00000000">
      <w:pPr>
        <w:widowControl/>
        <w:spacing w:line="580" w:lineRule="exact"/>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sz w:val="32"/>
          <w:szCs w:val="32"/>
        </w:rPr>
        <w:t>（四）充分提高破产企业财产价值。</w:t>
      </w:r>
      <w:r>
        <w:rPr>
          <w:rFonts w:ascii="仿宋" w:eastAsia="仿宋" w:hAnsi="仿宋" w:cs="仿宋" w:hint="eastAsia"/>
          <w:color w:val="000000"/>
          <w:kern w:val="0"/>
          <w:sz w:val="32"/>
          <w:szCs w:val="32"/>
          <w:lang w:bidi="ar"/>
        </w:rPr>
        <w:t>处置破产企业财产应当以价值最大化为原则，兼顾处置效率，加强对破产企业财产的科学管理。认真审查企业资产状况，通过行使撤销权、依法追回财产等途径维护债权人合法权益能够通过企业整体处置方式维护财产价值和企业营运价值的，优先考虑使用整体处置方式。坚持网络拍卖优先原则，破产程序中变价出售债务人财产的，原则上采用网络拍卖方式，提高企业变现效率和价值。</w:t>
      </w:r>
    </w:p>
    <w:p w14:paraId="05E157D6" w14:textId="77777777" w:rsidR="00C97237" w:rsidRDefault="00000000">
      <w:pPr>
        <w:widowControl/>
        <w:spacing w:line="580" w:lineRule="exact"/>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lastRenderedPageBreak/>
        <w:t>（五）完善破产审判内部机制建设，提高破产工作水平。</w:t>
      </w:r>
      <w:r>
        <w:rPr>
          <w:rFonts w:ascii="仿宋" w:eastAsia="仿宋" w:hAnsi="仿宋" w:cs="仿宋" w:hint="eastAsia"/>
          <w:color w:val="000000"/>
          <w:kern w:val="0"/>
          <w:sz w:val="32"/>
          <w:szCs w:val="32"/>
          <w:lang w:bidi="ar"/>
        </w:rPr>
        <w:t>加强破产审判队伍建设，进一步规范破产审判法官的行为，防止法官与管理人、债务人等案件利害关系人不正当交往。客观体现破产法官的工作量，充分激发法官积极性。加强对破产管理人队伍的培育、管理和监督。配合上级法院开展管理人名册更新工作，支持偃师区破产管理人协会加强行业规范、开展学习教育培训，提升管理人队伍整体水平和履职能力。充分发挥管理人作用，提高破产案件办理质效。</w:t>
      </w:r>
    </w:p>
    <w:p w14:paraId="30F366F6"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04C1CA61" w14:textId="77777777" w:rsidR="00C97237" w:rsidRDefault="00000000">
      <w:pPr>
        <w:widowControl/>
        <w:tabs>
          <w:tab w:val="center" w:pos="4153"/>
        </w:tabs>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责任单位：区法院</w:t>
      </w:r>
    </w:p>
    <w:p w14:paraId="197DAB01"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（六）支持保障管理人依法履职。</w:t>
      </w:r>
      <w:r>
        <w:rPr>
          <w:rFonts w:ascii="仿宋" w:eastAsia="仿宋" w:hAnsi="仿宋" w:cs="仿宋" w:hint="eastAsia"/>
          <w:color w:val="000000"/>
          <w:kern w:val="0"/>
          <w:sz w:val="32"/>
          <w:szCs w:val="32"/>
          <w:lang w:bidi="ar"/>
        </w:rPr>
        <w:t xml:space="preserve">管理人接管破产企业后，可凭人民法院受理债务人企业破产裁定书及指定管理人决定书依法行使管理人职权。政府各部门、各金融机构及其他相关单位对管理人依法履行申请开立管理人账户、调查破产企业财产状况、解除财产保全措施、管理处分财产、办理涉税事务、查询职工社保、申请修复破产企业信用、办理注销手续等法定职责应提供保障和便利，保证破产程序顺利推进。 </w:t>
      </w:r>
    </w:p>
    <w:p w14:paraId="05160EF2"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3A481BA0"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责任单位：区法院、区医疗保障局、区人力资源和社会保障局、区市场监管局、市自然资源和规划局偃师分局</w:t>
      </w:r>
    </w:p>
    <w:p w14:paraId="7B58AE6D" w14:textId="77777777" w:rsidR="00C97237" w:rsidRDefault="00000000">
      <w:pPr>
        <w:pStyle w:val="ab"/>
        <w:widowControl/>
        <w:spacing w:before="0" w:beforeAutospacing="0" w:after="0" w:afterAutospacing="0" w:line="580" w:lineRule="exact"/>
        <w:ind w:firstLineChars="200" w:firstLine="643"/>
        <w:rPr>
          <w:rFonts w:ascii="仿宋" w:eastAsia="仿宋" w:hAnsi="仿宋" w:cs="仿宋"/>
          <w:sz w:val="32"/>
          <w:szCs w:val="32"/>
        </w:rPr>
      </w:pPr>
      <w:r>
        <w:rPr>
          <w:rFonts w:ascii="仿宋" w:eastAsia="仿宋" w:hAnsi="仿宋" w:cs="仿宋" w:hint="eastAsia"/>
          <w:b/>
          <w:bCs/>
          <w:color w:val="000000"/>
          <w:kern w:val="0"/>
          <w:sz w:val="32"/>
          <w:szCs w:val="32"/>
          <w:lang w:bidi="ar"/>
        </w:rPr>
        <w:t>（七）配合解除针对破产企业财产采取的强制措施。</w:t>
      </w:r>
      <w:r>
        <w:rPr>
          <w:rFonts w:ascii="仿宋" w:eastAsia="仿宋" w:hAnsi="仿宋" w:cs="仿宋" w:hint="eastAsia"/>
          <w:color w:val="000000"/>
          <w:sz w:val="32"/>
          <w:szCs w:val="32"/>
        </w:rPr>
        <w:t>严格按照法律规定，在受理破产申请后，依法解除有关破产企</w:t>
      </w:r>
      <w:r>
        <w:rPr>
          <w:rFonts w:ascii="仿宋" w:eastAsia="仿宋" w:hAnsi="仿宋" w:cs="仿宋" w:hint="eastAsia"/>
          <w:color w:val="000000"/>
          <w:sz w:val="32"/>
          <w:szCs w:val="32"/>
        </w:rPr>
        <w:lastRenderedPageBreak/>
        <w:t>业的保全措施及查封、扣押、冻结等强制措施，履行相关手续，将财产移交破产管理人接管。</w:t>
      </w:r>
    </w:p>
    <w:p w14:paraId="14287B9E"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时间节点：持续推进 </w:t>
      </w:r>
    </w:p>
    <w:p w14:paraId="701B2527"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sz w:val="32"/>
          <w:szCs w:val="32"/>
        </w:rPr>
        <w:t>责任单位：区法院、区检察院、区公安局、市自然资源和规划局偃师分局、区住建局、市场监管局、区税务局</w:t>
      </w:r>
    </w:p>
    <w:p w14:paraId="5C6D3151"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（八）协调解决破产企业资产处置问题。</w:t>
      </w:r>
      <w:r>
        <w:rPr>
          <w:rFonts w:ascii="仿宋" w:eastAsia="仿宋" w:hAnsi="仿宋" w:cs="仿宋" w:hint="eastAsia"/>
          <w:color w:val="000000"/>
          <w:kern w:val="0"/>
          <w:sz w:val="32"/>
          <w:szCs w:val="32"/>
          <w:lang w:bidi="ar"/>
        </w:rPr>
        <w:t>用足用好城镇低效用地再开发等政策，针对破产案件中房地产无证、房地权属分离、城乡规划未确定等导致不动产难以处置的情形研究制定解决方案，允许对破产企业具备独立分宗条件的土地、房产分割转让，盘活破产企业财产；提高不良资产处置平台效果，提高资产处置效率和收益。发挥招商引资渠道作用，提高企业资产整体转让率，支持企业履行与在建工程有关的合同，实现破产价值最大化。</w:t>
      </w:r>
    </w:p>
    <w:p w14:paraId="6409DCD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696A444D"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责任单位：区法院、市自然资源和规划局偃师分局、区住建局、 区商务局</w:t>
      </w:r>
    </w:p>
    <w:p w14:paraId="2CCB2527"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（九）解决破产企业涉税难题。</w:t>
      </w:r>
      <w:r>
        <w:rPr>
          <w:rFonts w:ascii="仿宋" w:eastAsia="仿宋" w:hAnsi="仿宋" w:cs="仿宋" w:hint="eastAsia"/>
          <w:color w:val="000000"/>
          <w:kern w:val="0"/>
          <w:sz w:val="32"/>
          <w:szCs w:val="32"/>
          <w:lang w:bidi="ar"/>
        </w:rPr>
        <w:t>研究解决破产程序中办税主体、涉税查询、解除非正常户状态、纳税申报、发票领用、资产处置税收管理、税收滞纳金处理、税款入库、未受偿税款核销、税务注销、税收优惠政策落实、破产重整税务信息变更、纳税信用修复等方面的问题，</w:t>
      </w:r>
      <w:r>
        <w:rPr>
          <w:rFonts w:ascii="仿宋" w:eastAsia="仿宋" w:hAnsi="仿宋" w:cs="仿宋" w:hint="eastAsia"/>
          <w:color w:val="000000"/>
          <w:sz w:val="32"/>
          <w:szCs w:val="32"/>
        </w:rPr>
        <w:t>出台文件明确解决办法和办理流程，依法依规对破产企业资产过户和生产经营提供税收优惠和支持。</w:t>
      </w:r>
    </w:p>
    <w:p w14:paraId="085D013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时间节点：2022年9月 </w:t>
      </w:r>
    </w:p>
    <w:p w14:paraId="73046FB9"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 xml:space="preserve">责任单位：区法院、区税务局 </w:t>
      </w:r>
    </w:p>
    <w:p w14:paraId="0C3EF6C2"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（十）推动企业变更注销便利化。</w:t>
      </w:r>
      <w:r>
        <w:rPr>
          <w:rFonts w:ascii="仿宋" w:eastAsia="仿宋" w:hAnsi="仿宋" w:cs="仿宋" w:hint="eastAsia"/>
          <w:color w:val="000000"/>
          <w:kern w:val="0"/>
          <w:sz w:val="32"/>
          <w:szCs w:val="32"/>
          <w:lang w:bidi="ar"/>
        </w:rPr>
        <w:t>简化破产企业退出市场相关工作的登记程序和手续，对破产企业税务和工商变更、注销登记及时协商办理。法院依法裁定终结的企业破产及公司强制清算案件中的清算企业和分支机构，均适用简易注销登记程序。</w:t>
      </w:r>
    </w:p>
    <w:p w14:paraId="668D2F57"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时间节点：2022年12月 </w:t>
      </w:r>
    </w:p>
    <w:p w14:paraId="515E05A7" w14:textId="77777777" w:rsidR="00C97237" w:rsidRDefault="00000000">
      <w:pPr>
        <w:widowControl/>
        <w:spacing w:line="580" w:lineRule="exact"/>
        <w:ind w:firstLineChars="200" w:firstLine="640"/>
        <w:jc w:val="left"/>
        <w:rPr>
          <w:rFonts w:ascii="仿宋" w:eastAsia="仿宋" w:hAnsi="仿宋" w:cs="仿宋"/>
          <w:color w:val="000000"/>
          <w:sz w:val="32"/>
          <w:szCs w:val="32"/>
        </w:rPr>
      </w:pPr>
      <w:r>
        <w:rPr>
          <w:rFonts w:ascii="仿宋" w:eastAsia="仿宋" w:hAnsi="仿宋" w:cs="仿宋" w:hint="eastAsia"/>
          <w:color w:val="000000"/>
          <w:kern w:val="0"/>
          <w:sz w:val="32"/>
          <w:szCs w:val="32"/>
          <w:lang w:bidi="ar"/>
        </w:rPr>
        <w:t>责任单位：区法院、区税务局、区市场监管局</w:t>
      </w:r>
    </w:p>
    <w:p w14:paraId="1F0BCAD6"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（十一）严厉打击恶意逃废债行为。</w:t>
      </w:r>
      <w:r>
        <w:rPr>
          <w:rFonts w:ascii="仿宋" w:eastAsia="仿宋" w:hAnsi="仿宋" w:cs="仿宋" w:hint="eastAsia"/>
          <w:color w:val="000000"/>
          <w:kern w:val="0"/>
          <w:sz w:val="32"/>
          <w:szCs w:val="32"/>
          <w:lang w:bidi="ar"/>
        </w:rPr>
        <w:t xml:space="preserve">认真审查破产企业资产、债务情况，对债权人享有的破产程序的知情权、参与权和监督权提供充分保障，及时发现债务人虚假破产线索。涉嫌犯罪的，人民法院根据管理人的提请或者依职权及时将涉嫌犯罪的线索移送公安机关依法处理，公安机关应当及时接收并调查，加大对破产程序中涉及“逃废债”行为的刑事追责力度；检察机关应充分发挥监督作用，对于涉“逃废债”情形应通过检察建议等方式，督促相关职能部门办理。 </w:t>
      </w:r>
    </w:p>
    <w:p w14:paraId="22712E30"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6B05B4FC" w14:textId="77777777" w:rsidR="00C97237" w:rsidRDefault="00000000">
      <w:pPr>
        <w:widowControl/>
        <w:spacing w:line="580" w:lineRule="exact"/>
        <w:ind w:firstLineChars="200" w:firstLine="640"/>
        <w:jc w:val="left"/>
        <w:rPr>
          <w:rFonts w:ascii="仿宋" w:eastAsia="仿宋" w:hAnsi="仿宋" w:cs="仿宋"/>
          <w:color w:val="FF0000"/>
          <w:kern w:val="0"/>
          <w:sz w:val="32"/>
          <w:szCs w:val="32"/>
          <w:lang w:bidi="ar"/>
        </w:rPr>
      </w:pPr>
      <w:r>
        <w:rPr>
          <w:rFonts w:ascii="仿宋" w:eastAsia="仿宋" w:hAnsi="仿宋" w:cs="仿宋" w:hint="eastAsia"/>
          <w:color w:val="000000"/>
          <w:kern w:val="0"/>
          <w:sz w:val="32"/>
          <w:szCs w:val="32"/>
          <w:lang w:bidi="ar"/>
        </w:rPr>
        <w:t>责任单位：区法院、区检察院、区公安局、区金融工作局、区税务局</w:t>
      </w:r>
    </w:p>
    <w:p w14:paraId="54FD27AC" w14:textId="77777777" w:rsidR="00C97237" w:rsidRDefault="00000000">
      <w:pPr>
        <w:pStyle w:val="ab"/>
        <w:widowControl/>
        <w:spacing w:before="0" w:beforeAutospacing="0" w:after="0" w:afterAutospacing="0" w:line="58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kern w:val="0"/>
          <w:sz w:val="32"/>
          <w:szCs w:val="32"/>
          <w:lang w:bidi="ar"/>
        </w:rPr>
        <w:t>（十二）做好涉破产案件的信访稳定工作。</w:t>
      </w:r>
      <w:r>
        <w:rPr>
          <w:rFonts w:ascii="仿宋" w:eastAsia="仿宋" w:hAnsi="仿宋" w:cs="仿宋" w:hint="eastAsia"/>
          <w:color w:val="000000"/>
          <w:sz w:val="32"/>
          <w:szCs w:val="32"/>
        </w:rPr>
        <w:t>全程关注信访稳定问题，争取早预防、早发现、早化解。对于存在信访稳定风险的破产案件，提前制定维稳预案，做好财产接管、债权人会议、财产处置等程序的风险评估和秩序维护工作。做好来信处理和来访接待疏导工作，落实地方政府信访属地</w:t>
      </w:r>
      <w:r>
        <w:rPr>
          <w:rFonts w:ascii="仿宋" w:eastAsia="仿宋" w:hAnsi="仿宋" w:cs="仿宋" w:hint="eastAsia"/>
          <w:color w:val="000000"/>
          <w:sz w:val="32"/>
          <w:szCs w:val="32"/>
        </w:rPr>
        <w:lastRenderedPageBreak/>
        <w:t xml:space="preserve">责任,全力预防和化解集访、闹访和非访，确保遇有情况及时有效处置，切实维护社会稳定。 </w:t>
      </w:r>
    </w:p>
    <w:p w14:paraId="0EE7E2B4"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时间节点：持续推进 </w:t>
      </w:r>
    </w:p>
    <w:p w14:paraId="70F0D879"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责任单位：区法院、区信访局、区公安局 </w:t>
      </w:r>
    </w:p>
    <w:p w14:paraId="62AD85ED"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（十三）推动全区破产工作府院联动机制常态化、实效化。</w:t>
      </w:r>
      <w:r>
        <w:rPr>
          <w:rFonts w:ascii="仿宋" w:eastAsia="仿宋" w:hAnsi="仿宋" w:cs="仿宋" w:hint="eastAsia"/>
          <w:color w:val="000000"/>
          <w:kern w:val="0"/>
          <w:sz w:val="32"/>
          <w:szCs w:val="32"/>
          <w:lang w:bidi="ar"/>
        </w:rPr>
        <w:t xml:space="preserve">认真贯彻《河南省优化营商环境条例》等有关法规、文件要求，根据《关于构建偃师区企业破产常态化府院联动机制实施意见》的要求，积极完善由区法院、区发展改革委牵头，由区检察院、区信访局、区商务局、区公安局、区民政局、区司法局、区财政局、区人力资源和社会保障局、区金融工作局、区税务局、区住建局、区市场监管局、市自然资源和规划局偃师分局等部门和单位组成的偃师区企业破产常态化府院联动机制，明确各部门分工，统筹协商破产案件中需要政府部门协商解决的相关重要问题。通过定期开展工作，加强企业破产风险隐患预警、信息共享和反馈、跨部门联合调研等，推动个案协调向制度化对接转变，建立推进破产审判工作的长效机制，形成破解难题的强大合力。 </w:t>
      </w:r>
    </w:p>
    <w:p w14:paraId="35F7CB8F"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7E490D74" w14:textId="77777777" w:rsidR="00C97237" w:rsidRDefault="00000000">
      <w:pPr>
        <w:widowControl/>
        <w:spacing w:line="580" w:lineRule="exact"/>
        <w:ind w:firstLineChars="200" w:firstLine="640"/>
        <w:jc w:val="left"/>
        <w:rPr>
          <w:rFonts w:ascii="仿宋" w:eastAsia="仿宋" w:hAnsi="仿宋" w:cs="仿宋"/>
          <w:color w:val="FF0000"/>
          <w:kern w:val="0"/>
          <w:sz w:val="32"/>
          <w:szCs w:val="32"/>
          <w:lang w:bidi="ar"/>
        </w:rPr>
      </w:pPr>
      <w:r>
        <w:rPr>
          <w:rFonts w:ascii="仿宋" w:eastAsia="仿宋" w:hAnsi="仿宋" w:cs="仿宋" w:hint="eastAsia"/>
          <w:color w:val="000000"/>
          <w:kern w:val="0"/>
          <w:sz w:val="32"/>
          <w:szCs w:val="32"/>
          <w:lang w:bidi="ar"/>
        </w:rPr>
        <w:t>责任单位：区法院、区发展改革委、区检察院、区信访局、区商务局、区公安局、区民政局、区司法局、区财政局、区人力资源和社会保障局、区金融工作局、区税务局、区住建局、区市场监管局、市自然资源和规划局偃师分局</w:t>
      </w:r>
    </w:p>
    <w:p w14:paraId="5396198B"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四、指标对比</w:t>
      </w:r>
    </w:p>
    <w:tbl>
      <w:tblPr>
        <w:tblStyle w:val="ac"/>
        <w:tblW w:w="8782" w:type="dxa"/>
        <w:jc w:val="center"/>
        <w:tblLayout w:type="fixed"/>
        <w:tblLook w:val="04A0" w:firstRow="1" w:lastRow="0" w:firstColumn="1" w:lastColumn="0" w:noHBand="0" w:noVBand="1"/>
      </w:tblPr>
      <w:tblGrid>
        <w:gridCol w:w="1575"/>
        <w:gridCol w:w="1307"/>
        <w:gridCol w:w="1420"/>
        <w:gridCol w:w="1420"/>
        <w:gridCol w:w="1421"/>
        <w:gridCol w:w="1639"/>
      </w:tblGrid>
      <w:tr w:rsidR="00C97237" w14:paraId="431555A1" w14:textId="77777777">
        <w:trPr>
          <w:jc w:val="center"/>
        </w:trPr>
        <w:tc>
          <w:tcPr>
            <w:tcW w:w="1575" w:type="dxa"/>
          </w:tcPr>
          <w:p w14:paraId="405ED3D2"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指标</w:t>
            </w:r>
          </w:p>
          <w:p w14:paraId="10F0EF77"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（项目）</w:t>
            </w:r>
          </w:p>
        </w:tc>
        <w:tc>
          <w:tcPr>
            <w:tcW w:w="1307" w:type="dxa"/>
          </w:tcPr>
          <w:p w14:paraId="061F6959"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现状水</w:t>
            </w:r>
            <w:r>
              <w:rPr>
                <w:rFonts w:ascii="仿宋" w:eastAsia="仿宋" w:hAnsi="仿宋" w:cs="仿宋" w:hint="eastAsia"/>
                <w:color w:val="000000"/>
                <w:kern w:val="0"/>
                <w:sz w:val="32"/>
                <w:szCs w:val="32"/>
                <w:lang w:bidi="ar"/>
              </w:rPr>
              <w:lastRenderedPageBreak/>
              <w:t>平</w:t>
            </w:r>
          </w:p>
        </w:tc>
        <w:tc>
          <w:tcPr>
            <w:tcW w:w="1420" w:type="dxa"/>
          </w:tcPr>
          <w:p w14:paraId="7E1928E3"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省升级</w:t>
            </w:r>
            <w:r>
              <w:rPr>
                <w:rFonts w:ascii="仿宋" w:eastAsia="仿宋" w:hAnsi="仿宋" w:cs="仿宋" w:hint="eastAsia"/>
                <w:color w:val="000000"/>
                <w:kern w:val="0"/>
                <w:sz w:val="32"/>
                <w:szCs w:val="32"/>
                <w:lang w:bidi="ar"/>
              </w:rPr>
              <w:lastRenderedPageBreak/>
              <w:t>版</w:t>
            </w:r>
          </w:p>
          <w:p w14:paraId="26427717"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目标</w:t>
            </w:r>
          </w:p>
        </w:tc>
        <w:tc>
          <w:tcPr>
            <w:tcW w:w="1420" w:type="dxa"/>
          </w:tcPr>
          <w:p w14:paraId="5EDF731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我区升</w:t>
            </w:r>
            <w:r>
              <w:rPr>
                <w:rFonts w:ascii="仿宋" w:eastAsia="仿宋" w:hAnsi="仿宋" w:cs="仿宋" w:hint="eastAsia"/>
                <w:color w:val="000000"/>
                <w:kern w:val="0"/>
                <w:sz w:val="32"/>
                <w:szCs w:val="32"/>
                <w:lang w:bidi="ar"/>
              </w:rPr>
              <w:lastRenderedPageBreak/>
              <w:t>级版</w:t>
            </w:r>
          </w:p>
          <w:p w14:paraId="3D4FFD7F"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目标</w:t>
            </w:r>
          </w:p>
        </w:tc>
        <w:tc>
          <w:tcPr>
            <w:tcW w:w="1421" w:type="dxa"/>
          </w:tcPr>
          <w:p w14:paraId="40BCC26F"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国内最</w:t>
            </w:r>
            <w:r>
              <w:rPr>
                <w:rFonts w:ascii="仿宋" w:eastAsia="仿宋" w:hAnsi="仿宋" w:cs="仿宋" w:hint="eastAsia"/>
                <w:color w:val="000000"/>
                <w:kern w:val="0"/>
                <w:sz w:val="32"/>
                <w:szCs w:val="32"/>
                <w:lang w:bidi="ar"/>
              </w:rPr>
              <w:lastRenderedPageBreak/>
              <w:t>佳</w:t>
            </w:r>
          </w:p>
        </w:tc>
        <w:tc>
          <w:tcPr>
            <w:tcW w:w="1639" w:type="dxa"/>
          </w:tcPr>
          <w:p w14:paraId="247BF93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时间节点</w:t>
            </w:r>
          </w:p>
        </w:tc>
      </w:tr>
      <w:tr w:rsidR="00C97237" w14:paraId="645036AC" w14:textId="77777777">
        <w:trPr>
          <w:trHeight w:val="975"/>
          <w:jc w:val="center"/>
        </w:trPr>
        <w:tc>
          <w:tcPr>
            <w:tcW w:w="1575" w:type="dxa"/>
          </w:tcPr>
          <w:p w14:paraId="2482CB5F"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收回债务所需时间</w:t>
            </w:r>
          </w:p>
        </w:tc>
        <w:tc>
          <w:tcPr>
            <w:tcW w:w="1307" w:type="dxa"/>
          </w:tcPr>
          <w:p w14:paraId="48C0B2BC" w14:textId="77777777" w:rsidR="00C97237" w:rsidRDefault="00000000">
            <w:pPr>
              <w:spacing w:line="580" w:lineRule="exact"/>
              <w:ind w:firstLineChars="100" w:firstLine="320"/>
              <w:rPr>
                <w:rFonts w:ascii="仿宋" w:eastAsia="仿宋" w:hAnsi="仿宋" w:cs="仿宋"/>
                <w:kern w:val="32"/>
                <w:sz w:val="32"/>
                <w:szCs w:val="32"/>
              </w:rPr>
            </w:pPr>
            <w:r>
              <w:rPr>
                <w:rFonts w:ascii="仿宋" w:eastAsia="仿宋" w:hAnsi="仿宋" w:cs="仿宋" w:hint="eastAsia"/>
                <w:kern w:val="32"/>
                <w:sz w:val="32"/>
                <w:szCs w:val="32"/>
              </w:rPr>
              <w:t>1.58年</w:t>
            </w:r>
          </w:p>
        </w:tc>
        <w:tc>
          <w:tcPr>
            <w:tcW w:w="1420" w:type="dxa"/>
          </w:tcPr>
          <w:p w14:paraId="2395AB1E"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1.2年</w:t>
            </w:r>
          </w:p>
        </w:tc>
        <w:tc>
          <w:tcPr>
            <w:tcW w:w="1420" w:type="dxa"/>
          </w:tcPr>
          <w:p w14:paraId="3FD2690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0.78年</w:t>
            </w:r>
          </w:p>
        </w:tc>
        <w:tc>
          <w:tcPr>
            <w:tcW w:w="1421" w:type="dxa"/>
          </w:tcPr>
          <w:p w14:paraId="0614F8AF"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0.29年</w:t>
            </w:r>
          </w:p>
        </w:tc>
        <w:tc>
          <w:tcPr>
            <w:tcW w:w="1639" w:type="dxa"/>
          </w:tcPr>
          <w:p w14:paraId="6D9506B2" w14:textId="77777777" w:rsidR="00C97237" w:rsidRDefault="00000000">
            <w:pPr>
              <w:widowControl/>
              <w:spacing w:line="580" w:lineRule="exact"/>
              <w:rPr>
                <w:rFonts w:ascii="仿宋" w:eastAsia="仿宋" w:hAnsi="仿宋" w:cs="仿宋"/>
                <w:sz w:val="32"/>
                <w:szCs w:val="32"/>
              </w:rPr>
            </w:pPr>
            <w:r>
              <w:rPr>
                <w:rFonts w:ascii="仿宋" w:eastAsia="仿宋" w:hAnsi="仿宋" w:cs="仿宋" w:hint="eastAsia"/>
                <w:color w:val="000000"/>
                <w:kern w:val="0"/>
                <w:sz w:val="32"/>
                <w:szCs w:val="32"/>
                <w:lang w:bidi="ar"/>
              </w:rPr>
              <w:t>2022年12 月</w:t>
            </w:r>
          </w:p>
          <w:p w14:paraId="092ED28E" w14:textId="77777777" w:rsidR="00C97237" w:rsidRDefault="00C97237">
            <w:pPr>
              <w:widowControl/>
              <w:spacing w:line="580" w:lineRule="exact"/>
              <w:jc w:val="center"/>
              <w:rPr>
                <w:rFonts w:ascii="仿宋" w:eastAsia="仿宋" w:hAnsi="仿宋" w:cs="仿宋"/>
                <w:color w:val="000000"/>
                <w:kern w:val="0"/>
                <w:sz w:val="32"/>
                <w:szCs w:val="32"/>
                <w:lang w:bidi="ar"/>
              </w:rPr>
            </w:pPr>
          </w:p>
        </w:tc>
      </w:tr>
      <w:tr w:rsidR="00C97237" w14:paraId="3E28ECF4" w14:textId="77777777">
        <w:trPr>
          <w:trHeight w:val="810"/>
          <w:jc w:val="center"/>
        </w:trPr>
        <w:tc>
          <w:tcPr>
            <w:tcW w:w="1575" w:type="dxa"/>
          </w:tcPr>
          <w:p w14:paraId="744E6150"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收回债务所需成本</w:t>
            </w:r>
          </w:p>
        </w:tc>
        <w:tc>
          <w:tcPr>
            <w:tcW w:w="1307" w:type="dxa"/>
          </w:tcPr>
          <w:p w14:paraId="7DF82B6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30.67%</w:t>
            </w:r>
          </w:p>
        </w:tc>
        <w:tc>
          <w:tcPr>
            <w:tcW w:w="1420" w:type="dxa"/>
          </w:tcPr>
          <w:p w14:paraId="34A6EE0F"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25%</w:t>
            </w:r>
          </w:p>
        </w:tc>
        <w:tc>
          <w:tcPr>
            <w:tcW w:w="1420" w:type="dxa"/>
          </w:tcPr>
          <w:p w14:paraId="030779D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15%</w:t>
            </w:r>
          </w:p>
        </w:tc>
        <w:tc>
          <w:tcPr>
            <w:tcW w:w="1421" w:type="dxa"/>
          </w:tcPr>
          <w:p w14:paraId="50DAC08B"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10.11%</w:t>
            </w:r>
          </w:p>
        </w:tc>
        <w:tc>
          <w:tcPr>
            <w:tcW w:w="1639" w:type="dxa"/>
          </w:tcPr>
          <w:p w14:paraId="7319633F" w14:textId="77777777" w:rsidR="00C97237" w:rsidRDefault="00000000">
            <w:pPr>
              <w:widowControl/>
              <w:spacing w:line="580" w:lineRule="exact"/>
              <w:rPr>
                <w:rFonts w:ascii="仿宋" w:eastAsia="仿宋" w:hAnsi="仿宋" w:cs="仿宋"/>
                <w:sz w:val="32"/>
                <w:szCs w:val="32"/>
              </w:rPr>
            </w:pPr>
            <w:r>
              <w:rPr>
                <w:rFonts w:ascii="仿宋" w:eastAsia="仿宋" w:hAnsi="仿宋" w:cs="仿宋" w:hint="eastAsia"/>
                <w:color w:val="000000"/>
                <w:kern w:val="0"/>
                <w:sz w:val="32"/>
                <w:szCs w:val="32"/>
                <w:lang w:bidi="ar"/>
              </w:rPr>
              <w:t>2022年12 月</w:t>
            </w:r>
          </w:p>
          <w:p w14:paraId="3001550F" w14:textId="77777777" w:rsidR="00C97237" w:rsidRDefault="00C97237">
            <w:pPr>
              <w:widowControl/>
              <w:spacing w:line="580" w:lineRule="exact"/>
              <w:jc w:val="center"/>
              <w:rPr>
                <w:rFonts w:ascii="仿宋" w:eastAsia="仿宋" w:hAnsi="仿宋" w:cs="仿宋"/>
                <w:color w:val="000000"/>
                <w:kern w:val="0"/>
                <w:sz w:val="32"/>
                <w:szCs w:val="32"/>
                <w:lang w:bidi="ar"/>
              </w:rPr>
            </w:pPr>
          </w:p>
        </w:tc>
      </w:tr>
      <w:tr w:rsidR="00C97237" w14:paraId="66A34F29" w14:textId="77777777">
        <w:trPr>
          <w:trHeight w:val="655"/>
          <w:jc w:val="center"/>
        </w:trPr>
        <w:tc>
          <w:tcPr>
            <w:tcW w:w="1575" w:type="dxa"/>
          </w:tcPr>
          <w:p w14:paraId="43171193"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债权回收率</w:t>
            </w:r>
          </w:p>
        </w:tc>
        <w:tc>
          <w:tcPr>
            <w:tcW w:w="1307" w:type="dxa"/>
          </w:tcPr>
          <w:p w14:paraId="670A126F"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28.79%</w:t>
            </w:r>
          </w:p>
        </w:tc>
        <w:tc>
          <w:tcPr>
            <w:tcW w:w="1420" w:type="dxa"/>
          </w:tcPr>
          <w:p w14:paraId="08722AF5"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35%</w:t>
            </w:r>
          </w:p>
        </w:tc>
        <w:tc>
          <w:tcPr>
            <w:tcW w:w="1420" w:type="dxa"/>
          </w:tcPr>
          <w:p w14:paraId="1EE6AB6F"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40%</w:t>
            </w:r>
          </w:p>
        </w:tc>
        <w:tc>
          <w:tcPr>
            <w:tcW w:w="1421" w:type="dxa"/>
          </w:tcPr>
          <w:p w14:paraId="124B7E2B"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49.87%</w:t>
            </w:r>
          </w:p>
        </w:tc>
        <w:tc>
          <w:tcPr>
            <w:tcW w:w="1639" w:type="dxa"/>
          </w:tcPr>
          <w:p w14:paraId="7533FDFA" w14:textId="77777777" w:rsidR="00C97237" w:rsidRDefault="00000000">
            <w:pPr>
              <w:widowControl/>
              <w:spacing w:line="580" w:lineRule="exac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2022年12 月</w:t>
            </w:r>
          </w:p>
        </w:tc>
      </w:tr>
      <w:tr w:rsidR="00C97237" w14:paraId="0AA50394" w14:textId="77777777">
        <w:trPr>
          <w:jc w:val="center"/>
        </w:trPr>
        <w:tc>
          <w:tcPr>
            <w:tcW w:w="1575" w:type="dxa"/>
          </w:tcPr>
          <w:p w14:paraId="2220D51A"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破产法律框架质量指数</w:t>
            </w:r>
          </w:p>
        </w:tc>
        <w:tc>
          <w:tcPr>
            <w:tcW w:w="1307" w:type="dxa"/>
          </w:tcPr>
          <w:p w14:paraId="609C0DE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省营商办未公布</w:t>
            </w:r>
          </w:p>
        </w:tc>
        <w:tc>
          <w:tcPr>
            <w:tcW w:w="1420" w:type="dxa"/>
          </w:tcPr>
          <w:p w14:paraId="5DCF21E0"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72</w:t>
            </w:r>
          </w:p>
        </w:tc>
        <w:tc>
          <w:tcPr>
            <w:tcW w:w="1420" w:type="dxa"/>
          </w:tcPr>
          <w:p w14:paraId="6E5373FA"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75</w:t>
            </w:r>
          </w:p>
        </w:tc>
        <w:tc>
          <w:tcPr>
            <w:tcW w:w="1421" w:type="dxa"/>
          </w:tcPr>
          <w:p w14:paraId="1295235A" w14:textId="77777777" w:rsidR="00C97237" w:rsidRDefault="00C97237">
            <w:pPr>
              <w:widowControl/>
              <w:spacing w:line="580" w:lineRule="exact"/>
              <w:jc w:val="center"/>
              <w:rPr>
                <w:rFonts w:ascii="仿宋" w:eastAsia="仿宋" w:hAnsi="仿宋" w:cs="仿宋"/>
                <w:color w:val="000000"/>
                <w:kern w:val="0"/>
                <w:sz w:val="32"/>
                <w:szCs w:val="32"/>
                <w:lang w:bidi="ar"/>
              </w:rPr>
            </w:pPr>
          </w:p>
        </w:tc>
        <w:tc>
          <w:tcPr>
            <w:tcW w:w="1639" w:type="dxa"/>
          </w:tcPr>
          <w:p w14:paraId="7E79EBF7" w14:textId="77777777" w:rsidR="00C97237" w:rsidRDefault="00000000">
            <w:pPr>
              <w:widowControl/>
              <w:spacing w:line="580" w:lineRule="exact"/>
              <w:rPr>
                <w:rFonts w:ascii="仿宋" w:eastAsia="仿宋" w:hAnsi="仿宋" w:cs="仿宋"/>
                <w:sz w:val="32"/>
                <w:szCs w:val="32"/>
              </w:rPr>
            </w:pPr>
            <w:r>
              <w:rPr>
                <w:rFonts w:ascii="仿宋" w:eastAsia="仿宋" w:hAnsi="仿宋" w:cs="仿宋" w:hint="eastAsia"/>
                <w:color w:val="000000"/>
                <w:kern w:val="0"/>
                <w:sz w:val="32"/>
                <w:szCs w:val="32"/>
                <w:lang w:bidi="ar"/>
              </w:rPr>
              <w:t>2022年12 月</w:t>
            </w:r>
          </w:p>
          <w:p w14:paraId="265E4C62" w14:textId="77777777" w:rsidR="00C97237" w:rsidRDefault="00C97237">
            <w:pPr>
              <w:widowControl/>
              <w:spacing w:line="580" w:lineRule="exact"/>
              <w:jc w:val="center"/>
              <w:rPr>
                <w:rFonts w:ascii="仿宋" w:eastAsia="仿宋" w:hAnsi="仿宋" w:cs="仿宋"/>
                <w:color w:val="000000"/>
                <w:kern w:val="0"/>
                <w:sz w:val="32"/>
                <w:szCs w:val="32"/>
                <w:lang w:bidi="ar"/>
              </w:rPr>
            </w:pPr>
          </w:p>
        </w:tc>
      </w:tr>
      <w:tr w:rsidR="00C97237" w14:paraId="6F282EC7" w14:textId="77777777">
        <w:trPr>
          <w:jc w:val="center"/>
        </w:trPr>
        <w:tc>
          <w:tcPr>
            <w:tcW w:w="1575" w:type="dxa"/>
          </w:tcPr>
          <w:p w14:paraId="7786EC2D"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办理破产指标平均得分</w:t>
            </w:r>
          </w:p>
        </w:tc>
        <w:tc>
          <w:tcPr>
            <w:tcW w:w="1307" w:type="dxa"/>
          </w:tcPr>
          <w:p w14:paraId="0E1F6905"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省营商办未公布</w:t>
            </w:r>
          </w:p>
        </w:tc>
        <w:tc>
          <w:tcPr>
            <w:tcW w:w="1420" w:type="dxa"/>
          </w:tcPr>
          <w:p w14:paraId="660CA33B"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70</w:t>
            </w:r>
          </w:p>
        </w:tc>
        <w:tc>
          <w:tcPr>
            <w:tcW w:w="1420" w:type="dxa"/>
          </w:tcPr>
          <w:p w14:paraId="0DDEF40A"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73</w:t>
            </w:r>
          </w:p>
        </w:tc>
        <w:tc>
          <w:tcPr>
            <w:tcW w:w="1421" w:type="dxa"/>
          </w:tcPr>
          <w:p w14:paraId="3D44E2CC" w14:textId="77777777" w:rsidR="00C97237" w:rsidRDefault="00C97237">
            <w:pPr>
              <w:widowControl/>
              <w:spacing w:line="580" w:lineRule="exact"/>
              <w:jc w:val="center"/>
              <w:rPr>
                <w:rFonts w:ascii="仿宋" w:eastAsia="仿宋" w:hAnsi="仿宋" w:cs="仿宋"/>
                <w:color w:val="000000"/>
                <w:kern w:val="0"/>
                <w:sz w:val="32"/>
                <w:szCs w:val="32"/>
                <w:lang w:bidi="ar"/>
              </w:rPr>
            </w:pPr>
          </w:p>
        </w:tc>
        <w:tc>
          <w:tcPr>
            <w:tcW w:w="1639" w:type="dxa"/>
          </w:tcPr>
          <w:p w14:paraId="16BD8AAC" w14:textId="77777777" w:rsidR="00C97237" w:rsidRDefault="00000000">
            <w:pPr>
              <w:widowControl/>
              <w:spacing w:line="580" w:lineRule="exact"/>
              <w:rPr>
                <w:rFonts w:ascii="仿宋" w:eastAsia="仿宋" w:hAnsi="仿宋" w:cs="仿宋"/>
                <w:sz w:val="32"/>
                <w:szCs w:val="32"/>
              </w:rPr>
            </w:pPr>
            <w:r>
              <w:rPr>
                <w:rFonts w:ascii="仿宋" w:eastAsia="仿宋" w:hAnsi="仿宋" w:cs="仿宋" w:hint="eastAsia"/>
                <w:color w:val="000000"/>
                <w:kern w:val="0"/>
                <w:sz w:val="32"/>
                <w:szCs w:val="32"/>
                <w:lang w:bidi="ar"/>
              </w:rPr>
              <w:t>2022年12 月</w:t>
            </w:r>
          </w:p>
          <w:p w14:paraId="007DA4CE" w14:textId="77777777" w:rsidR="00C97237" w:rsidRDefault="00C97237">
            <w:pPr>
              <w:widowControl/>
              <w:spacing w:line="580" w:lineRule="exact"/>
              <w:jc w:val="center"/>
              <w:rPr>
                <w:rFonts w:ascii="仿宋" w:eastAsia="仿宋" w:hAnsi="仿宋" w:cs="仿宋"/>
                <w:color w:val="000000"/>
                <w:kern w:val="0"/>
                <w:sz w:val="32"/>
                <w:szCs w:val="32"/>
                <w:lang w:bidi="ar"/>
              </w:rPr>
            </w:pPr>
          </w:p>
        </w:tc>
      </w:tr>
    </w:tbl>
    <w:p w14:paraId="73976E1E"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 xml:space="preserve">五、保障措施 </w:t>
      </w:r>
    </w:p>
    <w:p w14:paraId="13687AF3" w14:textId="77777777" w:rsidR="00C97237" w:rsidRDefault="00000000">
      <w:pPr>
        <w:widowControl/>
        <w:spacing w:line="580" w:lineRule="exact"/>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（一）明确工作责任。</w:t>
      </w:r>
      <w:r>
        <w:rPr>
          <w:rFonts w:ascii="仿宋" w:eastAsia="仿宋" w:hAnsi="仿宋" w:cs="仿宋" w:hint="eastAsia"/>
          <w:color w:val="000000"/>
          <w:kern w:val="0"/>
          <w:sz w:val="32"/>
          <w:szCs w:val="32"/>
          <w:lang w:bidi="ar"/>
        </w:rPr>
        <w:t xml:space="preserve">区法院作为“办理破产”指标提升的牵头单位，要切实发挥牵头作用，在按照方案要求加强破产审判工作的同时，主动与相关单位部门对接，推动方案各项举措落地落实；各参与单位要支持、配合区发改委、区法院开展相关工作，根据本方案内容形成任务清单并逐项落实。 </w:t>
      </w:r>
    </w:p>
    <w:p w14:paraId="2A416E1B"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lastRenderedPageBreak/>
        <w:t>（二）重视宣传培训。</w:t>
      </w:r>
      <w:r>
        <w:rPr>
          <w:rFonts w:ascii="仿宋" w:eastAsia="仿宋" w:hAnsi="仿宋" w:cs="仿宋" w:hint="eastAsia"/>
          <w:color w:val="000000"/>
          <w:kern w:val="0"/>
          <w:sz w:val="32"/>
          <w:szCs w:val="32"/>
          <w:lang w:bidi="ar"/>
        </w:rPr>
        <w:t xml:space="preserve">各责任单位要充分认识提升办理破产水平对优化营商环境的重大意义，把本职工作融入优化营商环境大局之中，主动学习破产法律知识，向社会公众传播正确的破产保护理念，向企业宣传破产保护文化，改善破产制度污名化问题，提升社会各界对破产制度的认识水平，引领全社会形成有利于企业破产制度高效顺畅运行的良好氛围。各责任单位对方案要加强条线宣传贯彻落实，不断增强业务能力。 </w:t>
      </w:r>
    </w:p>
    <w:p w14:paraId="2B29D3A2" w14:textId="77777777" w:rsidR="00C97237" w:rsidRDefault="00000000">
      <w:pPr>
        <w:widowControl/>
        <w:spacing w:line="580" w:lineRule="exact"/>
        <w:ind w:firstLineChars="200" w:firstLine="643"/>
        <w:jc w:val="left"/>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（三）加强监督落实。</w:t>
      </w:r>
      <w:r>
        <w:rPr>
          <w:rFonts w:ascii="仿宋" w:eastAsia="仿宋" w:hAnsi="仿宋" w:cs="仿宋" w:hint="eastAsia"/>
          <w:color w:val="000000"/>
          <w:kern w:val="0"/>
          <w:sz w:val="32"/>
          <w:szCs w:val="32"/>
          <w:lang w:bidi="ar"/>
        </w:rPr>
        <w:t>各责任单位要提高对办理破产提升工作的重视程度，结合各自职责分工，尽快研究拿出针对性强、操作性强的举措，积极协调协商解决工作推进中的问题。结合营商环境评价及实际调查，及时对问题短板进行整改，确保各项任务举措落到实处，提升群众和企业的获得感、幸福感。</w:t>
      </w:r>
    </w:p>
    <w:p w14:paraId="7EA8AED0" w14:textId="77777777" w:rsidR="00C97237" w:rsidRDefault="00C97237">
      <w:pPr>
        <w:pStyle w:val="aa"/>
        <w:spacing w:line="580" w:lineRule="exact"/>
        <w:rPr>
          <w:rFonts w:ascii="黑体" w:eastAsia="黑体" w:hAnsi="黑体" w:cs="黑体"/>
          <w:color w:val="000000"/>
          <w:kern w:val="0"/>
          <w:sz w:val="44"/>
          <w:szCs w:val="44"/>
          <w:lang w:bidi="ar"/>
        </w:rPr>
      </w:pPr>
    </w:p>
    <w:p w14:paraId="28474DE9" w14:textId="77777777" w:rsidR="00C97237" w:rsidRDefault="00C97237">
      <w:pPr>
        <w:pStyle w:val="aa"/>
        <w:spacing w:line="580" w:lineRule="exact"/>
        <w:rPr>
          <w:rFonts w:ascii="黑体" w:eastAsia="黑体" w:hAnsi="黑体" w:cs="黑体"/>
          <w:color w:val="000000"/>
          <w:kern w:val="0"/>
          <w:sz w:val="44"/>
          <w:szCs w:val="44"/>
          <w:lang w:bidi="ar"/>
        </w:rPr>
      </w:pPr>
    </w:p>
    <w:p w14:paraId="5284B04C" w14:textId="77777777" w:rsidR="00C97237" w:rsidRDefault="00C97237">
      <w:pPr>
        <w:pStyle w:val="aa"/>
        <w:spacing w:line="580" w:lineRule="exact"/>
        <w:rPr>
          <w:rFonts w:ascii="黑体" w:eastAsia="黑体" w:hAnsi="黑体" w:cs="黑体"/>
          <w:color w:val="000000"/>
          <w:kern w:val="0"/>
          <w:sz w:val="44"/>
          <w:szCs w:val="44"/>
          <w:lang w:bidi="ar"/>
        </w:rPr>
      </w:pPr>
    </w:p>
    <w:p w14:paraId="476C267B" w14:textId="77777777" w:rsidR="00C97237" w:rsidRDefault="00C97237">
      <w:pPr>
        <w:pStyle w:val="aa"/>
        <w:spacing w:line="580" w:lineRule="exact"/>
        <w:rPr>
          <w:rFonts w:ascii="黑体" w:eastAsia="黑体" w:hAnsi="黑体" w:cs="黑体"/>
          <w:color w:val="000000"/>
          <w:kern w:val="0"/>
          <w:sz w:val="44"/>
          <w:szCs w:val="44"/>
          <w:lang w:bidi="ar"/>
        </w:rPr>
      </w:pPr>
    </w:p>
    <w:p w14:paraId="1B0D127B" w14:textId="77777777" w:rsidR="00C97237" w:rsidRDefault="00C97237">
      <w:pPr>
        <w:pStyle w:val="aa"/>
        <w:spacing w:line="580" w:lineRule="exact"/>
        <w:rPr>
          <w:rFonts w:ascii="黑体" w:eastAsia="黑体" w:hAnsi="黑体" w:cs="黑体"/>
          <w:color w:val="000000"/>
          <w:kern w:val="0"/>
          <w:sz w:val="44"/>
          <w:szCs w:val="44"/>
          <w:lang w:bidi="ar"/>
        </w:rPr>
      </w:pPr>
    </w:p>
    <w:p w14:paraId="5F8AAB55" w14:textId="77777777" w:rsidR="00C97237" w:rsidRDefault="00C97237">
      <w:pPr>
        <w:pStyle w:val="aa"/>
        <w:spacing w:line="580" w:lineRule="exact"/>
        <w:rPr>
          <w:rFonts w:ascii="黑体" w:eastAsia="黑体" w:hAnsi="黑体" w:cs="黑体"/>
          <w:color w:val="000000"/>
          <w:kern w:val="0"/>
          <w:sz w:val="44"/>
          <w:szCs w:val="44"/>
          <w:lang w:bidi="ar"/>
        </w:rPr>
      </w:pPr>
    </w:p>
    <w:p w14:paraId="65DBD3FD" w14:textId="77777777" w:rsidR="00C97237" w:rsidRDefault="00000000">
      <w:pPr>
        <w:pStyle w:val="aa"/>
        <w:spacing w:line="580" w:lineRule="exact"/>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t>附件12</w:t>
      </w:r>
    </w:p>
    <w:p w14:paraId="3D607145" w14:textId="77777777" w:rsidR="00C97237" w:rsidRDefault="00000000">
      <w:pPr>
        <w:widowControl/>
        <w:spacing w:line="580" w:lineRule="exact"/>
        <w:jc w:val="center"/>
        <w:rPr>
          <w:rFonts w:ascii="黑体" w:eastAsia="黑体" w:hAnsi="黑体" w:cs="黑体"/>
          <w:sz w:val="44"/>
          <w:szCs w:val="44"/>
        </w:rPr>
      </w:pPr>
      <w:r>
        <w:rPr>
          <w:rFonts w:ascii="黑体" w:eastAsia="黑体" w:hAnsi="黑体" w:cs="黑体" w:hint="eastAsia"/>
          <w:color w:val="000000"/>
          <w:kern w:val="0"/>
          <w:sz w:val="44"/>
          <w:szCs w:val="44"/>
          <w:lang w:bidi="ar"/>
        </w:rPr>
        <w:t>偃师区保护中小投资者提升专项行动方案</w:t>
      </w:r>
    </w:p>
    <w:p w14:paraId="37E62E2C" w14:textId="77777777" w:rsidR="00C97237" w:rsidRDefault="00C97237">
      <w:pPr>
        <w:widowControl/>
        <w:spacing w:line="580" w:lineRule="exact"/>
        <w:ind w:firstLineChars="200" w:firstLine="640"/>
        <w:jc w:val="left"/>
        <w:rPr>
          <w:rFonts w:ascii="仿宋" w:eastAsia="仿宋" w:hAnsi="仿宋" w:cs="仿宋"/>
          <w:color w:val="000000"/>
          <w:kern w:val="0"/>
          <w:sz w:val="32"/>
          <w:szCs w:val="32"/>
          <w:lang w:bidi="ar"/>
        </w:rPr>
      </w:pPr>
    </w:p>
    <w:p w14:paraId="14861A1D"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为贯彻落实省委省政府关于优化营商环境工作部署，进一步优化我区营商环境，切实保护中小投资者合法权益，对标国内、省内前沿水平，推动纠纷多元化解，提升企业发展质量，促进实体经济和区场主体持续健康发展，根据国务院《优化营商环境条例》《河南省优化营商环境条例》，参考《河南省营商环境优化提升方案（2022版）》，结合我区工作实际，特制定本方案。</w:t>
      </w:r>
    </w:p>
    <w:p w14:paraId="77A492FD"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 xml:space="preserve">一、总体要求 </w:t>
      </w:r>
    </w:p>
    <w:p w14:paraId="7FA7E68C"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以习近平新时代中国特色社会主义思想为指导，深入贯彻党的十九大和十九届二中、三中、四中、五中、六中全会精神，全面落实习近平总书记视察河南重要讲话精神，不断提升优化保护中小投资者水平，构建我区法治化、市场化、便利化营商环境，推动全区经济高质量发展。 </w:t>
      </w:r>
    </w:p>
    <w:p w14:paraId="674485C3"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二、工作目标 </w:t>
      </w:r>
    </w:p>
    <w:p w14:paraId="4ACC8240"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深入推进一站式多元解纷体系建设，推动矛盾纠纷多元化解创新举措落地见效，打造特色一站式多元化解中心，充分保障中小投资者合法权益。加强规上企业监管，推动规上企业强化信息披露、完善公司治理、落实董事责任、畅通股东沟通，提升规上企业发展质量。强化投资者保护宣传教育，巩固线上线下宣传教育渠道，有效开展宣传教育活动，提高宣传教育成效。 </w:t>
      </w:r>
    </w:p>
    <w:p w14:paraId="22ADA71F"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三、主要举措 </w:t>
      </w:r>
    </w:p>
    <w:p w14:paraId="7AF109E1"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（一）强化部门协作，完善多元纠纷解决机制 </w:t>
      </w:r>
    </w:p>
    <w:p w14:paraId="0C14F0BB"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1.建立常态化沟通联系机制 </w:t>
      </w:r>
    </w:p>
    <w:p w14:paraId="1A63F04E"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 xml:space="preserve">发挥区人民法院、区检察院、区公安局、区金融工作局、区司法局、区工商联、区税务局、区市场监管局联合设立的保护中小投资者中心的统筹协调作用，完善各方在保护中小投资者合法权益方面的长效合作机制，建立联席会议制度，加强有效沟通，实现信息共享，研究解决保护中小投资者重大问题，切实推动保护中小投资者相关政策落实，实质化解涉企纠纷。 </w:t>
      </w:r>
    </w:p>
    <w:p w14:paraId="0706A6EC"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253E6342"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责任单位：区人民法院、区检察院、区公安局、区金融工作局、区司法局、区工商联、区税务局、区市场监管局 </w:t>
      </w:r>
    </w:p>
    <w:p w14:paraId="6572A54E"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2.完善多元纠纷解决机制 </w:t>
      </w:r>
    </w:p>
    <w:p w14:paraId="7A3C825D"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着力培育行业调解，充分发挥人民法院审判职能作用和区工商联密切联系民营企业的桥梁纽带作用，实现信息共享、优势互补、工作协同，完善行业协会职能，提升行业协会服务能力，培育和发展偃师特色的行业调解组织；促进和引导企业依法经营、依法治企、依法维权；推动行业纠纷行业调解，协同参与社会治理；加强行业协会调解组织和调解员队伍建设，健全完善行业协会调解组织和机制，建立健全行业协会调解机制与诉讼程序有机衔接的纠纷化解体系，不断提升区工商联法律服务能力，促进民营经济健康发展。建立健全类型化专业调解平台、调解室，充分发挥人民调解、行业调解等优势，积极开展在线诉调对接工作，开展委派调解、委托调解，完善诉前、诉中多元纠纷联动衔接机制。 </w:t>
      </w:r>
    </w:p>
    <w:p w14:paraId="7E62329A"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183C31DD"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 xml:space="preserve">责任单位：区人民法院、区工商联、区金融工作局、区司法局 </w:t>
      </w:r>
    </w:p>
    <w:p w14:paraId="58519EC2"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（二）加强规上企业监管，提升规上企业质量 </w:t>
      </w:r>
    </w:p>
    <w:p w14:paraId="4E447083"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1.切实落实资本市场各项改革制度 </w:t>
      </w:r>
    </w:p>
    <w:p w14:paraId="329D2AFB"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引导规上企业提高治理水平、提升信息披露质量，鼓励规上企业创新发展推动我区规上企业整体质量不断提升。开展规上企业中小投资者保护等宣传培训，提高公司合规经营、股东权利保护相关法律法规熟悉度，切实保障投资者权益。 </w:t>
      </w:r>
    </w:p>
    <w:p w14:paraId="5286AD6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13B760E6"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责任单位：区金融工作局 </w:t>
      </w:r>
    </w:p>
    <w:p w14:paraId="7D0D2387"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2.完善证券纠纷解决机制 </w:t>
      </w:r>
    </w:p>
    <w:p w14:paraId="7C18F949"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督导规上企业投诉处理的首要责任，充分运用在线纠纷解决等方式，完善投诉处理机制并公开处理流程和办理情况。倡导形成群体性纠纷示范性案例，促进矛盾源头化解。</w:t>
      </w:r>
    </w:p>
    <w:p w14:paraId="6520607A"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26220502"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责任单位：区人民法院、区金融工作局 </w:t>
      </w:r>
    </w:p>
    <w:p w14:paraId="0226EBA8"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（三）提升保护中小投资者宣传教育工作质效 </w:t>
      </w:r>
    </w:p>
    <w:p w14:paraId="2A2B3BE9"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1.巩固线上线下投资者宣传教育渠道 </w:t>
      </w:r>
    </w:p>
    <w:p w14:paraId="57A6361B"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完善定期梳理及发布典型案例工作机制，加强典型案例信息权威发布，为监管规范公司行为、保护中小投资者提供法治指引。持续完善保护中小投资者宣传工作机制，扎实开展理性投资、防非识假等各项专项教育活动，做好金融知识普及及教育工作。区金融工作局等金融机构依托“315 投资</w:t>
      </w:r>
      <w:r>
        <w:rPr>
          <w:rFonts w:ascii="仿宋" w:eastAsia="仿宋" w:hAnsi="仿宋" w:cs="仿宋" w:hint="eastAsia"/>
          <w:color w:val="000000"/>
          <w:kern w:val="0"/>
          <w:sz w:val="32"/>
          <w:szCs w:val="32"/>
          <w:lang w:bidi="ar"/>
        </w:rPr>
        <w:lastRenderedPageBreak/>
        <w:t xml:space="preserve">者保护主题教育”“515 全国投资者保护宣传日”、金融知识普及月等活动，采用线上线下相结合的方式，利用网站、微信公众号、营业网点等多种平台发布投资者权益保护典型案例，持续开展投资者保护进社区、进商圈、进校园活动，通过实地走访、座谈会、电话问询、短信提醒、发放折页等方法开展普法宣传。 </w:t>
      </w:r>
    </w:p>
    <w:p w14:paraId="1E76A033"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47EC77B4"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责任单位：区人民法院、区金融工作局 </w:t>
      </w:r>
    </w:p>
    <w:p w14:paraId="55B9108D"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2.完善联合调研机制，推动调研成果实质转化 </w:t>
      </w:r>
    </w:p>
    <w:p w14:paraId="37BCDB19"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区人民法院联合区金融工作局、区工商联等有关部门定期研商，围绕民营经济发展的司法保障问题，确定主题开展调研，通过实地走访、召开专题研讨会等形式，重点研究民营企业发展、产权保护、优化营商环境、矛盾纠纷化解等司法保护问题，及时通报、共享调研成果，促进成果转化。 </w:t>
      </w:r>
    </w:p>
    <w:p w14:paraId="632E1ACF"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7AC75109"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责任单位：区人民法院、区金融工作局，区工商联 </w:t>
      </w:r>
    </w:p>
    <w:p w14:paraId="4B7CBE4E" w14:textId="77777777" w:rsidR="00C97237" w:rsidRDefault="00000000">
      <w:pPr>
        <w:widowControl/>
        <w:numPr>
          <w:ilvl w:val="0"/>
          <w:numId w:val="8"/>
        </w:numPr>
        <w:spacing w:line="580" w:lineRule="exact"/>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对比指标</w:t>
      </w:r>
    </w:p>
    <w:p w14:paraId="0B9D8FE1" w14:textId="77777777" w:rsidR="00C97237" w:rsidRDefault="00C97237">
      <w:pPr>
        <w:pStyle w:val="Default"/>
        <w:ind w:left="643"/>
      </w:pPr>
    </w:p>
    <w:p w14:paraId="36A5608A" w14:textId="77777777" w:rsidR="00C97237" w:rsidRDefault="00C97237">
      <w:pPr>
        <w:pStyle w:val="a9"/>
      </w:pPr>
    </w:p>
    <w:p w14:paraId="017551A6" w14:textId="77777777" w:rsidR="00C97237" w:rsidRDefault="00C97237"/>
    <w:p w14:paraId="0CC9F3AC" w14:textId="77777777" w:rsidR="00C97237" w:rsidRDefault="00C97237">
      <w:pPr>
        <w:pStyle w:val="Default"/>
      </w:pPr>
    </w:p>
    <w:p w14:paraId="3A95C0F6" w14:textId="77777777" w:rsidR="00C97237" w:rsidRDefault="00C97237">
      <w:pPr>
        <w:pStyle w:val="a9"/>
      </w:pPr>
    </w:p>
    <w:tbl>
      <w:tblPr>
        <w:tblStyle w:val="ac"/>
        <w:tblpPr w:leftFromText="180" w:rightFromText="180" w:vertAnchor="text" w:horzAnchor="page" w:tblpX="1570" w:tblpY="369"/>
        <w:tblOverlap w:val="never"/>
        <w:tblW w:w="9105" w:type="dxa"/>
        <w:tblLayout w:type="fixed"/>
        <w:tblLook w:val="04A0" w:firstRow="1" w:lastRow="0" w:firstColumn="1" w:lastColumn="0" w:noHBand="0" w:noVBand="1"/>
      </w:tblPr>
      <w:tblGrid>
        <w:gridCol w:w="1312"/>
        <w:gridCol w:w="1140"/>
        <w:gridCol w:w="2555"/>
        <w:gridCol w:w="1278"/>
        <w:gridCol w:w="2820"/>
      </w:tblGrid>
      <w:tr w:rsidR="00C97237" w14:paraId="3F0972B9" w14:textId="77777777">
        <w:trPr>
          <w:trHeight w:val="1250"/>
        </w:trPr>
        <w:tc>
          <w:tcPr>
            <w:tcW w:w="1312" w:type="dxa"/>
            <w:vAlign w:val="center"/>
          </w:tcPr>
          <w:p w14:paraId="1E187A8B"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序号</w:t>
            </w:r>
          </w:p>
        </w:tc>
        <w:tc>
          <w:tcPr>
            <w:tcW w:w="1140" w:type="dxa"/>
            <w:vAlign w:val="center"/>
          </w:tcPr>
          <w:p w14:paraId="2C21E823"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指标</w:t>
            </w:r>
          </w:p>
        </w:tc>
        <w:tc>
          <w:tcPr>
            <w:tcW w:w="2555" w:type="dxa"/>
            <w:vAlign w:val="center"/>
          </w:tcPr>
          <w:p w14:paraId="2BD33EB0"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现状水平</w:t>
            </w:r>
          </w:p>
        </w:tc>
        <w:tc>
          <w:tcPr>
            <w:tcW w:w="1278" w:type="dxa"/>
            <w:vAlign w:val="center"/>
          </w:tcPr>
          <w:p w14:paraId="6218B3B6"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省内目标</w:t>
            </w:r>
          </w:p>
        </w:tc>
        <w:tc>
          <w:tcPr>
            <w:tcW w:w="2820" w:type="dxa"/>
            <w:vAlign w:val="center"/>
          </w:tcPr>
          <w:p w14:paraId="68B33BC9"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升级版目标</w:t>
            </w:r>
          </w:p>
        </w:tc>
      </w:tr>
      <w:tr w:rsidR="00C97237" w14:paraId="33D2095B" w14:textId="77777777">
        <w:trPr>
          <w:trHeight w:val="2154"/>
        </w:trPr>
        <w:tc>
          <w:tcPr>
            <w:tcW w:w="1312" w:type="dxa"/>
            <w:vAlign w:val="center"/>
          </w:tcPr>
          <w:p w14:paraId="688301D7"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lastRenderedPageBreak/>
              <w:t>1</w:t>
            </w:r>
          </w:p>
        </w:tc>
        <w:tc>
          <w:tcPr>
            <w:tcW w:w="1140" w:type="dxa"/>
            <w:vAlign w:val="center"/>
          </w:tcPr>
          <w:p w14:paraId="04EA7EC2"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多元解</w:t>
            </w:r>
          </w:p>
          <w:p w14:paraId="330D904D"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纷机制</w:t>
            </w:r>
          </w:p>
          <w:p w14:paraId="2A6599D0"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建设</w:t>
            </w:r>
          </w:p>
          <w:p w14:paraId="16CA911D" w14:textId="77777777" w:rsidR="00C97237" w:rsidRDefault="00C97237">
            <w:pPr>
              <w:widowControl/>
              <w:spacing w:line="580" w:lineRule="exact"/>
              <w:jc w:val="center"/>
              <w:rPr>
                <w:rFonts w:ascii="仿宋" w:eastAsia="仿宋" w:hAnsi="仿宋" w:cs="仿宋"/>
                <w:color w:val="000000"/>
                <w:kern w:val="0"/>
                <w:sz w:val="24"/>
                <w:lang w:bidi="ar"/>
              </w:rPr>
            </w:pPr>
          </w:p>
        </w:tc>
        <w:tc>
          <w:tcPr>
            <w:tcW w:w="2555" w:type="dxa"/>
            <w:vAlign w:val="center"/>
          </w:tcPr>
          <w:p w14:paraId="742DC320"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设立保护中小投资者中心，建立沟通联络机制；建立行业调解机制，设立行业调解组织并有效开展调解工作</w:t>
            </w:r>
          </w:p>
        </w:tc>
        <w:tc>
          <w:tcPr>
            <w:tcW w:w="1278" w:type="dxa"/>
            <w:vAlign w:val="center"/>
          </w:tcPr>
          <w:p w14:paraId="1AA3884E"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无</w:t>
            </w:r>
          </w:p>
          <w:p w14:paraId="0EB0DE8C" w14:textId="77777777" w:rsidR="00C97237" w:rsidRDefault="00C97237">
            <w:pPr>
              <w:widowControl/>
              <w:spacing w:line="580" w:lineRule="exact"/>
              <w:jc w:val="center"/>
              <w:rPr>
                <w:rFonts w:ascii="仿宋" w:eastAsia="仿宋" w:hAnsi="仿宋" w:cs="仿宋"/>
                <w:color w:val="000000"/>
                <w:kern w:val="0"/>
                <w:sz w:val="24"/>
                <w:lang w:bidi="ar"/>
              </w:rPr>
            </w:pPr>
          </w:p>
        </w:tc>
        <w:tc>
          <w:tcPr>
            <w:tcW w:w="2820" w:type="dxa"/>
            <w:vAlign w:val="center"/>
          </w:tcPr>
          <w:p w14:paraId="32565BE7"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切实发挥保护中小投资者中心作用，实现有效沟通、信息共享、切实监管；区人民法院与区工商联紧密合作，加强行业调解组织培育，推进行业调解</w:t>
            </w:r>
          </w:p>
          <w:p w14:paraId="36108BDA" w14:textId="77777777" w:rsidR="00C97237" w:rsidRDefault="00C97237">
            <w:pPr>
              <w:widowControl/>
              <w:spacing w:line="580" w:lineRule="exact"/>
              <w:jc w:val="center"/>
              <w:rPr>
                <w:rFonts w:ascii="仿宋" w:eastAsia="仿宋" w:hAnsi="仿宋" w:cs="仿宋"/>
                <w:color w:val="000000"/>
                <w:kern w:val="0"/>
                <w:sz w:val="24"/>
                <w:lang w:bidi="ar"/>
              </w:rPr>
            </w:pPr>
          </w:p>
        </w:tc>
      </w:tr>
      <w:tr w:rsidR="00C97237" w14:paraId="786BA1BA" w14:textId="77777777">
        <w:trPr>
          <w:trHeight w:val="5205"/>
        </w:trPr>
        <w:tc>
          <w:tcPr>
            <w:tcW w:w="1312" w:type="dxa"/>
            <w:vAlign w:val="center"/>
          </w:tcPr>
          <w:p w14:paraId="1BBDB5C3"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2</w:t>
            </w:r>
          </w:p>
        </w:tc>
        <w:tc>
          <w:tcPr>
            <w:tcW w:w="1140" w:type="dxa"/>
            <w:vAlign w:val="center"/>
          </w:tcPr>
          <w:p w14:paraId="57F2BB2D"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规上企业监管</w:t>
            </w:r>
          </w:p>
          <w:p w14:paraId="1603962D" w14:textId="77777777" w:rsidR="00C97237" w:rsidRDefault="00C97237">
            <w:pPr>
              <w:widowControl/>
              <w:spacing w:line="580" w:lineRule="exact"/>
              <w:jc w:val="center"/>
              <w:rPr>
                <w:rFonts w:ascii="仿宋" w:eastAsia="仿宋" w:hAnsi="仿宋" w:cs="仿宋"/>
                <w:color w:val="000000"/>
                <w:kern w:val="0"/>
                <w:sz w:val="24"/>
                <w:lang w:bidi="ar"/>
              </w:rPr>
            </w:pPr>
          </w:p>
        </w:tc>
        <w:tc>
          <w:tcPr>
            <w:tcW w:w="2555" w:type="dxa"/>
            <w:vAlign w:val="center"/>
          </w:tcPr>
          <w:p w14:paraId="22A4F43F"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出台《关于推动规上企业高质量发展的实施意见》，多次召开偃师区规上企业高质量发展座谈会</w:t>
            </w:r>
          </w:p>
          <w:p w14:paraId="2D3ADBB2" w14:textId="77777777" w:rsidR="00C97237" w:rsidRDefault="00C97237">
            <w:pPr>
              <w:widowControl/>
              <w:spacing w:line="580" w:lineRule="exact"/>
              <w:jc w:val="center"/>
              <w:rPr>
                <w:rFonts w:ascii="仿宋" w:eastAsia="仿宋" w:hAnsi="仿宋" w:cs="仿宋"/>
                <w:color w:val="000000"/>
                <w:kern w:val="0"/>
                <w:sz w:val="24"/>
                <w:lang w:bidi="ar"/>
              </w:rPr>
            </w:pPr>
          </w:p>
        </w:tc>
        <w:tc>
          <w:tcPr>
            <w:tcW w:w="1278" w:type="dxa"/>
            <w:vAlign w:val="center"/>
          </w:tcPr>
          <w:p w14:paraId="460B0817"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无</w:t>
            </w:r>
          </w:p>
        </w:tc>
        <w:tc>
          <w:tcPr>
            <w:tcW w:w="2820" w:type="dxa"/>
            <w:vAlign w:val="center"/>
          </w:tcPr>
          <w:p w14:paraId="30423EB0" w14:textId="77777777" w:rsidR="00C97237" w:rsidRDefault="00000000">
            <w:pPr>
              <w:widowControl/>
              <w:spacing w:line="580" w:lineRule="exact"/>
              <w:rPr>
                <w:rFonts w:ascii="仿宋" w:eastAsia="仿宋" w:hAnsi="仿宋" w:cs="仿宋"/>
                <w:color w:val="000000"/>
                <w:kern w:val="0"/>
                <w:sz w:val="24"/>
                <w:lang w:bidi="ar"/>
              </w:rPr>
            </w:pPr>
            <w:r>
              <w:rPr>
                <w:rFonts w:ascii="仿宋" w:eastAsia="仿宋" w:hAnsi="仿宋" w:cs="仿宋" w:hint="eastAsia"/>
                <w:color w:val="000000"/>
                <w:kern w:val="0"/>
                <w:sz w:val="24"/>
                <w:lang w:bidi="ar"/>
              </w:rPr>
              <w:t>严格落实《关于推动规上企业高质量发展的实施意见》，推动规上企业强化信息披露、完善公司治理、落实董事责任、畅通股东沟通，通过多种形式开展公司合规经营、股东权利保护相关法律法规宣讲培训</w:t>
            </w:r>
          </w:p>
        </w:tc>
      </w:tr>
      <w:tr w:rsidR="00C97237" w14:paraId="498AECC2" w14:textId="77777777">
        <w:tc>
          <w:tcPr>
            <w:tcW w:w="1312" w:type="dxa"/>
            <w:vAlign w:val="center"/>
          </w:tcPr>
          <w:p w14:paraId="54285AD3"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3</w:t>
            </w:r>
          </w:p>
        </w:tc>
        <w:tc>
          <w:tcPr>
            <w:tcW w:w="1140" w:type="dxa"/>
            <w:vAlign w:val="center"/>
          </w:tcPr>
          <w:p w14:paraId="2B312D0A"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普法宣</w:t>
            </w:r>
          </w:p>
          <w:p w14:paraId="1899B10D" w14:textId="77777777" w:rsidR="00C97237" w:rsidRDefault="00000000">
            <w:pPr>
              <w:widowControl/>
              <w:spacing w:line="580" w:lineRule="exact"/>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传教育</w:t>
            </w:r>
          </w:p>
        </w:tc>
        <w:tc>
          <w:tcPr>
            <w:tcW w:w="2555" w:type="dxa"/>
            <w:vAlign w:val="center"/>
          </w:tcPr>
          <w:p w14:paraId="5B2A0016"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2021 年普法宣传 230 多场次；召开座谈会、专题调研 2 次</w:t>
            </w:r>
          </w:p>
          <w:p w14:paraId="755226F4" w14:textId="77777777" w:rsidR="00C97237" w:rsidRDefault="00C97237">
            <w:pPr>
              <w:widowControl/>
              <w:spacing w:line="580" w:lineRule="exact"/>
              <w:jc w:val="center"/>
              <w:rPr>
                <w:rFonts w:ascii="仿宋" w:eastAsia="仿宋" w:hAnsi="仿宋" w:cs="仿宋"/>
                <w:color w:val="000000"/>
                <w:kern w:val="0"/>
                <w:sz w:val="24"/>
                <w:lang w:bidi="ar"/>
              </w:rPr>
            </w:pPr>
          </w:p>
        </w:tc>
        <w:tc>
          <w:tcPr>
            <w:tcW w:w="1278" w:type="dxa"/>
            <w:vAlign w:val="center"/>
          </w:tcPr>
          <w:p w14:paraId="6BAD4C1C"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无</w:t>
            </w:r>
          </w:p>
          <w:p w14:paraId="724DB68B" w14:textId="77777777" w:rsidR="00C97237" w:rsidRDefault="00C97237">
            <w:pPr>
              <w:widowControl/>
              <w:spacing w:line="580" w:lineRule="exact"/>
              <w:jc w:val="center"/>
              <w:rPr>
                <w:rFonts w:ascii="仿宋" w:eastAsia="仿宋" w:hAnsi="仿宋" w:cs="仿宋"/>
                <w:color w:val="000000"/>
                <w:kern w:val="0"/>
                <w:sz w:val="24"/>
                <w:lang w:bidi="ar"/>
              </w:rPr>
            </w:pPr>
          </w:p>
        </w:tc>
        <w:tc>
          <w:tcPr>
            <w:tcW w:w="2820" w:type="dxa"/>
            <w:vAlign w:val="center"/>
          </w:tcPr>
          <w:p w14:paraId="2A60F3C0" w14:textId="77777777" w:rsidR="00C97237" w:rsidRDefault="00000000">
            <w:pPr>
              <w:widowControl/>
              <w:spacing w:line="580" w:lineRule="exact"/>
              <w:jc w:val="center"/>
              <w:rPr>
                <w:rFonts w:ascii="仿宋" w:eastAsia="仿宋" w:hAnsi="仿宋" w:cs="仿宋"/>
                <w:sz w:val="24"/>
              </w:rPr>
            </w:pPr>
            <w:r>
              <w:rPr>
                <w:rFonts w:ascii="仿宋" w:eastAsia="仿宋" w:hAnsi="仿宋" w:cs="仿宋" w:hint="eastAsia"/>
                <w:color w:val="000000"/>
                <w:kern w:val="0"/>
                <w:sz w:val="24"/>
                <w:lang w:bidi="ar"/>
              </w:rPr>
              <w:t>2022 年加大中小投资者普法宣传力度，提升普法成效</w:t>
            </w:r>
          </w:p>
          <w:p w14:paraId="6473CCF6" w14:textId="77777777" w:rsidR="00C97237" w:rsidRDefault="00C97237">
            <w:pPr>
              <w:widowControl/>
              <w:spacing w:line="580" w:lineRule="exact"/>
              <w:jc w:val="center"/>
              <w:rPr>
                <w:rFonts w:ascii="仿宋" w:eastAsia="仿宋" w:hAnsi="仿宋" w:cs="仿宋"/>
                <w:color w:val="000000"/>
                <w:kern w:val="0"/>
                <w:sz w:val="24"/>
                <w:lang w:bidi="ar"/>
              </w:rPr>
            </w:pPr>
          </w:p>
        </w:tc>
      </w:tr>
    </w:tbl>
    <w:p w14:paraId="71A99DD3" w14:textId="77777777" w:rsidR="00C97237" w:rsidRDefault="00C97237">
      <w:pPr>
        <w:widowControl/>
        <w:spacing w:line="580" w:lineRule="exact"/>
        <w:jc w:val="left"/>
        <w:rPr>
          <w:rFonts w:ascii="仿宋" w:eastAsia="仿宋" w:hAnsi="仿宋" w:cs="仿宋"/>
          <w:sz w:val="24"/>
        </w:rPr>
      </w:pPr>
    </w:p>
    <w:p w14:paraId="13188F35"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五、保障措施 </w:t>
      </w:r>
    </w:p>
    <w:p w14:paraId="303A98EE"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lastRenderedPageBreak/>
        <w:t>（一）健全工作机制。</w:t>
      </w:r>
      <w:r>
        <w:rPr>
          <w:rFonts w:ascii="仿宋" w:eastAsia="仿宋" w:hAnsi="仿宋" w:cs="仿宋" w:hint="eastAsia"/>
          <w:color w:val="000000"/>
          <w:kern w:val="0"/>
          <w:sz w:val="32"/>
          <w:szCs w:val="32"/>
          <w:lang w:bidi="ar"/>
        </w:rPr>
        <w:t xml:space="preserve">充分发挥保护中小投资者中心的作用，完善工作机制，细化工作举措，明确工作责任，贯彻落实国务院和省、市关于营商环境工作的重大决策部署和相关工作安排；统筹协调区、镇两级保护中小投资者工作，研究解决保护中小投资者重大问题，安排部署年度重点工作，完善一站式多元化解纷机制建设，督促检查保护中小投资者有关政策措施落实情况。 </w:t>
      </w:r>
    </w:p>
    <w:p w14:paraId="5309B089"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（二）压实目标责任。</w:t>
      </w:r>
      <w:r>
        <w:rPr>
          <w:rFonts w:ascii="仿宋" w:eastAsia="仿宋" w:hAnsi="仿宋" w:cs="仿宋" w:hint="eastAsia"/>
          <w:color w:val="000000"/>
          <w:kern w:val="0"/>
          <w:sz w:val="32"/>
          <w:szCs w:val="32"/>
          <w:lang w:bidi="ar"/>
        </w:rPr>
        <w:t xml:space="preserve">责任单位要强化担当意识，负责各项重点任务的协调推进，创新优化指标政策举措，确保各项举措落地见效。各配合部门要积极主动，强化责任意识，各司其职、各负其责，对职责范围内任务进行深入研究，坚决贯彻方案内容，形成工作合力。建立长效工作机制，形成上下贯通、层层负责的主体责任链条，制定责任清单，层层压紧压实责任，确保各项任务落实落细。 </w:t>
      </w:r>
    </w:p>
    <w:p w14:paraId="35C65BF3"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（三）强化监督落实。</w:t>
      </w:r>
      <w:r>
        <w:rPr>
          <w:rFonts w:ascii="仿宋" w:eastAsia="仿宋" w:hAnsi="仿宋" w:cs="仿宋" w:hint="eastAsia"/>
          <w:color w:val="000000"/>
          <w:kern w:val="0"/>
          <w:sz w:val="32"/>
          <w:szCs w:val="32"/>
          <w:lang w:bidi="ar"/>
        </w:rPr>
        <w:t>按照方案要求，主动担当作为、狠抓工作落实，切实把提升“保护中小投资者工作”的政治责任落实到具体的工作中，制定具体落实措施，推进各项任务落地落实。各责任部门要加强督查问责，对关键环节和重点任务进行专项督查，确保各个环节有效衔接、高效运转。对于工作不实、落实不力，造成严重后果的，严肃追究有关领导和人员的责任。</w:t>
      </w:r>
    </w:p>
    <w:p w14:paraId="15C24D80" w14:textId="77777777" w:rsidR="00C97237" w:rsidRDefault="00C97237">
      <w:pPr>
        <w:pStyle w:val="aa"/>
        <w:spacing w:line="580" w:lineRule="exact"/>
        <w:rPr>
          <w:rFonts w:ascii="仿宋" w:eastAsia="仿宋" w:hAnsi="仿宋" w:cs="仿宋"/>
          <w:snapToGrid w:val="0"/>
          <w:kern w:val="0"/>
          <w:sz w:val="32"/>
          <w:szCs w:val="32"/>
        </w:rPr>
      </w:pPr>
    </w:p>
    <w:p w14:paraId="5A23E145" w14:textId="77777777" w:rsidR="00C97237" w:rsidRDefault="00C97237">
      <w:pPr>
        <w:spacing w:line="580" w:lineRule="exact"/>
        <w:rPr>
          <w:rFonts w:ascii="黑体" w:eastAsia="黑体" w:hAnsi="黑体" w:cs="黑体"/>
          <w:sz w:val="44"/>
          <w:szCs w:val="44"/>
        </w:rPr>
      </w:pPr>
    </w:p>
    <w:p w14:paraId="2D85EFA1" w14:textId="77777777" w:rsidR="00C97237" w:rsidRDefault="00000000">
      <w:pPr>
        <w:spacing w:line="580" w:lineRule="exact"/>
        <w:jc w:val="left"/>
        <w:rPr>
          <w:rFonts w:ascii="黑体" w:eastAsia="黑体" w:hAnsi="黑体" w:cs="黑体"/>
          <w:color w:val="000000"/>
          <w:sz w:val="44"/>
          <w:szCs w:val="44"/>
        </w:rPr>
      </w:pPr>
      <w:r>
        <w:rPr>
          <w:rFonts w:ascii="黑体" w:eastAsia="黑体" w:hAnsi="黑体" w:cs="黑体" w:hint="eastAsia"/>
          <w:color w:val="000000"/>
          <w:sz w:val="44"/>
          <w:szCs w:val="44"/>
        </w:rPr>
        <w:t>附件13</w:t>
      </w:r>
    </w:p>
    <w:p w14:paraId="0646CBFC" w14:textId="77777777" w:rsidR="00C97237" w:rsidRDefault="00000000">
      <w:pPr>
        <w:spacing w:line="580" w:lineRule="exact"/>
        <w:jc w:val="center"/>
        <w:rPr>
          <w:rFonts w:ascii="黑体" w:eastAsia="黑体" w:hAnsi="黑体" w:cs="黑体"/>
          <w:color w:val="000000"/>
          <w:sz w:val="44"/>
          <w:szCs w:val="44"/>
        </w:rPr>
      </w:pPr>
      <w:r>
        <w:rPr>
          <w:rFonts w:ascii="黑体" w:eastAsia="黑体" w:hAnsi="黑体" w:cs="黑体" w:hint="eastAsia"/>
          <w:color w:val="000000"/>
          <w:sz w:val="44"/>
          <w:szCs w:val="44"/>
        </w:rPr>
        <w:lastRenderedPageBreak/>
        <w:t>偃师区获得信贷提升专项行动方案</w:t>
      </w:r>
    </w:p>
    <w:p w14:paraId="650C2383" w14:textId="77777777" w:rsidR="00C97237" w:rsidRDefault="00C97237">
      <w:pPr>
        <w:spacing w:line="580" w:lineRule="exact"/>
        <w:ind w:firstLineChars="200" w:firstLine="640"/>
        <w:rPr>
          <w:rFonts w:ascii="仿宋" w:eastAsia="仿宋" w:hAnsi="仿宋" w:cs="仿宋"/>
          <w:sz w:val="32"/>
          <w:szCs w:val="32"/>
        </w:rPr>
      </w:pPr>
    </w:p>
    <w:p w14:paraId="1DBB55C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为优化全区金融营商环境，提高市场主体融资便利度，增强金融服务质效，促进全区经济金融高质量发展，特制定本方案。</w:t>
      </w:r>
    </w:p>
    <w:p w14:paraId="36D73A98"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14:paraId="79EF97A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坚持以习近平新时代中国特色社会主义思想为引领，全面贯彻党的十九大和十九届二中、三中、四中、五中、六中全会精神，坚持问题导向、目标导向、结果导向，对标国内国际一流水平，回应市场主体关切，聚焦融资难点堵点，加强金融服务创新，提升获得信贷水平，构建我区法治化、市场化、便利化营商环境，推动全区经济高质量发展。</w:t>
      </w:r>
    </w:p>
    <w:p w14:paraId="77990774"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w:t>
      </w:r>
    </w:p>
    <w:p w14:paraId="44BFD2A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全区贷款投放稳步增长，普惠型小微企业贷款增速不低于各项贷款增速，有贷款余额的户数不低于年初水平。办贷流程进一步优化，融资成本进一步降低，征信机构覆盖面进一步扩大，信用信息工作持续深化，金融服务可获得性和便捷性显著提高。</w:t>
      </w:r>
    </w:p>
    <w:p w14:paraId="0E01C8C2"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三、主要举措</w:t>
      </w:r>
    </w:p>
    <w:p w14:paraId="757F7DC2"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（一）保持信贷稳定增长</w:t>
      </w:r>
    </w:p>
    <w:p w14:paraId="37088007" w14:textId="77777777" w:rsidR="00C97237" w:rsidRDefault="00000000">
      <w:pPr>
        <w:spacing w:line="580" w:lineRule="exact"/>
        <w:ind w:firstLineChars="200" w:firstLine="643"/>
        <w:rPr>
          <w:rFonts w:ascii="仿宋" w:eastAsia="仿宋" w:hAnsi="仿宋" w:cs="仿宋"/>
          <w:strike/>
          <w:color w:val="0000FF"/>
          <w:sz w:val="32"/>
          <w:szCs w:val="32"/>
          <w:highlight w:val="yellow"/>
        </w:rPr>
      </w:pPr>
      <w:r>
        <w:rPr>
          <w:rFonts w:ascii="仿宋" w:eastAsia="仿宋" w:hAnsi="仿宋" w:cs="仿宋" w:hint="eastAsia"/>
          <w:b/>
          <w:bCs/>
          <w:sz w:val="32"/>
          <w:szCs w:val="32"/>
        </w:rPr>
        <w:t>1.加大小微企业信贷供给。</w:t>
      </w:r>
      <w:r>
        <w:rPr>
          <w:rFonts w:ascii="仿宋" w:eastAsia="仿宋" w:hAnsi="仿宋" w:cs="仿宋" w:hint="eastAsia"/>
          <w:sz w:val="32"/>
          <w:szCs w:val="32"/>
        </w:rPr>
        <w:t>引导金融机构加大对小微企业的信贷支持力度，确保驻偃银行业金融机构2022年普惠型小微企业贷款（单户授信总额1000万元及以下小微企业贷款，下同）实现“两增”，普惠型小微企业贷款较年初增</w:t>
      </w:r>
      <w:r>
        <w:rPr>
          <w:rFonts w:ascii="仿宋" w:eastAsia="仿宋" w:hAnsi="仿宋" w:cs="仿宋" w:hint="eastAsia"/>
          <w:sz w:val="32"/>
          <w:szCs w:val="32"/>
        </w:rPr>
        <w:lastRenderedPageBreak/>
        <w:t>速不低于各项贷款较年初增速，有贷款余额的户数不低于年初水平。</w:t>
      </w:r>
    </w:p>
    <w:p w14:paraId="5C244C7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7795FC0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责任单位：人民银行偃师支行、洛阳银保监分局偃师监管组、区金融工作局</w:t>
      </w:r>
    </w:p>
    <w:p w14:paraId="4FF22BA6"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2.积极运用货币政策工具。</w:t>
      </w:r>
      <w:r>
        <w:rPr>
          <w:rFonts w:ascii="仿宋" w:eastAsia="仿宋" w:hAnsi="仿宋" w:cs="仿宋" w:hint="eastAsia"/>
          <w:sz w:val="32"/>
          <w:szCs w:val="32"/>
        </w:rPr>
        <w:t>加强再贷款再贴现等工具管理，落实好两项直达工具的接续转换工作。提高货币政策工具的精准性、普惠性，引导央行政策资金加大民营、小微和涉农等重点领域的信贷支持。严格按照核定的限额和期限，做好再贷款、再贴现、常备借贷便利的审批、发放工作，积极推动央行内部（企业）评级工作，逐年提高采取质押方式发放再贷款比例。做好贷款台账审核工作，确保资金切实用于支持经济发展的重点领域和薄弱环节，防止“跑冒滴漏”。进一步提高再贷款质押率。加强与地方政府沟通，推动出台贷款贴息、奖补、融资担保等配套政策，在清收不良、信息共享等方面发挥积极作用。</w:t>
      </w:r>
    </w:p>
    <w:p w14:paraId="1881656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371D1CE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责任单位：人民银行偃师支行</w:t>
      </w:r>
    </w:p>
    <w:p w14:paraId="72EAB1FE"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（二）优化信贷结构</w:t>
      </w:r>
    </w:p>
    <w:p w14:paraId="30BB4294"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1.提高首贷、续贷率和信用贷款占比。</w:t>
      </w:r>
      <w:r>
        <w:rPr>
          <w:rFonts w:ascii="仿宋" w:eastAsia="仿宋" w:hAnsi="仿宋" w:cs="仿宋" w:hint="eastAsia"/>
          <w:sz w:val="32"/>
          <w:szCs w:val="32"/>
        </w:rPr>
        <w:t>促进金融机构服务中小微企业能力提质增效，引导金融机构加大对科技创新、小微企业、绿色发展、乡村振兴等重点领域与薄弱环节的金融支持，着力扩大普惠金融覆盖面，持续增加首贷户，加大续贷产品推广力度，提升续贷业务比重；不断拓展风险</w:t>
      </w:r>
      <w:r>
        <w:rPr>
          <w:rFonts w:ascii="仿宋" w:eastAsia="仿宋" w:hAnsi="仿宋" w:cs="仿宋" w:hint="eastAsia"/>
          <w:sz w:val="32"/>
          <w:szCs w:val="32"/>
        </w:rPr>
        <w:lastRenderedPageBreak/>
        <w:t>缓释手段，推动解决传统实物资产抵质押种类少、门槛高等问题，大力推广小微信用贷款产品，力争2022年底续贷、信用贷款占比较年初明显提高。</w:t>
      </w:r>
    </w:p>
    <w:p w14:paraId="1AF5F16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683B84EA"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责任单位：人民银行偃师支行、洛阳银保监分局偃师监管组、区金融工作局</w:t>
      </w:r>
    </w:p>
    <w:p w14:paraId="4E66E630"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2.加大制造业中长期贷款支持。</w:t>
      </w:r>
      <w:r>
        <w:rPr>
          <w:rFonts w:ascii="仿宋" w:eastAsia="仿宋" w:hAnsi="仿宋" w:cs="仿宋" w:hint="eastAsia"/>
          <w:sz w:val="32"/>
          <w:szCs w:val="32"/>
        </w:rPr>
        <w:t>重点增加对先进制造业、战略性新兴产业等中长期信贷支持。聚焦全区制造业8条重点产业链条，引导金融机构与制造业项目、企业实现精准对接，力争制造业贷款稳定增长。对纳入行业部门支持名录的高成长性企业、“专精特新”企业等，鼓励银行业机构在信用贷款、中长期贷款方面给予支持，力争制造业中长期贷款实现稳步增长。</w:t>
      </w:r>
    </w:p>
    <w:p w14:paraId="5C99AFD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0EFB438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牵头单位：区金融工作局</w:t>
      </w:r>
    </w:p>
    <w:p w14:paraId="585AD1B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责任单位：洛阳银保监分局偃师监管组、人民银行偃师支行</w:t>
      </w:r>
    </w:p>
    <w:p w14:paraId="2F2BFF05"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3.完善小微企业贷款监管考核。</w:t>
      </w:r>
      <w:r>
        <w:rPr>
          <w:rFonts w:ascii="仿宋" w:eastAsia="仿宋" w:hAnsi="仿宋" w:cs="仿宋" w:hint="eastAsia"/>
          <w:sz w:val="32"/>
          <w:szCs w:val="32"/>
        </w:rPr>
        <w:t>认真落实不良容忍度要求，放宽普惠型小微企业贷款不良容忍度。严格执行“普惠型小微企业贷款不良率不高于各项贷款不良率３个百分点以内”的容忍度标准，在内部考核中明确区分小微企业不良贷款容忍度标准与贷款质量管理目标，准确向基层传递政策导向。大力推动小微领域相关尽职免责制度全面落地，针对性完善尽职免责实施细则，明确工作标准和免责认定流程，</w:t>
      </w:r>
      <w:r>
        <w:rPr>
          <w:rFonts w:ascii="仿宋" w:eastAsia="仿宋" w:hAnsi="仿宋" w:cs="仿宋" w:hint="eastAsia"/>
          <w:sz w:val="32"/>
          <w:szCs w:val="32"/>
        </w:rPr>
        <w:lastRenderedPageBreak/>
        <w:t>将授信流程涉及的人员全部纳入尽职免责评价范围，加快推动建立“敢贷愿贷、能贷会贷”机制。</w:t>
      </w:r>
    </w:p>
    <w:p w14:paraId="45E33CB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399DAA9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责任单位：洛阳银保监分局偃师监管组</w:t>
      </w:r>
    </w:p>
    <w:p w14:paraId="70A59EAB"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（三）降低综合融资成本</w:t>
      </w:r>
    </w:p>
    <w:p w14:paraId="1CC4FB16"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1.完善贷款利率定价机制。</w:t>
      </w:r>
      <w:r>
        <w:rPr>
          <w:rFonts w:ascii="仿宋" w:eastAsia="仿宋" w:hAnsi="仿宋" w:cs="仿宋" w:hint="eastAsia"/>
          <w:sz w:val="32"/>
          <w:szCs w:val="32"/>
        </w:rPr>
        <w:t>推动辖内法人金融机构进一步完善内部转移定价机制（FTP），将LPR内嵌到内部资金转移定价之中，进一步畅通利率传导渠道，巩固实际贷款利率下降成果。落实存款利率自律要求，杜绝出现新的不规范存款创新产品，合理确定本外币存款利率。指导金融机构严格执行协议存款起存金额和存款期限要求。监督放贷机构按要求明示贷款年化利率。</w:t>
      </w:r>
    </w:p>
    <w:p w14:paraId="4BE1434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1BDF9F5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责任单位：人民银行偃师支行</w:t>
      </w:r>
    </w:p>
    <w:p w14:paraId="6CEF9EB2"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2.降低普惠型小微企业综合融资成本。</w:t>
      </w:r>
      <w:r>
        <w:rPr>
          <w:rFonts w:ascii="仿宋" w:eastAsia="仿宋" w:hAnsi="仿宋" w:cs="仿宋" w:hint="eastAsia"/>
          <w:sz w:val="32"/>
          <w:szCs w:val="32"/>
        </w:rPr>
        <w:t>督促各银行业机构按照商业可持续、“保本微利”原则，合理确定小微企业贷款利率，确保2022年普惠型小微企业综合融资成本较年初明显降低。要求银行业机构严格执行“七不准、四公开”和小微企业“两禁两限”要求，禁止对民营企业、中小微企业设置歧视性要求，禁止发放贷款时附加不合理条款，严格落实收费减免政策，避免多段收费加重小微企业实际融资负担。</w:t>
      </w:r>
    </w:p>
    <w:p w14:paraId="3FA7FC5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2A87676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责任单位：洛阳银保监分局偃师监管组</w:t>
      </w:r>
    </w:p>
    <w:p w14:paraId="279681D5"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3.设立中小微企业还贷周转金。</w:t>
      </w:r>
      <w:r>
        <w:rPr>
          <w:rFonts w:ascii="仿宋" w:eastAsia="仿宋" w:hAnsi="仿宋" w:cs="仿宋" w:hint="eastAsia"/>
          <w:sz w:val="32"/>
          <w:szCs w:val="32"/>
        </w:rPr>
        <w:t>设立3000万元的中小微企业还贷周转金，防范和化解实体经济资金链断裂风险，帮助资金周转暂时困难的中小微企业按时归还到期贷款，以获得银行流动资金续贷支持，降低融资成本。</w:t>
      </w:r>
    </w:p>
    <w:p w14:paraId="53FF90A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0E5E6E4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责任单位：区金融工作局、区财政局、人民银行偃师支行、洛阳银保监分局偃师监管组</w:t>
      </w:r>
    </w:p>
    <w:p w14:paraId="57B9786D"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（四）优化办贷手续</w:t>
      </w:r>
    </w:p>
    <w:p w14:paraId="014DD74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鼓励银行机构建立贷款全流程限时制度，即针对同一类型小微企业客户的信贷专业化分类、批量化营销、标准化审贷、差异化授权机制。各银行机构要加大互联网、大数据、云计算等信息技术运用，推行贷款申请限时答复，运用手机银行、网上银行、移动终端等开展线上信贷审批，进一步压缩信贷审批时间、减少申报材料，提高信贷审批效率。鼓励具备条件的地方法人银行，结合自身经营及风险管理实际，将一定额度的小微信贷业务审批权限逐步下沉至基层分支机构。</w:t>
      </w:r>
    </w:p>
    <w:p w14:paraId="22476A1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28BD1AB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责任单位：洛阳银保监分局偃师监管组</w:t>
      </w:r>
    </w:p>
    <w:p w14:paraId="79B7C712"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（五）开展多层次全方位银企对接</w:t>
      </w:r>
    </w:p>
    <w:p w14:paraId="1A5CF025"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1.开展多领域多层次银企对接活动。</w:t>
      </w:r>
      <w:r>
        <w:rPr>
          <w:rFonts w:ascii="仿宋" w:eastAsia="仿宋" w:hAnsi="仿宋" w:cs="仿宋" w:hint="eastAsia"/>
          <w:sz w:val="32"/>
          <w:szCs w:val="32"/>
        </w:rPr>
        <w:t>结合全区重要领域、重点项目，按照“应帮尽帮”“应贷尽贷”的原则，对制造业、战略性新兴产业、现代服务业、地方农业特色优势产业开展常态化的银企对接，同步定期收集企业融资需求，</w:t>
      </w:r>
      <w:r>
        <w:rPr>
          <w:rFonts w:ascii="仿宋" w:eastAsia="仿宋" w:hAnsi="仿宋" w:cs="仿宋" w:hint="eastAsia"/>
          <w:sz w:val="32"/>
          <w:szCs w:val="32"/>
        </w:rPr>
        <w:lastRenderedPageBreak/>
        <w:t>深入开发区、镇（街道）开展金融政策宣讲和金融产品推介，及时跟踪企业融资结果，协助企业解决融资堵点，提高金融服务广度和深度。</w:t>
      </w:r>
    </w:p>
    <w:p w14:paraId="7A757B3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080469D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责任单位：区金融工作局</w:t>
      </w:r>
    </w:p>
    <w:p w14:paraId="2C5CF89B"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2.持续深入开展金融支持市场主体特别帮扶行动。</w:t>
      </w:r>
      <w:r>
        <w:rPr>
          <w:rFonts w:ascii="仿宋" w:eastAsia="仿宋" w:hAnsi="仿宋" w:cs="仿宋" w:hint="eastAsia"/>
          <w:sz w:val="32"/>
          <w:szCs w:val="32"/>
        </w:rPr>
        <w:t>持续完善金融支持稳企业保就业工作机制，动态调整名录库企业名单。通过“一企一策”综合金融服务方案，精准匹配信贷产品等措施，积极满足名录库企业融资需求。深入开展“万人助万企”“行长进万企”金融支持活动。</w:t>
      </w:r>
    </w:p>
    <w:p w14:paraId="05BA1F3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504B35D9"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牵头单位：人民银行偃师支行</w:t>
      </w:r>
    </w:p>
    <w:p w14:paraId="705DB59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责任单位：洛阳银保监分局偃师监管组</w:t>
      </w:r>
    </w:p>
    <w:p w14:paraId="560D9543"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3.推广动产融资业务和应收账款融资服务。</w:t>
      </w:r>
      <w:r>
        <w:rPr>
          <w:rFonts w:ascii="仿宋" w:eastAsia="仿宋" w:hAnsi="仿宋" w:cs="仿宋" w:hint="eastAsia"/>
          <w:sz w:val="32"/>
          <w:szCs w:val="32"/>
        </w:rPr>
        <w:t>将推广应用动产融资统一登记公示系统、应收账款融资服务平台作为助力优化营商环境的有效抓手，加强部门协同，积极宣传推广动产融资业务和应收账款融资服务。</w:t>
      </w:r>
    </w:p>
    <w:p w14:paraId="622418F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1DDE653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责任单位：人民银行偃师支行</w:t>
      </w:r>
    </w:p>
    <w:p w14:paraId="77DEC71F"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4.持续深化和规范“银税互动”合作。</w:t>
      </w:r>
      <w:r>
        <w:rPr>
          <w:rFonts w:ascii="仿宋" w:eastAsia="仿宋" w:hAnsi="仿宋" w:cs="仿宋" w:hint="eastAsia"/>
          <w:sz w:val="32"/>
          <w:szCs w:val="32"/>
        </w:rPr>
        <w:t>加强与金融机构的沟通交流，探索创新合作新模式，高效推进“税易贷”宣传和应用工作。及时梳理小微企业名单，引导银行业金融机构加强对小微企业纳税信用评价运用结果的增值运用，积极发挥线上渠道优势。</w:t>
      </w:r>
    </w:p>
    <w:p w14:paraId="3889FB0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时间节点：持续推进</w:t>
      </w:r>
    </w:p>
    <w:p w14:paraId="207024A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责任单位：区税务局</w:t>
      </w:r>
    </w:p>
    <w:p w14:paraId="093B87E5"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（六）强化平台建设</w:t>
      </w:r>
    </w:p>
    <w:p w14:paraId="4BD91284"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1.加强“信易贷”平台建设。</w:t>
      </w:r>
      <w:r>
        <w:rPr>
          <w:rFonts w:ascii="仿宋" w:eastAsia="仿宋" w:hAnsi="仿宋" w:cs="仿宋" w:hint="eastAsia"/>
          <w:sz w:val="32"/>
          <w:szCs w:val="32"/>
        </w:rPr>
        <w:t>按照国家“信易贷”工作要求，加快建设“信易贷”平台，并与河南省融资综合信用服务平台（省信豫融平台）及全国中小企业融资信用综合服务平台对接联通，为各金融机构、区人力资源和社会保障局、区税务局、区司法局等相关成员单位建立对接通道，按照“边应用、边建设、边完善”原则，进一步完善信用信息采集标准规范，健全自动采集和实时更新机制，确保信用信息归集的准确性、时效性和完整性。依托“信易贷”平台构建符合中小微企业特点的信用评价体系，定期推送给金融机构，提高金融机构风险识别能力。组织各类金融机构和地方金融组织入驻“信易贷”平台，鼓励其创新开发契合我区中小企业融资需求的“信易贷”产品和服务，在平台上发布金融产品。推动有融资需求的中小企业在“信易贷”平台注册。</w:t>
      </w:r>
    </w:p>
    <w:p w14:paraId="61A81FE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09DBD0F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责任单位：区发展改革委</w:t>
      </w:r>
    </w:p>
    <w:p w14:paraId="50ED09A5"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（七）发展绿色金融、科技金融</w:t>
      </w:r>
    </w:p>
    <w:p w14:paraId="3097DE54"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1.建立健全绿色金融体系。</w:t>
      </w:r>
      <w:r>
        <w:rPr>
          <w:rFonts w:ascii="仿宋" w:eastAsia="仿宋" w:hAnsi="仿宋" w:cs="仿宋" w:hint="eastAsia"/>
          <w:sz w:val="32"/>
          <w:szCs w:val="32"/>
        </w:rPr>
        <w:t>充分发挥央行再贷款、再贴现货币政策工具支持功能，用好碳减排工具政策，积极引导地方法人金融机构在信贷项目选择、准入、审批各环节将企业的减排、环保作为投放的依据，建立科学的项目评估标准、风险预防体系，把节能减排、资源循环利用等指标纳入贷款</w:t>
      </w:r>
      <w:r>
        <w:rPr>
          <w:rFonts w:ascii="仿宋" w:eastAsia="仿宋" w:hAnsi="仿宋" w:cs="仿宋" w:hint="eastAsia"/>
          <w:sz w:val="32"/>
          <w:szCs w:val="32"/>
        </w:rPr>
        <w:lastRenderedPageBreak/>
        <w:t>审批体系。督导地方法人金融机构，结合地方特色，制定并完善绿色信贷管理制度、利率定价机制、业务考核激励机制、独立的可适时调整的绿色信贷审批机制等制度。引导金融机构建立企业“白名单”，对名单内企业优先给予支持、优惠利率。设置绿色金融专班，积极与外部机构协作，加强绿色信贷业务人才队伍建设与培训工作开展。针对绿色项目融资建立担保、风险补偿和财政贴息的政策，加强地方法人金融机构开展绿色信贷业务的主动性。开展绿色金融专题对接，对重点行业绩效分级A级企业、绿色环保引领企业，组织金融机构逐家对接，在融资授信、利率优惠、上市培育、发行债券等方面优先支持。指导保险机构在环境高风险领域开展环境污染强制责任保险业务。鼓励保险机构创新绿色保险产品和服务，服务绿色项目投融资。鼓励有条件的企业设立重大环保装备专业融资租赁公司，推行“融资租赁+环保产业”的业务模式，发展环保装备特色融资租赁产品。</w:t>
      </w:r>
    </w:p>
    <w:p w14:paraId="4D38F8C2"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1DAC05D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责任单位：人民银行偃师支行</w:t>
      </w:r>
    </w:p>
    <w:p w14:paraId="6B67E682"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2.大力发展科技金融。</w:t>
      </w:r>
      <w:r>
        <w:rPr>
          <w:rFonts w:ascii="仿宋" w:eastAsia="仿宋" w:hAnsi="仿宋" w:cs="仿宋" w:hint="eastAsia"/>
          <w:sz w:val="32"/>
          <w:szCs w:val="32"/>
        </w:rPr>
        <w:t>建立企业融资银企对接机制，深入推进“科技贷”业务，加大“科技贷”政策宣讲力度，开展科技型中小企业专项政银企对接活动，有效提升金融服务的精准性直达性。鼓励引导金融机构充分利用科技创新再贷款政策，加大对科技型企业的信贷投放，拓宽科技型企业融资渠道。</w:t>
      </w:r>
    </w:p>
    <w:p w14:paraId="0C03034A"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6AA1DD4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责任单位：区科技局、人民银行偃师支行</w:t>
      </w:r>
    </w:p>
    <w:p w14:paraId="5EB41F13"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（八）强化信用信息应用</w:t>
      </w:r>
    </w:p>
    <w:p w14:paraId="3F191403"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1.提高征信机构覆盖面。</w:t>
      </w:r>
      <w:r>
        <w:rPr>
          <w:rFonts w:ascii="仿宋" w:eastAsia="仿宋" w:hAnsi="仿宋" w:cs="仿宋" w:hint="eastAsia"/>
          <w:sz w:val="32"/>
          <w:szCs w:val="32"/>
        </w:rPr>
        <w:t>积极推动设立征信机构、私营信用咨询公司等第三方机构，进一步提高我区征信机构的覆盖面。</w:t>
      </w:r>
    </w:p>
    <w:p w14:paraId="4021977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63BBE0E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责任单位：人民银行偃师支行</w:t>
      </w:r>
    </w:p>
    <w:p w14:paraId="39AF0A3B"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2.持续深化中小微企业和农村信用体系建设。</w:t>
      </w:r>
      <w:r>
        <w:rPr>
          <w:rFonts w:ascii="仿宋" w:eastAsia="仿宋" w:hAnsi="仿宋" w:cs="仿宋" w:hint="eastAsia"/>
          <w:sz w:val="32"/>
          <w:szCs w:val="32"/>
        </w:rPr>
        <w:t>推进完善中小微企业和农村信用体系建设机制，逐步将新型农业经营主体纳入信息采集范围。持续优化信用信息采集、更新及查询机制。推进中小微企业信用体系建设，积极利用技术手段优化农户信用信息采集、更新及应用机制。探索拓宽信用信息应用场景。</w:t>
      </w:r>
    </w:p>
    <w:p w14:paraId="0B2841E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2274941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责任单位：人民银行偃师支行</w:t>
      </w:r>
    </w:p>
    <w:p w14:paraId="6D62A633"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3.加强公共信用信息平台建设。</w:t>
      </w:r>
      <w:r>
        <w:rPr>
          <w:rFonts w:ascii="仿宋" w:eastAsia="仿宋" w:hAnsi="仿宋" w:cs="仿宋" w:hint="eastAsia"/>
          <w:sz w:val="32"/>
          <w:szCs w:val="32"/>
        </w:rPr>
        <w:t>持续加强偃师信用信息共享平台、信用偃师网站功能建设，加快推进社会保障、医疗卫生、邮政电信、仓储物流、水电气暖、合同履约等信用信息归集。重点提升信用信息归集共享、信用查询及信用报告服务、公共信用评价、信用联合奖惩等功能，为推动中小微企业信用体系建设提供技术保障。</w:t>
      </w:r>
    </w:p>
    <w:p w14:paraId="7C8EDCE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0FBE473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责任单位：区发展改革委</w:t>
      </w:r>
    </w:p>
    <w:p w14:paraId="11BFD298"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（九）加大直接融资力度</w:t>
      </w:r>
    </w:p>
    <w:p w14:paraId="06FEC61F"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1.推动企业上市融资。</w:t>
      </w:r>
      <w:r>
        <w:rPr>
          <w:rFonts w:ascii="仿宋" w:eastAsia="仿宋" w:hAnsi="仿宋" w:cs="仿宋" w:hint="eastAsia"/>
          <w:sz w:val="32"/>
          <w:szCs w:val="32"/>
        </w:rPr>
        <w:t>坚持市场导向、企业为主、政府推动，加大“规改股、股上市”工作力度。实施企业上市提质倍增计划，力争“十四五”末全区上市公司数量翻番，由2家增加至4家。加强重点培育，分层次、分行业对上市后备企业针对性进行培育指导。落实“绿色通道”制度，组织专家分类指导，强化“一企一策”精准服务。坚持境内外上市并举，不断拓宽企业上市渠道。支持主业突出、盈利水平高、市场前景好的行业龙头企业到主板上市。支持符合国家战略、突破关键核心技术、市场认可度高的高新技术产业和战略性新兴产业的优质企业到科创板上市。推动更多创新性、成长性强的中小企业到创业板上市。推动“专精特新”小巨人企业到北交所上市。鼓励旅游、地产、教育及外向型企业到香港等境外资本市场上市。</w:t>
      </w:r>
    </w:p>
    <w:p w14:paraId="77034FE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551C428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牵头单位：区金融工作局</w:t>
      </w:r>
    </w:p>
    <w:p w14:paraId="383216E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责任单位：区科技局、区工信局</w:t>
      </w:r>
    </w:p>
    <w:p w14:paraId="74A67E07"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2.扩大债券市场融资规模。</w:t>
      </w:r>
      <w:r>
        <w:rPr>
          <w:rFonts w:ascii="仿宋" w:eastAsia="仿宋" w:hAnsi="仿宋" w:cs="仿宋" w:hint="eastAsia"/>
          <w:sz w:val="32"/>
          <w:szCs w:val="32"/>
        </w:rPr>
        <w:t>通过宣传培训提升各类企业利用债券市场直接融资的意识和能力，引导有发债潜力的未发债企业开展资信评级并尝试首发债券，稳步扩大债券市场规模。引导上市公司结合生产经营需要、项目投资需求、市场状况优化融资安排，利用优先股、永续债、可转债、REITs等多种方式扩大直接融资规模。</w:t>
      </w:r>
    </w:p>
    <w:p w14:paraId="323DBD0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058920A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责任单位：区金融工作局</w:t>
      </w:r>
    </w:p>
    <w:p w14:paraId="78B5F36A"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（十）提升融资担保服务能力</w:t>
      </w:r>
    </w:p>
    <w:p w14:paraId="7748206A"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1.设立政府性融资担保机构。</w:t>
      </w:r>
      <w:r>
        <w:rPr>
          <w:rFonts w:ascii="仿宋" w:eastAsia="仿宋" w:hAnsi="仿宋" w:cs="仿宋" w:hint="eastAsia"/>
          <w:sz w:val="32"/>
          <w:szCs w:val="32"/>
        </w:rPr>
        <w:t>力争通过财政注资、多方参与等方式组建政府性融资担保机构，缓解小微企业和“三农”等普惠领域融资难融资贵问题。</w:t>
      </w:r>
    </w:p>
    <w:p w14:paraId="25108CE7"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2.建立健全政策激励机制。</w:t>
      </w:r>
      <w:r>
        <w:rPr>
          <w:rFonts w:ascii="仿宋" w:eastAsia="仿宋" w:hAnsi="仿宋" w:cs="仿宋" w:hint="eastAsia"/>
          <w:sz w:val="32"/>
          <w:szCs w:val="32"/>
        </w:rPr>
        <w:t>在设立政府性融资担保机构基础上，研究出台细化政策，强化财政政策激励，推动资本金补充机制、代偿补偿机制、业务奖补机制等政策的落实落地，实现政府性融资担保机构可持续健康发展。</w:t>
      </w:r>
    </w:p>
    <w:p w14:paraId="06FA404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4980ACC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牵头单位：区财政局</w:t>
      </w:r>
    </w:p>
    <w:p w14:paraId="6870FE9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责任单位：区金融工作局</w:t>
      </w:r>
    </w:p>
    <w:p w14:paraId="51E4F9AB"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（十一）完善地方金融法治环境建设</w:t>
      </w:r>
    </w:p>
    <w:p w14:paraId="584B022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公正高效审理金融借款担保合同纠纷案件，平衡各方当事人的合法权益。借款人以贷款人主张的利息、复利、罚息、违约金和其他费用过高，显著背离实际损失为由，请求予以调减的，依法予以支持，有效降低实体经济的融资成本。落实动产和权利担保统一登记制度，依法审理认定动产担保效力、权利顺位，为中小微企业动产融资疏通道路。不支持金融机构盲目抽贷、断贷、压贷等行为。对因受疫情、洪涝灾害影响经营困难的企业主张延期还款、分期还款、减免逾期利息、降低利率的，加大调解力度，促成银企双方协商解决。加强诉源治理，完善诉调对接机制，促进金融纠纷多元化解。坚持司法与监管协同，合力防范金融风险，维护金融安全。</w:t>
      </w:r>
    </w:p>
    <w:p w14:paraId="509E03E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5909AE0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牵头单位：区法院</w:t>
      </w:r>
    </w:p>
    <w:p w14:paraId="63664A5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责任单位：区金融工作局、人民银行偃师支行、洛阳银保监分局偃师监管组</w:t>
      </w:r>
    </w:p>
    <w:p w14:paraId="663DBDFF"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四、指标对比</w:t>
      </w:r>
    </w:p>
    <w:tbl>
      <w:tblPr>
        <w:tblStyle w:val="ac"/>
        <w:tblW w:w="8988" w:type="dxa"/>
        <w:tblInd w:w="198" w:type="dxa"/>
        <w:tblLayout w:type="fixed"/>
        <w:tblLook w:val="04A0" w:firstRow="1" w:lastRow="0" w:firstColumn="1" w:lastColumn="0" w:noHBand="0" w:noVBand="1"/>
      </w:tblPr>
      <w:tblGrid>
        <w:gridCol w:w="1812"/>
        <w:gridCol w:w="2556"/>
        <w:gridCol w:w="1596"/>
        <w:gridCol w:w="1538"/>
        <w:gridCol w:w="1486"/>
      </w:tblGrid>
      <w:tr w:rsidR="00C97237" w14:paraId="08DAFFF5" w14:textId="77777777">
        <w:tc>
          <w:tcPr>
            <w:tcW w:w="1812" w:type="dxa"/>
          </w:tcPr>
          <w:p w14:paraId="69AEBECB" w14:textId="77777777" w:rsidR="00C97237" w:rsidRDefault="00000000">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t>指标（项目）</w:t>
            </w:r>
          </w:p>
        </w:tc>
        <w:tc>
          <w:tcPr>
            <w:tcW w:w="2556" w:type="dxa"/>
          </w:tcPr>
          <w:p w14:paraId="6FDA65CF" w14:textId="77777777" w:rsidR="00C97237" w:rsidRDefault="00000000">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t>现状水平</w:t>
            </w:r>
          </w:p>
        </w:tc>
        <w:tc>
          <w:tcPr>
            <w:tcW w:w="1596" w:type="dxa"/>
          </w:tcPr>
          <w:p w14:paraId="28809DE7" w14:textId="77777777" w:rsidR="00C97237" w:rsidRDefault="00000000">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t>2022年</w:t>
            </w:r>
          </w:p>
          <w:p w14:paraId="69366961" w14:textId="77777777" w:rsidR="00C97237" w:rsidRDefault="00000000">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t>6月目标</w:t>
            </w:r>
          </w:p>
        </w:tc>
        <w:tc>
          <w:tcPr>
            <w:tcW w:w="1538" w:type="dxa"/>
          </w:tcPr>
          <w:p w14:paraId="67758C7F" w14:textId="77777777" w:rsidR="00C97237" w:rsidRDefault="00000000">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t>2022年</w:t>
            </w:r>
          </w:p>
          <w:p w14:paraId="239BD14F" w14:textId="77777777" w:rsidR="00C97237" w:rsidRDefault="00000000">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t>12月目标</w:t>
            </w:r>
          </w:p>
        </w:tc>
        <w:tc>
          <w:tcPr>
            <w:tcW w:w="1486" w:type="dxa"/>
          </w:tcPr>
          <w:p w14:paraId="2BB99021" w14:textId="77777777" w:rsidR="00C97237" w:rsidRDefault="00000000">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t>完成时限</w:t>
            </w:r>
          </w:p>
        </w:tc>
      </w:tr>
      <w:tr w:rsidR="00C97237" w14:paraId="1AD1C67E" w14:textId="77777777">
        <w:trPr>
          <w:trHeight w:val="1662"/>
        </w:trPr>
        <w:tc>
          <w:tcPr>
            <w:tcW w:w="1812" w:type="dxa"/>
            <w:vAlign w:val="center"/>
          </w:tcPr>
          <w:p w14:paraId="549A15CC"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普惠型小微企业贷款规模</w:t>
            </w:r>
          </w:p>
        </w:tc>
        <w:tc>
          <w:tcPr>
            <w:tcW w:w="2556" w:type="dxa"/>
            <w:vAlign w:val="center"/>
          </w:tcPr>
          <w:p w14:paraId="36430B00"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截至2021年12月末，普惠小微企业贷款余额 47.20亿元。</w:t>
            </w:r>
          </w:p>
        </w:tc>
        <w:tc>
          <w:tcPr>
            <w:tcW w:w="1596" w:type="dxa"/>
            <w:vAlign w:val="center"/>
          </w:tcPr>
          <w:p w14:paraId="4509DB50"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稳步增长</w:t>
            </w:r>
          </w:p>
        </w:tc>
        <w:tc>
          <w:tcPr>
            <w:tcW w:w="1538" w:type="dxa"/>
            <w:vAlign w:val="center"/>
          </w:tcPr>
          <w:p w14:paraId="262F5D83"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稳步增长</w:t>
            </w:r>
          </w:p>
        </w:tc>
        <w:tc>
          <w:tcPr>
            <w:tcW w:w="1486" w:type="dxa"/>
            <w:vAlign w:val="center"/>
          </w:tcPr>
          <w:p w14:paraId="02232F14"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持续推进</w:t>
            </w:r>
          </w:p>
        </w:tc>
      </w:tr>
      <w:tr w:rsidR="00C97237" w14:paraId="26FA2009" w14:textId="77777777">
        <w:trPr>
          <w:trHeight w:val="1662"/>
        </w:trPr>
        <w:tc>
          <w:tcPr>
            <w:tcW w:w="1812" w:type="dxa"/>
            <w:vAlign w:val="center"/>
          </w:tcPr>
          <w:p w14:paraId="7CB89A67"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融资成本</w:t>
            </w:r>
          </w:p>
        </w:tc>
        <w:tc>
          <w:tcPr>
            <w:tcW w:w="2556" w:type="dxa"/>
            <w:vAlign w:val="center"/>
          </w:tcPr>
          <w:p w14:paraId="51084EF6"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2021年12月普惠小微企业贷款加权平均利率 5.78%。</w:t>
            </w:r>
          </w:p>
        </w:tc>
        <w:tc>
          <w:tcPr>
            <w:tcW w:w="1596" w:type="dxa"/>
            <w:vAlign w:val="center"/>
          </w:tcPr>
          <w:p w14:paraId="46CA22C9"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稳步下降</w:t>
            </w:r>
          </w:p>
        </w:tc>
        <w:tc>
          <w:tcPr>
            <w:tcW w:w="1538" w:type="dxa"/>
            <w:vAlign w:val="center"/>
          </w:tcPr>
          <w:p w14:paraId="53A556AE"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稳步下降</w:t>
            </w:r>
          </w:p>
        </w:tc>
        <w:tc>
          <w:tcPr>
            <w:tcW w:w="1486" w:type="dxa"/>
            <w:vAlign w:val="center"/>
          </w:tcPr>
          <w:p w14:paraId="08FB2D00"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持续推进</w:t>
            </w:r>
          </w:p>
        </w:tc>
      </w:tr>
      <w:tr w:rsidR="00C97237" w14:paraId="53EB4879" w14:textId="77777777">
        <w:trPr>
          <w:trHeight w:val="1648"/>
        </w:trPr>
        <w:tc>
          <w:tcPr>
            <w:tcW w:w="1812" w:type="dxa"/>
            <w:vAlign w:val="center"/>
          </w:tcPr>
          <w:p w14:paraId="64ABB43C"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征信机构覆盖面</w:t>
            </w:r>
          </w:p>
        </w:tc>
        <w:tc>
          <w:tcPr>
            <w:tcW w:w="2556" w:type="dxa"/>
            <w:vAlign w:val="center"/>
          </w:tcPr>
          <w:p w14:paraId="2A2E6021" w14:textId="77777777" w:rsidR="00C97237" w:rsidRDefault="00000000">
            <w:pPr>
              <w:spacing w:line="580" w:lineRule="exact"/>
              <w:rPr>
                <w:rFonts w:ascii="仿宋" w:eastAsia="仿宋" w:hAnsi="仿宋" w:cs="仿宋"/>
                <w:sz w:val="32"/>
                <w:szCs w:val="32"/>
                <w:highlight w:val="yellow"/>
              </w:rPr>
            </w:pPr>
            <w:r>
              <w:rPr>
                <w:rFonts w:ascii="仿宋" w:eastAsia="仿宋" w:hAnsi="仿宋" w:cs="仿宋" w:hint="eastAsia"/>
                <w:sz w:val="32"/>
                <w:szCs w:val="32"/>
              </w:rPr>
              <w:t>2021年，通过二代征信系统查询企业征信报告411笔。</w:t>
            </w:r>
          </w:p>
        </w:tc>
        <w:tc>
          <w:tcPr>
            <w:tcW w:w="1596" w:type="dxa"/>
            <w:vAlign w:val="center"/>
          </w:tcPr>
          <w:p w14:paraId="502A8EE8"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稳步提升</w:t>
            </w:r>
          </w:p>
        </w:tc>
        <w:tc>
          <w:tcPr>
            <w:tcW w:w="1538" w:type="dxa"/>
            <w:vAlign w:val="center"/>
          </w:tcPr>
          <w:p w14:paraId="0BB9279C"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稳步提升</w:t>
            </w:r>
          </w:p>
        </w:tc>
        <w:tc>
          <w:tcPr>
            <w:tcW w:w="1486" w:type="dxa"/>
            <w:vAlign w:val="center"/>
          </w:tcPr>
          <w:p w14:paraId="59315088"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持续推进</w:t>
            </w:r>
          </w:p>
        </w:tc>
      </w:tr>
    </w:tbl>
    <w:p w14:paraId="04482659"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五、保障措施</w:t>
      </w:r>
    </w:p>
    <w:p w14:paraId="5EF3D662"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（一）建立健全工作机制</w:t>
      </w:r>
    </w:p>
    <w:p w14:paraId="4B74545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区金融工作局、区法院、区财政局、区发展改革委、区科技局、区税务局、区司法局、人民银行偃师支行、洛阳银</w:t>
      </w:r>
      <w:r>
        <w:rPr>
          <w:rFonts w:ascii="仿宋" w:eastAsia="仿宋" w:hAnsi="仿宋" w:cs="仿宋" w:hint="eastAsia"/>
          <w:sz w:val="32"/>
          <w:szCs w:val="32"/>
        </w:rPr>
        <w:lastRenderedPageBreak/>
        <w:t>保监分局偃师监管组建立获得信贷指标提升专项行动会商协调机制，加强组织协调和沟通对接，定期不定期对重点问题、重大事项协调会商，统筹推进各项工作。</w:t>
      </w:r>
    </w:p>
    <w:p w14:paraId="48D3F57A"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（二）压实目标责任</w:t>
      </w:r>
    </w:p>
    <w:p w14:paraId="067D36C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各部门、各镇（街道）、各金融机构要强化责任担当，各司其职、各负其责，建立长效工作机制，形成上下贯通、层层负责的主体责任链条，制定责任清单，层层压紧压实责任，确保各项任务落实落细。同时对照下达任务，日常工作资料注意留存归档，以备下一年开展营商环境考核。</w:t>
      </w:r>
    </w:p>
    <w:p w14:paraId="0CABCBB0" w14:textId="77777777" w:rsidR="00C97237" w:rsidRDefault="00000000">
      <w:pPr>
        <w:spacing w:line="58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（三）严格考核奖惩</w:t>
      </w:r>
    </w:p>
    <w:p w14:paraId="35B1CC6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将优化营商环境工作纳入区委、区政府重点督查事项，加大专项督查力度。建立营商环境评价奖惩机制，对工作落实到位、成效显著的，报区优化营商环境领导小组办公室，经批准后予以通报表扬；对行动迟缓、推进不力、影响全区营商环境的，将会同区优化营商环境领导小组办公室严肃追责问责，推动各级各部门明责、履责、尽责。</w:t>
      </w:r>
    </w:p>
    <w:p w14:paraId="00FC0888" w14:textId="77777777" w:rsidR="00C97237" w:rsidRDefault="00C97237">
      <w:pPr>
        <w:spacing w:line="580" w:lineRule="exact"/>
        <w:ind w:firstLineChars="200" w:firstLine="880"/>
        <w:jc w:val="left"/>
        <w:rPr>
          <w:rFonts w:ascii="黑体" w:eastAsia="黑体" w:hAnsi="黑体" w:cs="黑体"/>
          <w:sz w:val="44"/>
          <w:szCs w:val="44"/>
        </w:rPr>
      </w:pPr>
    </w:p>
    <w:p w14:paraId="5FDFECD9" w14:textId="77777777" w:rsidR="00C97237" w:rsidRDefault="00C97237">
      <w:pPr>
        <w:spacing w:line="580" w:lineRule="exact"/>
        <w:ind w:firstLineChars="200" w:firstLine="880"/>
        <w:jc w:val="left"/>
        <w:rPr>
          <w:rFonts w:ascii="黑体" w:eastAsia="黑体" w:hAnsi="黑体" w:cs="黑体"/>
          <w:sz w:val="44"/>
          <w:szCs w:val="44"/>
        </w:rPr>
      </w:pPr>
    </w:p>
    <w:p w14:paraId="2C8E1774" w14:textId="77777777" w:rsidR="00C97237" w:rsidRDefault="00C97237">
      <w:pPr>
        <w:spacing w:line="580" w:lineRule="exact"/>
        <w:ind w:firstLineChars="200" w:firstLine="880"/>
        <w:jc w:val="left"/>
        <w:rPr>
          <w:rFonts w:ascii="黑体" w:eastAsia="黑体" w:hAnsi="黑体" w:cs="黑体"/>
          <w:sz w:val="44"/>
          <w:szCs w:val="44"/>
        </w:rPr>
      </w:pPr>
    </w:p>
    <w:p w14:paraId="62267B2E" w14:textId="77777777" w:rsidR="00C97237" w:rsidRDefault="00C97237">
      <w:pPr>
        <w:spacing w:line="580" w:lineRule="exact"/>
        <w:ind w:firstLineChars="200" w:firstLine="880"/>
        <w:jc w:val="left"/>
        <w:rPr>
          <w:rFonts w:ascii="黑体" w:eastAsia="黑体" w:hAnsi="黑体" w:cs="黑体"/>
          <w:sz w:val="44"/>
          <w:szCs w:val="44"/>
        </w:rPr>
      </w:pPr>
    </w:p>
    <w:p w14:paraId="79507CD5" w14:textId="77777777" w:rsidR="00C97237" w:rsidRDefault="00C97237">
      <w:pPr>
        <w:spacing w:line="580" w:lineRule="exact"/>
        <w:ind w:firstLineChars="200" w:firstLine="880"/>
        <w:jc w:val="left"/>
        <w:rPr>
          <w:rFonts w:ascii="黑体" w:eastAsia="黑体" w:hAnsi="黑体" w:cs="黑体"/>
          <w:sz w:val="44"/>
          <w:szCs w:val="44"/>
        </w:rPr>
      </w:pPr>
    </w:p>
    <w:p w14:paraId="1FD1F184" w14:textId="77777777" w:rsidR="00C97237" w:rsidRDefault="00C97237">
      <w:pPr>
        <w:spacing w:line="580" w:lineRule="exact"/>
        <w:ind w:firstLineChars="200" w:firstLine="880"/>
        <w:jc w:val="left"/>
        <w:rPr>
          <w:rFonts w:ascii="黑体" w:eastAsia="黑体" w:hAnsi="黑体" w:cs="黑体"/>
          <w:sz w:val="44"/>
          <w:szCs w:val="44"/>
        </w:rPr>
      </w:pPr>
    </w:p>
    <w:p w14:paraId="542B0B6D" w14:textId="77777777" w:rsidR="00C97237" w:rsidRDefault="00C97237">
      <w:pPr>
        <w:spacing w:line="580" w:lineRule="exact"/>
        <w:ind w:firstLineChars="200" w:firstLine="880"/>
        <w:jc w:val="left"/>
        <w:rPr>
          <w:rFonts w:ascii="黑体" w:eastAsia="黑体" w:hAnsi="黑体" w:cs="黑体"/>
          <w:sz w:val="44"/>
          <w:szCs w:val="44"/>
        </w:rPr>
      </w:pPr>
    </w:p>
    <w:p w14:paraId="12623076" w14:textId="77777777" w:rsidR="00C97237" w:rsidRDefault="00000000">
      <w:pPr>
        <w:spacing w:line="580" w:lineRule="exact"/>
        <w:jc w:val="left"/>
        <w:rPr>
          <w:rFonts w:ascii="黑体" w:eastAsia="黑体" w:hAnsi="黑体" w:cs="黑体"/>
          <w:sz w:val="44"/>
          <w:szCs w:val="44"/>
        </w:rPr>
      </w:pPr>
      <w:r>
        <w:rPr>
          <w:rFonts w:ascii="黑体" w:eastAsia="黑体" w:hAnsi="黑体" w:cs="黑体" w:hint="eastAsia"/>
          <w:sz w:val="44"/>
          <w:szCs w:val="44"/>
        </w:rPr>
        <w:t>附件14</w:t>
      </w:r>
    </w:p>
    <w:p w14:paraId="5BE9ECDE"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lastRenderedPageBreak/>
        <w:t>偃师区政府采购提升专项行动方案</w:t>
      </w:r>
    </w:p>
    <w:p w14:paraId="3830DDDC" w14:textId="77777777" w:rsidR="00C97237" w:rsidRDefault="00C97237">
      <w:pPr>
        <w:spacing w:line="580" w:lineRule="exact"/>
        <w:ind w:firstLineChars="200" w:firstLine="640"/>
        <w:rPr>
          <w:rFonts w:ascii="仿宋" w:eastAsia="仿宋" w:hAnsi="仿宋" w:cs="仿宋"/>
          <w:sz w:val="32"/>
          <w:szCs w:val="32"/>
        </w:rPr>
      </w:pPr>
    </w:p>
    <w:p w14:paraId="45BC194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为深入贯彻落实政府采购制度改革要求，进一步优化我区政府采购营商环境，对标先进城市典型做法，结合我区政府采购工作实际，特制定本方案。</w:t>
      </w:r>
    </w:p>
    <w:p w14:paraId="5C21FF19"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一、总体要求</w:t>
      </w:r>
    </w:p>
    <w:p w14:paraId="1F44412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坚持以习近平新时代中国特色社会主义思想为指导，全面贯彻党的十九大和十九届二中、三中、四中、五中、六中全会精神，按照区委优化营商环境要求，聚焦营商环境评价和企业反映突出问题，对标国内一流，围绕市场关切，强化改革创新，补短板、强弱项，综合施策，重点突破，全面推动政府采购流程再优化、效率再提高、服务再提升，打造良好政府采购营商环境，保护和激发市场主体活力。</w:t>
      </w:r>
    </w:p>
    <w:p w14:paraId="1884D55B"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二、工作目标</w:t>
      </w:r>
    </w:p>
    <w:p w14:paraId="3AF9C98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坚持用深化改革的方式优化营商环境，坚持问题导向和结果导向，按照“打造一流营商环境”的要求，树牢服务企业就是服务全区工作大局的理念，结合“万人助万企”活动，聚焦企业关切，研究针对性政策措施，让企业获得感更强、满意度更高，推动政府采购营商环境再上新台阶。</w:t>
      </w:r>
    </w:p>
    <w:p w14:paraId="1BB4B568"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三、主要措施</w:t>
      </w:r>
    </w:p>
    <w:p w14:paraId="7EA01232"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（一）进一步降低企业参与成本</w:t>
      </w:r>
    </w:p>
    <w:p w14:paraId="5DE709F0"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1.推行网上商城“信用+承诺”入驻制。</w:t>
      </w:r>
      <w:r>
        <w:rPr>
          <w:rFonts w:ascii="仿宋" w:eastAsia="仿宋" w:hAnsi="仿宋" w:cs="仿宋" w:hint="eastAsia"/>
          <w:sz w:val="32"/>
          <w:szCs w:val="32"/>
        </w:rPr>
        <w:t>按照省财政厅统一工作部署，除依法实行竞争入围的项目外，网上商城供应商通过“信用+承诺”的形式注册进驻，不得向供应商收</w:t>
      </w:r>
      <w:r>
        <w:rPr>
          <w:rFonts w:ascii="仿宋" w:eastAsia="仿宋" w:hAnsi="仿宋" w:cs="仿宋" w:hint="eastAsia"/>
          <w:sz w:val="32"/>
          <w:szCs w:val="32"/>
        </w:rPr>
        <w:lastRenderedPageBreak/>
        <w:t>取任何形式的使用费、入场费、交易服务费等费用。</w:t>
      </w:r>
    </w:p>
    <w:p w14:paraId="03752D1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41503462"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w:t>
      </w:r>
    </w:p>
    <w:p w14:paraId="3CF669B2"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2.全面取消履约保证金。</w:t>
      </w:r>
      <w:r>
        <w:rPr>
          <w:rFonts w:ascii="仿宋" w:eastAsia="仿宋" w:hAnsi="仿宋" w:cs="仿宋" w:hint="eastAsia"/>
          <w:sz w:val="32"/>
          <w:szCs w:val="32"/>
        </w:rPr>
        <w:t>在取消投标保证金、免收标书费用的基础上，进一步全面取消履约保证金，不得收取质量保证金，让企业零成本参加政府采购活动。</w:t>
      </w:r>
    </w:p>
    <w:p w14:paraId="5441A03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74AB390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责任单位：区财政局、区直各部门、各政府采购代理机构</w:t>
      </w:r>
    </w:p>
    <w:p w14:paraId="67B8FCAB"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3.提高政府采购预付款比例。</w:t>
      </w:r>
      <w:r>
        <w:rPr>
          <w:rFonts w:ascii="仿宋" w:eastAsia="仿宋" w:hAnsi="仿宋" w:cs="仿宋" w:hint="eastAsia"/>
          <w:sz w:val="32"/>
          <w:szCs w:val="32"/>
        </w:rPr>
        <w:t>鼓励采购人结合项目实际和供应商信用情况，在签订合同后即预付一定比例的合同款项给中标（成交）供应商。原则上预付款比例不低于合同金额的40%，对于中小企业的预付款比例不低于合同金额的60%。采购人支付供应商预付款的，可要求供应商提供与预付款等额的电子担保函。</w:t>
      </w:r>
    </w:p>
    <w:p w14:paraId="3EC20EA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35B8F10A"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责任单位：区财政局、区直各部门</w:t>
      </w:r>
    </w:p>
    <w:p w14:paraId="1303D458"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4.提高政府采购首付款比例。</w:t>
      </w:r>
      <w:r>
        <w:rPr>
          <w:rFonts w:ascii="仿宋" w:eastAsia="仿宋" w:hAnsi="仿宋" w:cs="仿宋" w:hint="eastAsia"/>
          <w:sz w:val="32"/>
          <w:szCs w:val="32"/>
        </w:rPr>
        <w:t>政府采购合同约定首付款支付方式的，首付款比例原则上不低于合同金额的50%；对于中小企业，首付款支付比例原则上不低于合同金额的70%。对于200万元以下的货物和服务项目，鼓励采取一次性全额支付的方式，满足合同约定条件、验收合格后一次性支付给供应商。</w:t>
      </w:r>
    </w:p>
    <w:p w14:paraId="14F5E0E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37C2BD57" w14:textId="77777777" w:rsidR="00C97237" w:rsidRDefault="00000000">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lastRenderedPageBreak/>
        <w:t>责任单位：区财政局、区直各部门</w:t>
      </w:r>
    </w:p>
    <w:p w14:paraId="44E672E5"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5.加快政府采购资金支付进度。</w:t>
      </w:r>
      <w:r>
        <w:rPr>
          <w:rFonts w:ascii="仿宋" w:eastAsia="仿宋" w:hAnsi="仿宋" w:cs="仿宋" w:hint="eastAsia"/>
          <w:sz w:val="32"/>
          <w:szCs w:val="32"/>
        </w:rPr>
        <w:t>对于满足合同约定支付条件的，采购人应当根据合同约定，自收到发票或验收合格后5日内，将资金支付到合同约定的供应商账户。合同约定采取履行进度结算、定期结算等结算方式，付款期限应当自双方确认结算金额之日起计算。合同约定以货物、工程、服务交付后经检验或者验收作为支付条件的，付款期限应当自检验或验收合格之日起计算。</w:t>
      </w:r>
    </w:p>
    <w:p w14:paraId="57D28F2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43CBEFAA" w14:textId="77777777" w:rsidR="00C97237" w:rsidRDefault="00000000">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责任单位：区财政局、区直各部门</w:t>
      </w:r>
    </w:p>
    <w:p w14:paraId="01B634B0"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（二）进一步提升服务企业能力</w:t>
      </w:r>
    </w:p>
    <w:p w14:paraId="460FF4F1"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1.全面推行电子化发放中标（成交）通知。</w:t>
      </w:r>
      <w:r>
        <w:rPr>
          <w:rFonts w:ascii="仿宋" w:eastAsia="仿宋" w:hAnsi="仿宋" w:cs="仿宋" w:hint="eastAsia"/>
          <w:sz w:val="32"/>
          <w:szCs w:val="32"/>
        </w:rPr>
        <w:t>采购人和各采购代理机构应在偃师区公共资源交易平台生成并向中标（成交）供应商发放电子中标（成交）通知书。</w:t>
      </w:r>
    </w:p>
    <w:p w14:paraId="6D34937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150981B7" w14:textId="77777777" w:rsidR="00C97237" w:rsidRDefault="00000000">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责任单位：区财政局、区直各部门、区公共资源交易中心、各政府采购代理机构</w:t>
      </w:r>
    </w:p>
    <w:p w14:paraId="28C2025A" w14:textId="77777777" w:rsidR="00C97237" w:rsidRDefault="00000000">
      <w:pPr>
        <w:widowControl/>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2.持续推进政府采购信用承诺制。</w:t>
      </w:r>
      <w:r>
        <w:rPr>
          <w:rFonts w:ascii="仿宋" w:eastAsia="仿宋" w:hAnsi="仿宋" w:cs="仿宋" w:hint="eastAsia"/>
          <w:sz w:val="32"/>
          <w:szCs w:val="32"/>
        </w:rPr>
        <w:t>供应商只需在资格审查环节提供满足相应条件的书面承诺书，即可参加政府采购活动，不再需要提供财务状况报告、依法纳税证明、社保证明等材料。</w:t>
      </w:r>
    </w:p>
    <w:p w14:paraId="35E10B5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157DD25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责任单位：区财政局、区直各部门、区公共资源交易中心、各政府采购代理机构</w:t>
      </w:r>
    </w:p>
    <w:p w14:paraId="16FC22FD"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3.提高政府采购工作效率。</w:t>
      </w:r>
      <w:r>
        <w:rPr>
          <w:rFonts w:ascii="仿宋" w:eastAsia="仿宋" w:hAnsi="仿宋" w:cs="仿宋" w:hint="eastAsia"/>
          <w:sz w:val="32"/>
          <w:szCs w:val="32"/>
        </w:rPr>
        <w:t>原则上采购人应在评标结束之日起1个工作日内确定采购结果，同时对中标（成交）供应商发出电子化中标（成交）通知书。原则上采购人应在中标（成交）通知书发出之日起1个工作日内，与中标（成交）供应商签订政府采购合同。原则上采购人应在签订政府采购合同当日通过偃师区政府采购系统报财政部门备案。原则上采购人应在收到供应商书面验收申请3个工作日内组织验收工作，验收后1个工作日内出具验收报告。</w:t>
      </w:r>
    </w:p>
    <w:p w14:paraId="61D6F849"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0EFFE11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责任单位：区财政局、区直各部门、区公共资源交易中心、各政府采购代理机构   </w:t>
      </w:r>
    </w:p>
    <w:p w14:paraId="096AD74C"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4.提高政府采购信息透明度。</w:t>
      </w:r>
      <w:r>
        <w:rPr>
          <w:rFonts w:ascii="仿宋" w:eastAsia="仿宋" w:hAnsi="仿宋" w:cs="仿宋" w:hint="eastAsia"/>
          <w:sz w:val="32"/>
          <w:szCs w:val="32"/>
        </w:rPr>
        <w:t>推进政府采购全过程、全要素信息公开，保障各类区场主体平等参与政府采购活动。采购人应在部门预算批复后7个工作日内，以部门预算为依据，一揽子公开本部门本年度的采购意向。采购人或其委托的采购代理机构应在发布采购结果公告的同时上传评标（审）报告，出具验收报告当天在偃师区政府采购网公开验收报告。</w:t>
      </w:r>
    </w:p>
    <w:p w14:paraId="62D22AF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33C733F3" w14:textId="77777777" w:rsidR="00C97237" w:rsidRDefault="00000000">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责任单位：区财政局、区直各部门、区公共资源交易中心、各政府采购代理机构</w:t>
      </w:r>
    </w:p>
    <w:p w14:paraId="7C20D288"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5.帮助企业拓展销售渠道。</w:t>
      </w:r>
      <w:r>
        <w:rPr>
          <w:rFonts w:ascii="仿宋" w:eastAsia="仿宋" w:hAnsi="仿宋" w:cs="仿宋" w:hint="eastAsia"/>
          <w:sz w:val="32"/>
          <w:szCs w:val="32"/>
        </w:rPr>
        <w:t>按照省厅统一工作部署，积极征集企业入驻网上商城“专精特新”中小企业馆、地方特色产品馆等特色场馆，为企业提供展销平台；积极组织企业</w:t>
      </w:r>
      <w:r>
        <w:rPr>
          <w:rFonts w:ascii="仿宋" w:eastAsia="仿宋" w:hAnsi="仿宋" w:cs="仿宋" w:hint="eastAsia"/>
          <w:sz w:val="32"/>
          <w:szCs w:val="32"/>
        </w:rPr>
        <w:lastRenderedPageBreak/>
        <w:t>参加省厅政府采购购销对接活动，搭建政府采购单位与企业、买卖双方的对接桥梁，帮助企业拓展销售渠道。</w:t>
      </w:r>
    </w:p>
    <w:p w14:paraId="1239A2C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482620A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w:t>
      </w:r>
    </w:p>
    <w:p w14:paraId="79C08721"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6.做好脱贫地区农副产品政府采购。</w:t>
      </w:r>
      <w:r>
        <w:rPr>
          <w:rFonts w:ascii="仿宋" w:eastAsia="仿宋" w:hAnsi="仿宋" w:cs="仿宋" w:hint="eastAsia"/>
          <w:sz w:val="32"/>
          <w:szCs w:val="32"/>
        </w:rPr>
        <w:t>实施政府采购脱贫地区农副产品工作，支持乡村振兴，全区有食堂的预算单位按照不低于年度食堂采购额10%的预留比例，通过“832平台”采购农副产品。区财政局统筹区属国有企业食堂参照预算单位标准执行，即按照不低于年度食堂采购额10%的比例，通过“832平台”采购农副产品。各预算单位工会组织发放福利、慰问品等，原则上按照人均不低于80元的标准，通过“832平台”采购农副产品。</w:t>
      </w:r>
    </w:p>
    <w:p w14:paraId="6A0CE79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0C1E37CC" w14:textId="77777777" w:rsidR="00C97237" w:rsidRDefault="00000000">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责任单位：区财政局、区直各部门、区总工会</w:t>
      </w:r>
    </w:p>
    <w:p w14:paraId="7E4F44B4"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7.进一步扩大“政采贷”融资规模。</w:t>
      </w:r>
      <w:r>
        <w:rPr>
          <w:rFonts w:ascii="仿宋" w:eastAsia="仿宋" w:hAnsi="仿宋" w:cs="仿宋" w:hint="eastAsia"/>
          <w:sz w:val="32"/>
          <w:szCs w:val="32"/>
        </w:rPr>
        <w:t>强化政府采购合同管理，提高政府采购合同签订、备案效率，提升政府采购合同履约信誉度，健全与金融机构的合作机制，拓宽企业融资渠道，扩大政府采购供应商融资规模，力争2022年政府采购合同融资规模增长不低于50%。推进政府采购预付款保函等金融产品在线供给。</w:t>
      </w:r>
    </w:p>
    <w:p w14:paraId="420BA50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53C7C0B5" w14:textId="77777777" w:rsidR="00C97237" w:rsidRDefault="00000000">
      <w:pPr>
        <w:spacing w:line="580" w:lineRule="exact"/>
        <w:ind w:firstLineChars="200" w:firstLine="640"/>
        <w:rPr>
          <w:rFonts w:ascii="仿宋" w:eastAsia="仿宋" w:hAnsi="仿宋" w:cs="仿宋"/>
          <w:bCs/>
          <w:sz w:val="32"/>
          <w:szCs w:val="32"/>
        </w:rPr>
      </w:pPr>
      <w:r>
        <w:rPr>
          <w:rFonts w:ascii="仿宋" w:eastAsia="仿宋" w:hAnsi="仿宋" w:cs="仿宋" w:hint="eastAsia"/>
          <w:sz w:val="32"/>
          <w:szCs w:val="32"/>
        </w:rPr>
        <w:t>责任单位：区财政局、区直各部门</w:t>
      </w:r>
    </w:p>
    <w:p w14:paraId="3138C98E" w14:textId="77777777" w:rsidR="00C97237" w:rsidRDefault="00000000">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（三）进一步巩固企业合法权益保护度</w:t>
      </w:r>
    </w:p>
    <w:p w14:paraId="6A991258"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1.切实保护企业自由参与政府采购。</w:t>
      </w:r>
      <w:r>
        <w:rPr>
          <w:rFonts w:ascii="仿宋" w:eastAsia="仿宋" w:hAnsi="仿宋" w:cs="仿宋" w:hint="eastAsia"/>
          <w:sz w:val="32"/>
          <w:szCs w:val="32"/>
        </w:rPr>
        <w:t>持续清理取消政府</w:t>
      </w:r>
      <w:r>
        <w:rPr>
          <w:rFonts w:ascii="仿宋" w:eastAsia="仿宋" w:hAnsi="仿宋" w:cs="仿宋" w:hint="eastAsia"/>
          <w:sz w:val="32"/>
          <w:szCs w:val="32"/>
        </w:rPr>
        <w:lastRenderedPageBreak/>
        <w:t>采购活动中要求供应商在项目所在地或采购人所在地设立分公司或办事处的行为，开展在政府采购活动中落实平等对待内外资企业政策排查，坚决清理政府采购领域排斥外地、外区、外资企业的行为。</w:t>
      </w:r>
    </w:p>
    <w:p w14:paraId="0D6197E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740E56C1" w14:textId="77777777" w:rsidR="00C97237" w:rsidRDefault="00000000">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责任单位：区财政局、区直各部门、各政府采购代理机构</w:t>
      </w:r>
    </w:p>
    <w:p w14:paraId="65232D63"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2.维护企业公平竞争。</w:t>
      </w:r>
      <w:r>
        <w:rPr>
          <w:rFonts w:ascii="仿宋" w:eastAsia="仿宋" w:hAnsi="仿宋" w:cs="仿宋" w:hint="eastAsia"/>
          <w:sz w:val="32"/>
          <w:szCs w:val="32"/>
        </w:rPr>
        <w:t>持续清理取消通过备选库、名录库、资格库等非必要条件排除和限制竞争的行为。严格落实《河南省财政厅关于防范供应商串通投标促进政府采购公平竞争的通知》，运用交易“大数据+联合惩戒”模式，加强串通投标预警行为，防范和惩治供应商通过串通投标的方式排挤竞争对手，影响企业公平竞争的行为，促进政府采购公平竞争。</w:t>
      </w:r>
    </w:p>
    <w:p w14:paraId="119111C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056488FE" w14:textId="77777777" w:rsidR="00C97237" w:rsidRDefault="00000000">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责任单位：区财政局、区直各部门</w:t>
      </w:r>
    </w:p>
    <w:p w14:paraId="7CE82F7E"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3.进一步强化企业参与政府采购的知情权。</w:t>
      </w:r>
      <w:r>
        <w:rPr>
          <w:rFonts w:ascii="仿宋" w:eastAsia="仿宋" w:hAnsi="仿宋" w:cs="仿宋" w:hint="eastAsia"/>
          <w:sz w:val="32"/>
          <w:szCs w:val="32"/>
        </w:rPr>
        <w:t>完善对未中标（成交）供应商原因告知机制，对未中标（成交）的供应商，应书面（含电子方式）告知未通过原因，包括资格性审查、符合性审查情况、认定为无效投标（响应）的原因、评审得分及排序。</w:t>
      </w:r>
    </w:p>
    <w:p w14:paraId="7272EFF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3E6C5528" w14:textId="77777777" w:rsidR="00C97237" w:rsidRDefault="00000000">
      <w:pPr>
        <w:spacing w:line="580" w:lineRule="exact"/>
        <w:ind w:firstLineChars="200" w:firstLine="640"/>
        <w:rPr>
          <w:rFonts w:ascii="仿宋" w:eastAsia="仿宋" w:hAnsi="仿宋" w:cs="仿宋"/>
          <w:bCs/>
          <w:sz w:val="32"/>
          <w:szCs w:val="32"/>
        </w:rPr>
      </w:pPr>
      <w:r>
        <w:rPr>
          <w:rFonts w:ascii="仿宋" w:eastAsia="仿宋" w:hAnsi="仿宋" w:cs="仿宋" w:hint="eastAsia"/>
          <w:sz w:val="32"/>
          <w:szCs w:val="32"/>
        </w:rPr>
        <w:t>责任单位：区财政局、区直各部门、各政府采购代理机构</w:t>
      </w:r>
    </w:p>
    <w:p w14:paraId="5D0BC090" w14:textId="77777777" w:rsidR="00C97237" w:rsidRDefault="00000000">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lastRenderedPageBreak/>
        <w:t>（四）完善提升电子化政府采购平台</w:t>
      </w:r>
    </w:p>
    <w:p w14:paraId="26E736C5"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1.实现电子化政府采购系统与公共资源交易平台的对接贯通。</w:t>
      </w:r>
      <w:r>
        <w:rPr>
          <w:rFonts w:ascii="仿宋" w:eastAsia="仿宋" w:hAnsi="仿宋" w:cs="仿宋" w:hint="eastAsia"/>
          <w:sz w:val="32"/>
          <w:szCs w:val="32"/>
        </w:rPr>
        <w:t>按照省厅统一工作部署，在市级实现系统对接、流程贯通的基础上，推动县级电子化政府采购系统与公共资源交易平台的全面对接，推动政府采购全流程电子化。</w:t>
      </w:r>
    </w:p>
    <w:p w14:paraId="0F2CF0F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4A2525EC" w14:textId="77777777" w:rsidR="00C97237" w:rsidRDefault="00000000">
      <w:pPr>
        <w:spacing w:line="580" w:lineRule="exact"/>
        <w:ind w:firstLineChars="200" w:firstLine="640"/>
        <w:rPr>
          <w:rFonts w:ascii="仿宋" w:eastAsia="仿宋" w:hAnsi="仿宋" w:cs="仿宋"/>
          <w:sz w:val="32"/>
          <w:szCs w:val="32"/>
          <w:highlight w:val="yellow"/>
        </w:rPr>
      </w:pPr>
      <w:r>
        <w:rPr>
          <w:rFonts w:ascii="仿宋" w:eastAsia="仿宋" w:hAnsi="仿宋" w:cs="仿宋" w:hint="eastAsia"/>
          <w:sz w:val="32"/>
          <w:szCs w:val="32"/>
        </w:rPr>
        <w:t>责任单位：区财政局、区公共资源交易中心</w:t>
      </w:r>
    </w:p>
    <w:p w14:paraId="0E2CA1AF"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2.实现电子化政府采购系统与预算管理一体化系统全面对接贯通。</w:t>
      </w:r>
      <w:r>
        <w:rPr>
          <w:rFonts w:ascii="仿宋" w:eastAsia="仿宋" w:hAnsi="仿宋" w:cs="仿宋" w:hint="eastAsia"/>
          <w:sz w:val="32"/>
          <w:szCs w:val="32"/>
        </w:rPr>
        <w:t>按照省厅统一工作部署，推动县级财政系统全面实现电子化政府采购系统与预算管理一体化系统的对接，实现预算管理、政府采购、国库集中支付等财政改革业务协同，为保障政府采购合同资金及时支付提供技术支撑。</w:t>
      </w:r>
    </w:p>
    <w:p w14:paraId="61436CF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时间节点：2022年12月完成对接</w:t>
      </w:r>
    </w:p>
    <w:p w14:paraId="72B86159"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w:t>
      </w:r>
    </w:p>
    <w:p w14:paraId="267B8BD2"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3.建设升级版网上商城。</w:t>
      </w:r>
      <w:r>
        <w:rPr>
          <w:rFonts w:ascii="仿宋" w:eastAsia="仿宋" w:hAnsi="仿宋" w:cs="仿宋" w:hint="eastAsia"/>
          <w:sz w:val="32"/>
          <w:szCs w:val="32"/>
        </w:rPr>
        <w:t>按照省厅统一工作部署，打造政府采购网上商城新模式，搭建有利于引导采购人采购中小企业产品、创新产品、绿色产品等“网购”平台。丰富交易模式，实施网上直采、在线议价、网上竞价等简易采购程序，提高小额零星采购的交易效率。完善网上管理制度，建立供应商评价机制。</w:t>
      </w:r>
    </w:p>
    <w:p w14:paraId="6CAFADC2"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2AA9EDB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w:t>
      </w:r>
    </w:p>
    <w:p w14:paraId="5410E08A"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4.全面推行“不见面”开标。</w:t>
      </w:r>
      <w:r>
        <w:rPr>
          <w:rFonts w:ascii="仿宋" w:eastAsia="仿宋" w:hAnsi="仿宋" w:cs="仿宋" w:hint="eastAsia"/>
          <w:sz w:val="32"/>
          <w:szCs w:val="32"/>
        </w:rPr>
        <w:t>按照省厅统一工作部署，建设完善“不见面”开标系统应用，推进在线解密投标文件，</w:t>
      </w:r>
      <w:r>
        <w:rPr>
          <w:rFonts w:ascii="仿宋" w:eastAsia="仿宋" w:hAnsi="仿宋" w:cs="仿宋" w:hint="eastAsia"/>
          <w:sz w:val="32"/>
          <w:szCs w:val="32"/>
        </w:rPr>
        <w:lastRenderedPageBreak/>
        <w:t>实现远程网上不见面开标全覆盖。探索推动电子营业执照在公共资源交易领域的应用。</w:t>
      </w:r>
    </w:p>
    <w:p w14:paraId="2682F94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09A20F42"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责任单位：区发改委、区公共资源交易中心</w:t>
      </w:r>
    </w:p>
    <w:p w14:paraId="2930111F"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5.推动政府采购项目远程异地评标常态化。</w:t>
      </w:r>
      <w:r>
        <w:rPr>
          <w:rFonts w:ascii="仿宋" w:eastAsia="仿宋" w:hAnsi="仿宋" w:cs="仿宋" w:hint="eastAsia"/>
          <w:sz w:val="32"/>
          <w:szCs w:val="32"/>
        </w:rPr>
        <w:t>按照省厅统一工作部署，在全省远程异地评标统一协调机制和调度系统及基础上，实现省市县三级评标专家、交易场所、交易系统等资源跨区联动。完善统一技术标准，研究制定远程异地评标评审系统软件技术规范，统一网络环境、专家签章设备、系统接口、音频设备及传输协议等技术标准。按照省远程异地评标场地设施标准，完善场地、设施设备，依托远程异地评标调度管理系统，实现评标场所统一调度、随机分配、科学利用。</w:t>
      </w:r>
    </w:p>
    <w:p w14:paraId="340DAA4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0B4B3639"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责任单位：区发改委、区公共资源交易中心</w:t>
      </w:r>
    </w:p>
    <w:p w14:paraId="5F6BF1E9"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6.推进政府采购项目交易进度可视化管理。</w:t>
      </w:r>
      <w:r>
        <w:rPr>
          <w:rFonts w:ascii="仿宋" w:eastAsia="仿宋" w:hAnsi="仿宋" w:cs="仿宋" w:hint="eastAsia"/>
          <w:sz w:val="32"/>
          <w:szCs w:val="32"/>
        </w:rPr>
        <w:t>按照省厅统一工作部署，优化和完善全流程各环节实现交易进度和流程时效可视化管理，市场主体在线获知政府采购项目交易环节进展、办理时限。针对项目的关键事件节点及周期，可提前启动提醒。</w:t>
      </w:r>
    </w:p>
    <w:p w14:paraId="4B2C633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00E81513" w14:textId="77777777" w:rsidR="00C97237" w:rsidRDefault="00000000">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责任单位：区公共资源交易中心</w:t>
      </w:r>
    </w:p>
    <w:p w14:paraId="627D1B52" w14:textId="77777777" w:rsidR="00C97237" w:rsidRDefault="00000000">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（五）强化采购人主体责任</w:t>
      </w:r>
    </w:p>
    <w:p w14:paraId="748DF313"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1.压实采购人政府采购的主体责任。</w:t>
      </w:r>
      <w:r>
        <w:rPr>
          <w:rFonts w:ascii="仿宋" w:eastAsia="仿宋" w:hAnsi="仿宋" w:cs="仿宋" w:hint="eastAsia"/>
          <w:sz w:val="32"/>
          <w:szCs w:val="32"/>
        </w:rPr>
        <w:t>明确采购人确定采</w:t>
      </w:r>
      <w:r>
        <w:rPr>
          <w:rFonts w:ascii="仿宋" w:eastAsia="仿宋" w:hAnsi="仿宋" w:cs="仿宋" w:hint="eastAsia"/>
          <w:sz w:val="32"/>
          <w:szCs w:val="32"/>
        </w:rPr>
        <w:lastRenderedPageBreak/>
        <w:t>购需求、公开采购信息、落实政府采购政策、合同管理及履约验收、资金支付等政府采购责任，对于采购人因落实主体责任不力而影响政府采购营商环境的，财政部门采取约谈、书面关注等方式督促整改。对情节严重或者拒不整改的，将有关线索移交纪检监察、审计部门处理。</w:t>
      </w:r>
    </w:p>
    <w:p w14:paraId="04B326DA"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67E631EA"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责任单位：区财政局、区直各部门</w:t>
      </w:r>
    </w:p>
    <w:p w14:paraId="0515CB1B"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2.推动采购人内控制度建设</w:t>
      </w:r>
      <w:r>
        <w:rPr>
          <w:rFonts w:ascii="仿宋" w:eastAsia="仿宋" w:hAnsi="仿宋" w:cs="仿宋" w:hint="eastAsia"/>
          <w:sz w:val="32"/>
          <w:szCs w:val="32"/>
        </w:rPr>
        <w:t>。研究制定《关于加强预算单位政府采购内部控制管理的指导意见》，推动采购人建立政府采购内部控制管理和风险管理，堵塞管理漏洞，规范政府采购活动，依法依规履行好采购人主体责任。</w:t>
      </w:r>
    </w:p>
    <w:p w14:paraId="301D904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7934692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责任单位：区财政局、区直各部门</w:t>
      </w:r>
    </w:p>
    <w:p w14:paraId="6AB2DEF2" w14:textId="77777777" w:rsidR="00C97237" w:rsidRDefault="00000000">
      <w:pPr>
        <w:spacing w:line="580" w:lineRule="exact"/>
        <w:ind w:firstLineChars="200" w:firstLine="643"/>
        <w:rPr>
          <w:rFonts w:ascii="仿宋" w:eastAsia="仿宋" w:hAnsi="仿宋" w:cs="仿宋"/>
          <w:spacing w:val="6"/>
          <w:sz w:val="32"/>
          <w:szCs w:val="32"/>
        </w:rPr>
      </w:pPr>
      <w:r>
        <w:rPr>
          <w:rFonts w:ascii="仿宋" w:eastAsia="仿宋" w:hAnsi="仿宋" w:cs="仿宋" w:hint="eastAsia"/>
          <w:b/>
          <w:sz w:val="32"/>
          <w:szCs w:val="32"/>
        </w:rPr>
        <w:t>3.</w:t>
      </w:r>
      <w:r>
        <w:rPr>
          <w:rFonts w:ascii="仿宋" w:eastAsia="仿宋" w:hAnsi="仿宋" w:cs="仿宋" w:hint="eastAsia"/>
          <w:b/>
          <w:spacing w:val="6"/>
          <w:sz w:val="32"/>
          <w:szCs w:val="32"/>
        </w:rPr>
        <w:t>加强采购项目实施监测预警监督。</w:t>
      </w:r>
      <w:r>
        <w:rPr>
          <w:rFonts w:ascii="仿宋" w:eastAsia="仿宋" w:hAnsi="仿宋" w:cs="仿宋" w:hint="eastAsia"/>
          <w:spacing w:val="6"/>
          <w:sz w:val="32"/>
          <w:szCs w:val="32"/>
        </w:rPr>
        <w:t>建立对采购人政府采购项目计划备案、信息公告、合同备案及公告、资金支付、履约验收等实施进度预警机制，加强采购人执行政府采购政策情况监督，通过短信提醒、发函关注等方式督促采购人落实采购主体责任，加快项目实施进度，缩短实施周期，提高采购效率。</w:t>
      </w:r>
    </w:p>
    <w:p w14:paraId="6B1FEBC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42A48FBA"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责任单位：区财政局、区直各部门</w:t>
      </w:r>
    </w:p>
    <w:p w14:paraId="3E2A9E06" w14:textId="77777777" w:rsidR="00C97237" w:rsidRDefault="00000000">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rPr>
        <w:t>（六）加强政府采购监管工作</w:t>
      </w:r>
    </w:p>
    <w:p w14:paraId="03FD22A7"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1.开展政府采购代理机构监督评价。</w:t>
      </w:r>
      <w:r>
        <w:rPr>
          <w:rFonts w:ascii="仿宋" w:eastAsia="仿宋" w:hAnsi="仿宋" w:cs="仿宋" w:hint="eastAsia"/>
          <w:sz w:val="32"/>
          <w:szCs w:val="32"/>
        </w:rPr>
        <w:t>开展采购代理机构监督评价工作，</w:t>
      </w:r>
      <w:r>
        <w:rPr>
          <w:rFonts w:ascii="仿宋" w:eastAsia="仿宋" w:hAnsi="仿宋" w:cs="仿宋" w:hint="eastAsia"/>
          <w:kern w:val="0"/>
          <w:sz w:val="32"/>
          <w:szCs w:val="32"/>
        </w:rPr>
        <w:t>推动政府采购代理机构专业化发展，进一步</w:t>
      </w:r>
      <w:r>
        <w:rPr>
          <w:rFonts w:ascii="仿宋" w:eastAsia="仿宋" w:hAnsi="仿宋" w:cs="仿宋" w:hint="eastAsia"/>
          <w:kern w:val="0"/>
          <w:sz w:val="32"/>
          <w:szCs w:val="32"/>
        </w:rPr>
        <w:lastRenderedPageBreak/>
        <w:t>优化政府采购营商环境，推进社会信用体系建设</w:t>
      </w:r>
      <w:r>
        <w:rPr>
          <w:rFonts w:ascii="仿宋" w:eastAsia="仿宋" w:hAnsi="仿宋" w:cs="仿宋" w:hint="eastAsia"/>
          <w:sz w:val="32"/>
          <w:szCs w:val="32"/>
        </w:rPr>
        <w:t>。</w:t>
      </w:r>
    </w:p>
    <w:p w14:paraId="2127054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71037AB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w:t>
      </w:r>
    </w:p>
    <w:p w14:paraId="2D87C893"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2.开展政府采购评审专家评价。</w:t>
      </w:r>
      <w:r>
        <w:rPr>
          <w:rFonts w:ascii="仿宋" w:eastAsia="仿宋" w:hAnsi="仿宋" w:cs="仿宋" w:hint="eastAsia"/>
          <w:sz w:val="32"/>
          <w:szCs w:val="32"/>
        </w:rPr>
        <w:t>加强评审专家监管，提升政府采购评审专家评审质量，更好发挥专家专业支撑作用。</w:t>
      </w:r>
    </w:p>
    <w:p w14:paraId="4D26804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时间节点：2022年6月</w:t>
      </w:r>
    </w:p>
    <w:p w14:paraId="5912F0B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责任单位：区财政局</w:t>
      </w:r>
    </w:p>
    <w:p w14:paraId="46A971AD" w14:textId="77777777" w:rsidR="00C97237" w:rsidRDefault="00000000">
      <w:pPr>
        <w:spacing w:line="580" w:lineRule="exact"/>
        <w:ind w:firstLineChars="200" w:firstLine="700"/>
        <w:rPr>
          <w:rFonts w:ascii="黑体" w:eastAsia="黑体" w:hAnsi="黑体" w:cs="黑体"/>
          <w:spacing w:val="15"/>
          <w:sz w:val="32"/>
          <w:szCs w:val="32"/>
        </w:rPr>
      </w:pPr>
      <w:r>
        <w:rPr>
          <w:rFonts w:ascii="黑体" w:eastAsia="黑体" w:hAnsi="黑体" w:cs="黑体" w:hint="eastAsia"/>
          <w:spacing w:val="15"/>
          <w:sz w:val="32"/>
          <w:szCs w:val="32"/>
        </w:rPr>
        <w:t>四、保障措施</w:t>
      </w:r>
    </w:p>
    <w:p w14:paraId="6D7AC17A"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bCs/>
          <w:sz w:val="32"/>
          <w:szCs w:val="32"/>
          <w:shd w:val="clear" w:color="auto" w:fill="FFFFFF"/>
        </w:rPr>
        <w:t>（一）加强组织领导。</w:t>
      </w:r>
      <w:r>
        <w:rPr>
          <w:rFonts w:ascii="仿宋" w:eastAsia="仿宋" w:hAnsi="仿宋" w:cs="仿宋" w:hint="eastAsia"/>
          <w:sz w:val="32"/>
          <w:szCs w:val="32"/>
          <w:shd w:val="clear" w:color="auto" w:fill="FFFFFF"/>
        </w:rPr>
        <w:t>各部门要高度重视优化营商环境工作，以整改为契机，</w:t>
      </w:r>
      <w:r>
        <w:rPr>
          <w:rFonts w:ascii="仿宋" w:eastAsia="仿宋" w:hAnsi="仿宋" w:cs="仿宋" w:hint="eastAsia"/>
          <w:sz w:val="32"/>
          <w:szCs w:val="32"/>
        </w:rPr>
        <w:t>以营商环境评价为抓手，以优化政府采购领域营商环境为目标，精准施策，提升市场主体对政府采购工作的满意率和获得感。</w:t>
      </w:r>
    </w:p>
    <w:p w14:paraId="195D580A" w14:textId="77777777" w:rsidR="00C97237" w:rsidRDefault="00000000">
      <w:pPr>
        <w:spacing w:line="580" w:lineRule="exact"/>
        <w:ind w:firstLineChars="200" w:firstLine="640"/>
        <w:rPr>
          <w:rFonts w:ascii="仿宋" w:eastAsia="仿宋" w:hAnsi="仿宋" w:cs="仿宋"/>
          <w:bCs/>
          <w:sz w:val="32"/>
          <w:szCs w:val="32"/>
        </w:rPr>
      </w:pPr>
      <w:r>
        <w:rPr>
          <w:rFonts w:ascii="仿宋" w:eastAsia="仿宋" w:hAnsi="仿宋" w:cs="仿宋" w:hint="eastAsia"/>
          <w:bCs/>
          <w:sz w:val="32"/>
          <w:szCs w:val="32"/>
          <w:shd w:val="clear" w:color="auto" w:fill="FFFFFF"/>
        </w:rPr>
        <w:t>（二）加强政策宣传。要加强政府采购扶持企业政策宣传和解读，做好加强政府采购法规制度普及，让企业了解政府采购，依法参与政府采购活动。要做好优化营商环境典型经验做法的宣介，通过新闻媒体宣传推广好经验好做法，推动全区政府采购领域营商环境取得更大改善。</w:t>
      </w:r>
    </w:p>
    <w:p w14:paraId="2D072EB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bCs/>
          <w:sz w:val="32"/>
          <w:szCs w:val="32"/>
        </w:rPr>
        <w:t>（三）组织业务培训。组织开展全区财政系统和采购人培训班，围绕政府采购领域营商环境</w:t>
      </w:r>
      <w:r>
        <w:rPr>
          <w:rFonts w:ascii="仿宋" w:eastAsia="仿宋" w:hAnsi="仿宋" w:cs="仿宋" w:hint="eastAsia"/>
          <w:sz w:val="32"/>
          <w:szCs w:val="32"/>
        </w:rPr>
        <w:t>提升，重点对深化政府采购制度改革、采购需求管理办法、支持中小企业办法、质疑投诉处理等内容进行培训讲解，以培促改，对政府采购环境提升再动员、再部署，努力培养一支专业化的政府采购队伍。</w:t>
      </w:r>
    </w:p>
    <w:p w14:paraId="07979CA4" w14:textId="77777777" w:rsidR="00C97237" w:rsidRDefault="00000000">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五、指标对比</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602"/>
        <w:gridCol w:w="1486"/>
        <w:gridCol w:w="1469"/>
        <w:gridCol w:w="1470"/>
        <w:gridCol w:w="1375"/>
      </w:tblGrid>
      <w:tr w:rsidR="00C97237" w14:paraId="2208A1A1" w14:textId="77777777">
        <w:trPr>
          <w:trHeight w:val="1085"/>
          <w:tblHeader/>
          <w:jc w:val="center"/>
        </w:trPr>
        <w:tc>
          <w:tcPr>
            <w:tcW w:w="1544" w:type="dxa"/>
            <w:vAlign w:val="center"/>
          </w:tcPr>
          <w:p w14:paraId="5E60EC9C"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指标（项目）</w:t>
            </w:r>
          </w:p>
        </w:tc>
        <w:tc>
          <w:tcPr>
            <w:tcW w:w="1602" w:type="dxa"/>
            <w:vAlign w:val="center"/>
          </w:tcPr>
          <w:p w14:paraId="4761FCE1"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现状水平</w:t>
            </w:r>
          </w:p>
        </w:tc>
        <w:tc>
          <w:tcPr>
            <w:tcW w:w="1486" w:type="dxa"/>
            <w:vAlign w:val="center"/>
          </w:tcPr>
          <w:p w14:paraId="152F2646"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w:t>
            </w:r>
          </w:p>
          <w:p w14:paraId="4CDBF96F"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6月目标</w:t>
            </w:r>
          </w:p>
        </w:tc>
        <w:tc>
          <w:tcPr>
            <w:tcW w:w="1469" w:type="dxa"/>
            <w:vAlign w:val="center"/>
          </w:tcPr>
          <w:p w14:paraId="2DFD0565"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w:t>
            </w:r>
          </w:p>
          <w:p w14:paraId="5EC4C703"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12月目标</w:t>
            </w:r>
          </w:p>
        </w:tc>
        <w:tc>
          <w:tcPr>
            <w:tcW w:w="1470" w:type="dxa"/>
            <w:vAlign w:val="center"/>
          </w:tcPr>
          <w:p w14:paraId="3E139754"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国内前沿</w:t>
            </w:r>
          </w:p>
          <w:p w14:paraId="10A1582C"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水平</w:t>
            </w:r>
          </w:p>
        </w:tc>
        <w:tc>
          <w:tcPr>
            <w:tcW w:w="1375" w:type="dxa"/>
            <w:vAlign w:val="center"/>
          </w:tcPr>
          <w:p w14:paraId="18C03D9E"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完成时限</w:t>
            </w:r>
          </w:p>
        </w:tc>
      </w:tr>
      <w:tr w:rsidR="00C97237" w14:paraId="0998BD69" w14:textId="77777777">
        <w:trPr>
          <w:trHeight w:val="2114"/>
          <w:jc w:val="center"/>
        </w:trPr>
        <w:tc>
          <w:tcPr>
            <w:tcW w:w="1544" w:type="dxa"/>
            <w:vAlign w:val="center"/>
          </w:tcPr>
          <w:p w14:paraId="402D5F0D" w14:textId="77777777" w:rsidR="00C97237" w:rsidRDefault="00000000">
            <w:pPr>
              <w:spacing w:line="580" w:lineRule="exact"/>
              <w:rPr>
                <w:rFonts w:ascii="仿宋" w:eastAsia="仿宋" w:hAnsi="仿宋" w:cs="仿宋"/>
                <w:sz w:val="24"/>
              </w:rPr>
            </w:pPr>
            <w:r>
              <w:rPr>
                <w:rFonts w:ascii="仿宋" w:eastAsia="仿宋" w:hAnsi="仿宋" w:cs="仿宋" w:hint="eastAsia"/>
                <w:sz w:val="24"/>
              </w:rPr>
              <w:t>网上商城“信用+承诺”入驻</w:t>
            </w:r>
          </w:p>
        </w:tc>
        <w:tc>
          <w:tcPr>
            <w:tcW w:w="1602" w:type="dxa"/>
            <w:vAlign w:val="center"/>
          </w:tcPr>
          <w:p w14:paraId="27A44D17" w14:textId="77777777" w:rsidR="00C97237" w:rsidRDefault="00000000">
            <w:pPr>
              <w:spacing w:line="580" w:lineRule="exact"/>
              <w:rPr>
                <w:rFonts w:ascii="仿宋" w:eastAsia="仿宋" w:hAnsi="仿宋" w:cs="仿宋"/>
                <w:sz w:val="24"/>
              </w:rPr>
            </w:pPr>
            <w:r>
              <w:rPr>
                <w:rFonts w:ascii="仿宋" w:eastAsia="仿宋" w:hAnsi="仿宋" w:cs="仿宋" w:hint="eastAsia"/>
                <w:sz w:val="24"/>
              </w:rPr>
              <w:t>目前实行承诺制，但供应商需提供社保、纳税等证明</w:t>
            </w:r>
          </w:p>
        </w:tc>
        <w:tc>
          <w:tcPr>
            <w:tcW w:w="1486" w:type="dxa"/>
            <w:vAlign w:val="center"/>
          </w:tcPr>
          <w:p w14:paraId="652E3D40" w14:textId="77777777" w:rsidR="00C97237" w:rsidRDefault="00000000">
            <w:pPr>
              <w:spacing w:line="580" w:lineRule="exact"/>
              <w:rPr>
                <w:rFonts w:ascii="仿宋" w:eastAsia="仿宋" w:hAnsi="仿宋" w:cs="仿宋"/>
                <w:sz w:val="24"/>
              </w:rPr>
            </w:pPr>
            <w:r>
              <w:rPr>
                <w:rFonts w:ascii="仿宋" w:eastAsia="仿宋" w:hAnsi="仿宋" w:cs="仿宋" w:hint="eastAsia"/>
                <w:sz w:val="24"/>
              </w:rPr>
              <w:t>完善网上商城建设和管理，改进供应商进驻模式，相关证明资料以承诺形式提交。</w:t>
            </w:r>
          </w:p>
        </w:tc>
        <w:tc>
          <w:tcPr>
            <w:tcW w:w="1469" w:type="dxa"/>
            <w:vAlign w:val="center"/>
          </w:tcPr>
          <w:p w14:paraId="39F0AE8C" w14:textId="77777777" w:rsidR="00C97237" w:rsidRDefault="00C97237">
            <w:pPr>
              <w:spacing w:line="580" w:lineRule="exact"/>
              <w:rPr>
                <w:rFonts w:ascii="仿宋" w:eastAsia="仿宋" w:hAnsi="仿宋" w:cs="仿宋"/>
                <w:sz w:val="24"/>
              </w:rPr>
            </w:pPr>
          </w:p>
        </w:tc>
        <w:tc>
          <w:tcPr>
            <w:tcW w:w="1470" w:type="dxa"/>
            <w:vAlign w:val="center"/>
          </w:tcPr>
          <w:p w14:paraId="6164F2B8" w14:textId="77777777" w:rsidR="00C97237" w:rsidRDefault="00000000">
            <w:pPr>
              <w:spacing w:line="580" w:lineRule="exact"/>
              <w:rPr>
                <w:rFonts w:ascii="仿宋" w:eastAsia="仿宋" w:hAnsi="仿宋" w:cs="仿宋"/>
                <w:sz w:val="24"/>
              </w:rPr>
            </w:pPr>
            <w:r>
              <w:rPr>
                <w:rFonts w:ascii="仿宋" w:eastAsia="仿宋" w:hAnsi="仿宋" w:cs="仿宋" w:hint="eastAsia"/>
                <w:sz w:val="24"/>
              </w:rPr>
              <w:t>北京市、广东省电子卖场实行“信用+承诺”入驻模式。</w:t>
            </w:r>
          </w:p>
        </w:tc>
        <w:tc>
          <w:tcPr>
            <w:tcW w:w="1375" w:type="dxa"/>
            <w:vAlign w:val="center"/>
          </w:tcPr>
          <w:p w14:paraId="78C07015"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2022年6月</w:t>
            </w:r>
          </w:p>
        </w:tc>
      </w:tr>
      <w:tr w:rsidR="00C97237" w14:paraId="3D614E4E" w14:textId="77777777">
        <w:trPr>
          <w:trHeight w:val="1864"/>
          <w:jc w:val="center"/>
        </w:trPr>
        <w:tc>
          <w:tcPr>
            <w:tcW w:w="1544" w:type="dxa"/>
            <w:vAlign w:val="center"/>
          </w:tcPr>
          <w:p w14:paraId="43A70849" w14:textId="77777777" w:rsidR="00C97237" w:rsidRDefault="00000000">
            <w:pPr>
              <w:spacing w:line="580" w:lineRule="exact"/>
              <w:rPr>
                <w:rFonts w:ascii="仿宋" w:eastAsia="仿宋" w:hAnsi="仿宋" w:cs="仿宋"/>
                <w:sz w:val="24"/>
              </w:rPr>
            </w:pPr>
            <w:r>
              <w:rPr>
                <w:rFonts w:ascii="仿宋" w:eastAsia="仿宋" w:hAnsi="仿宋" w:cs="仿宋" w:hint="eastAsia"/>
                <w:sz w:val="24"/>
              </w:rPr>
              <w:t>提高政府采购首付款比例</w:t>
            </w:r>
          </w:p>
        </w:tc>
        <w:tc>
          <w:tcPr>
            <w:tcW w:w="1602" w:type="dxa"/>
            <w:vAlign w:val="center"/>
          </w:tcPr>
          <w:p w14:paraId="79F5B9A0" w14:textId="77777777" w:rsidR="00C97237" w:rsidRDefault="00000000">
            <w:pPr>
              <w:spacing w:line="580" w:lineRule="exact"/>
              <w:rPr>
                <w:rFonts w:ascii="仿宋" w:eastAsia="仿宋" w:hAnsi="仿宋" w:cs="仿宋"/>
                <w:sz w:val="24"/>
              </w:rPr>
            </w:pPr>
            <w:r>
              <w:rPr>
                <w:rFonts w:ascii="仿宋" w:eastAsia="仿宋" w:hAnsi="仿宋" w:cs="仿宋" w:hint="eastAsia"/>
                <w:sz w:val="24"/>
              </w:rPr>
              <w:t>没有明确首付款比例，由采购人根据项目情况在合同中约定</w:t>
            </w:r>
          </w:p>
        </w:tc>
        <w:tc>
          <w:tcPr>
            <w:tcW w:w="1486" w:type="dxa"/>
            <w:vAlign w:val="center"/>
          </w:tcPr>
          <w:p w14:paraId="62DF188C" w14:textId="77777777" w:rsidR="00C97237" w:rsidRDefault="00000000">
            <w:pPr>
              <w:spacing w:line="580" w:lineRule="exact"/>
              <w:rPr>
                <w:rFonts w:ascii="仿宋" w:eastAsia="仿宋" w:hAnsi="仿宋" w:cs="仿宋"/>
                <w:sz w:val="24"/>
              </w:rPr>
            </w:pPr>
            <w:r>
              <w:rPr>
                <w:rFonts w:ascii="仿宋" w:eastAsia="仿宋" w:hAnsi="仿宋" w:cs="仿宋" w:hint="eastAsia"/>
                <w:sz w:val="24"/>
              </w:rPr>
              <w:t>首付款比例原则上不低于合同金额的50%；对于中小企业，原则上不低于70%。鼓励对于200万元以下的货物和服务项目采取一次性付款方</w:t>
            </w:r>
            <w:r>
              <w:rPr>
                <w:rFonts w:ascii="仿宋" w:eastAsia="仿宋" w:hAnsi="仿宋" w:cs="仿宋" w:hint="eastAsia"/>
                <w:sz w:val="24"/>
              </w:rPr>
              <w:lastRenderedPageBreak/>
              <w:t>式。</w:t>
            </w:r>
          </w:p>
        </w:tc>
        <w:tc>
          <w:tcPr>
            <w:tcW w:w="1469" w:type="dxa"/>
            <w:vAlign w:val="center"/>
          </w:tcPr>
          <w:p w14:paraId="23BDA294" w14:textId="77777777" w:rsidR="00C97237" w:rsidRDefault="00C97237">
            <w:pPr>
              <w:spacing w:line="580" w:lineRule="exact"/>
              <w:rPr>
                <w:rFonts w:ascii="仿宋" w:eastAsia="仿宋" w:hAnsi="仿宋" w:cs="仿宋"/>
                <w:sz w:val="24"/>
              </w:rPr>
            </w:pPr>
          </w:p>
        </w:tc>
        <w:tc>
          <w:tcPr>
            <w:tcW w:w="1470" w:type="dxa"/>
            <w:vAlign w:val="center"/>
          </w:tcPr>
          <w:p w14:paraId="3D12DAF0" w14:textId="77777777" w:rsidR="00C97237" w:rsidRDefault="00000000">
            <w:pPr>
              <w:spacing w:line="580" w:lineRule="exact"/>
              <w:rPr>
                <w:rFonts w:ascii="仿宋" w:eastAsia="仿宋" w:hAnsi="仿宋" w:cs="仿宋"/>
                <w:sz w:val="24"/>
              </w:rPr>
            </w:pPr>
            <w:r>
              <w:rPr>
                <w:rFonts w:ascii="仿宋" w:eastAsia="仿宋" w:hAnsi="仿宋" w:cs="仿宋" w:hint="eastAsia"/>
                <w:sz w:val="24"/>
              </w:rPr>
              <w:t>北京市规定首付款比例原则上不低于合同金额的30%；对于中小企业，原则上不低于50%。</w:t>
            </w:r>
          </w:p>
        </w:tc>
        <w:tc>
          <w:tcPr>
            <w:tcW w:w="1375" w:type="dxa"/>
            <w:vAlign w:val="center"/>
          </w:tcPr>
          <w:p w14:paraId="1765F47E"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2022年6月</w:t>
            </w:r>
          </w:p>
        </w:tc>
      </w:tr>
      <w:tr w:rsidR="00C97237" w14:paraId="27C96F0D" w14:textId="77777777">
        <w:trPr>
          <w:trHeight w:val="2256"/>
          <w:jc w:val="center"/>
        </w:trPr>
        <w:tc>
          <w:tcPr>
            <w:tcW w:w="1544" w:type="dxa"/>
            <w:vAlign w:val="center"/>
          </w:tcPr>
          <w:p w14:paraId="5905D994"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开辟政府采购网上商城特色场馆</w:t>
            </w:r>
          </w:p>
        </w:tc>
        <w:tc>
          <w:tcPr>
            <w:tcW w:w="1602" w:type="dxa"/>
            <w:vAlign w:val="center"/>
          </w:tcPr>
          <w:p w14:paraId="5078FB66"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网上商城功能较为单一，不利于定向推荐特色产品</w:t>
            </w:r>
          </w:p>
        </w:tc>
        <w:tc>
          <w:tcPr>
            <w:tcW w:w="1486" w:type="dxa"/>
            <w:vAlign w:val="center"/>
          </w:tcPr>
          <w:p w14:paraId="4C5162D4"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优化网上商城功能，建设有利中小企业便利参与的“网购”平台。</w:t>
            </w:r>
          </w:p>
        </w:tc>
        <w:tc>
          <w:tcPr>
            <w:tcW w:w="1469" w:type="dxa"/>
            <w:vAlign w:val="center"/>
          </w:tcPr>
          <w:p w14:paraId="694932A2" w14:textId="77777777" w:rsidR="00C97237" w:rsidRDefault="00C97237">
            <w:pPr>
              <w:spacing w:line="580" w:lineRule="exact"/>
              <w:jc w:val="center"/>
              <w:rPr>
                <w:rFonts w:ascii="仿宋" w:eastAsia="仿宋" w:hAnsi="仿宋" w:cs="仿宋"/>
                <w:sz w:val="24"/>
              </w:rPr>
            </w:pPr>
          </w:p>
        </w:tc>
        <w:tc>
          <w:tcPr>
            <w:tcW w:w="1470" w:type="dxa"/>
            <w:vAlign w:val="center"/>
          </w:tcPr>
          <w:p w14:paraId="382865F7"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浙江省、广东省网上商城建有地方特色场馆，为企业搭建展销平台。</w:t>
            </w:r>
          </w:p>
        </w:tc>
        <w:tc>
          <w:tcPr>
            <w:tcW w:w="1375" w:type="dxa"/>
            <w:vAlign w:val="center"/>
          </w:tcPr>
          <w:p w14:paraId="00DC8AE7"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2022年6月</w:t>
            </w:r>
          </w:p>
        </w:tc>
      </w:tr>
      <w:tr w:rsidR="00C97237" w14:paraId="19480359" w14:textId="77777777">
        <w:trPr>
          <w:trHeight w:val="1223"/>
          <w:jc w:val="center"/>
        </w:trPr>
        <w:tc>
          <w:tcPr>
            <w:tcW w:w="1544" w:type="dxa"/>
            <w:vAlign w:val="center"/>
          </w:tcPr>
          <w:p w14:paraId="75B602DD"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扩大“政采贷”融资规模</w:t>
            </w:r>
          </w:p>
        </w:tc>
        <w:tc>
          <w:tcPr>
            <w:tcW w:w="1602" w:type="dxa"/>
            <w:vAlign w:val="center"/>
          </w:tcPr>
          <w:p w14:paraId="6298C604"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2021年实现合同融资1150万元</w:t>
            </w:r>
          </w:p>
        </w:tc>
        <w:tc>
          <w:tcPr>
            <w:tcW w:w="1486" w:type="dxa"/>
            <w:vAlign w:val="center"/>
          </w:tcPr>
          <w:p w14:paraId="19F17513" w14:textId="77777777" w:rsidR="00C97237" w:rsidRDefault="00C97237">
            <w:pPr>
              <w:spacing w:line="580" w:lineRule="exact"/>
              <w:jc w:val="center"/>
              <w:rPr>
                <w:rFonts w:ascii="仿宋" w:eastAsia="仿宋" w:hAnsi="仿宋" w:cs="仿宋"/>
                <w:sz w:val="24"/>
              </w:rPr>
            </w:pPr>
          </w:p>
        </w:tc>
        <w:tc>
          <w:tcPr>
            <w:tcW w:w="1469" w:type="dxa"/>
            <w:vAlign w:val="center"/>
          </w:tcPr>
          <w:p w14:paraId="5F2529C6"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力争2022年增长50%以上</w:t>
            </w:r>
          </w:p>
        </w:tc>
        <w:tc>
          <w:tcPr>
            <w:tcW w:w="1470" w:type="dxa"/>
            <w:vAlign w:val="center"/>
          </w:tcPr>
          <w:p w14:paraId="2FC082E6" w14:textId="77777777" w:rsidR="00C97237" w:rsidRDefault="00C97237">
            <w:pPr>
              <w:spacing w:line="580" w:lineRule="exact"/>
              <w:jc w:val="center"/>
              <w:rPr>
                <w:rFonts w:ascii="仿宋" w:eastAsia="仿宋" w:hAnsi="仿宋" w:cs="仿宋"/>
                <w:sz w:val="24"/>
              </w:rPr>
            </w:pPr>
          </w:p>
        </w:tc>
        <w:tc>
          <w:tcPr>
            <w:tcW w:w="1375" w:type="dxa"/>
            <w:vAlign w:val="center"/>
          </w:tcPr>
          <w:p w14:paraId="076A6F99"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2022年12月</w:t>
            </w:r>
          </w:p>
        </w:tc>
      </w:tr>
      <w:tr w:rsidR="00C97237" w14:paraId="66C95743" w14:textId="77777777">
        <w:trPr>
          <w:trHeight w:val="2844"/>
          <w:jc w:val="center"/>
        </w:trPr>
        <w:tc>
          <w:tcPr>
            <w:tcW w:w="1544" w:type="dxa"/>
            <w:vAlign w:val="center"/>
          </w:tcPr>
          <w:p w14:paraId="7AB51ABC"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保护企业参与政府采购的知情权</w:t>
            </w:r>
          </w:p>
        </w:tc>
        <w:tc>
          <w:tcPr>
            <w:tcW w:w="1602" w:type="dxa"/>
            <w:vAlign w:val="center"/>
          </w:tcPr>
          <w:p w14:paraId="10CFA15A"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未中标企业对未中标原因信息获取不充分</w:t>
            </w:r>
          </w:p>
        </w:tc>
        <w:tc>
          <w:tcPr>
            <w:tcW w:w="1486" w:type="dxa"/>
            <w:vAlign w:val="center"/>
          </w:tcPr>
          <w:p w14:paraId="086DA156"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主动告知未中标企业未中标原因。</w:t>
            </w:r>
          </w:p>
        </w:tc>
        <w:tc>
          <w:tcPr>
            <w:tcW w:w="1469" w:type="dxa"/>
            <w:vAlign w:val="center"/>
          </w:tcPr>
          <w:p w14:paraId="70D31716" w14:textId="77777777" w:rsidR="00C97237" w:rsidRDefault="00C97237">
            <w:pPr>
              <w:spacing w:line="580" w:lineRule="exact"/>
              <w:jc w:val="center"/>
              <w:rPr>
                <w:rFonts w:ascii="仿宋" w:eastAsia="仿宋" w:hAnsi="仿宋" w:cs="仿宋"/>
                <w:sz w:val="24"/>
              </w:rPr>
            </w:pPr>
          </w:p>
        </w:tc>
        <w:tc>
          <w:tcPr>
            <w:tcW w:w="1470" w:type="dxa"/>
            <w:vAlign w:val="center"/>
          </w:tcPr>
          <w:p w14:paraId="6D29A5B2"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北京、广东明确对未中标供应商告知资格性审查、符合性审查、无效投标原因、评审得分及排序等。</w:t>
            </w:r>
          </w:p>
        </w:tc>
        <w:tc>
          <w:tcPr>
            <w:tcW w:w="1375" w:type="dxa"/>
            <w:vAlign w:val="center"/>
          </w:tcPr>
          <w:p w14:paraId="71C67D7F"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2022年6月</w:t>
            </w:r>
          </w:p>
        </w:tc>
      </w:tr>
      <w:tr w:rsidR="00C97237" w14:paraId="7EB60174" w14:textId="77777777">
        <w:trPr>
          <w:trHeight w:val="1855"/>
          <w:jc w:val="center"/>
        </w:trPr>
        <w:tc>
          <w:tcPr>
            <w:tcW w:w="1544" w:type="dxa"/>
            <w:vAlign w:val="center"/>
          </w:tcPr>
          <w:p w14:paraId="5525955B"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lastRenderedPageBreak/>
              <w:t>维护企业公平竞争</w:t>
            </w:r>
          </w:p>
        </w:tc>
        <w:tc>
          <w:tcPr>
            <w:tcW w:w="1602" w:type="dxa"/>
            <w:vAlign w:val="center"/>
          </w:tcPr>
          <w:p w14:paraId="1DDFB31B"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未能运用大数据+联合惩戒方式</w:t>
            </w:r>
          </w:p>
        </w:tc>
        <w:tc>
          <w:tcPr>
            <w:tcW w:w="1486" w:type="dxa"/>
            <w:vAlign w:val="center"/>
          </w:tcPr>
          <w:p w14:paraId="29E6CDA1"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运用大数据+联合惩戒方式，提升串通投标防范能力，促进公平竞争。</w:t>
            </w:r>
          </w:p>
        </w:tc>
        <w:tc>
          <w:tcPr>
            <w:tcW w:w="1469" w:type="dxa"/>
            <w:vAlign w:val="center"/>
          </w:tcPr>
          <w:p w14:paraId="166B6385" w14:textId="77777777" w:rsidR="00C97237" w:rsidRDefault="00C97237">
            <w:pPr>
              <w:spacing w:line="580" w:lineRule="exact"/>
              <w:jc w:val="center"/>
              <w:rPr>
                <w:rFonts w:ascii="仿宋" w:eastAsia="仿宋" w:hAnsi="仿宋" w:cs="仿宋"/>
                <w:sz w:val="24"/>
              </w:rPr>
            </w:pPr>
          </w:p>
        </w:tc>
        <w:tc>
          <w:tcPr>
            <w:tcW w:w="1470" w:type="dxa"/>
            <w:vAlign w:val="center"/>
          </w:tcPr>
          <w:p w14:paraId="30D5AA7A" w14:textId="77777777" w:rsidR="00C97237" w:rsidRDefault="00C97237">
            <w:pPr>
              <w:spacing w:line="580" w:lineRule="exact"/>
              <w:jc w:val="center"/>
              <w:rPr>
                <w:rFonts w:ascii="仿宋" w:eastAsia="仿宋" w:hAnsi="仿宋" w:cs="仿宋"/>
                <w:sz w:val="24"/>
              </w:rPr>
            </w:pPr>
          </w:p>
        </w:tc>
        <w:tc>
          <w:tcPr>
            <w:tcW w:w="1375" w:type="dxa"/>
            <w:vAlign w:val="center"/>
          </w:tcPr>
          <w:p w14:paraId="0FF9D6E6"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2022年12月</w:t>
            </w:r>
          </w:p>
        </w:tc>
      </w:tr>
      <w:tr w:rsidR="00C97237" w14:paraId="43BBF7FE" w14:textId="77777777">
        <w:trPr>
          <w:trHeight w:val="3130"/>
          <w:jc w:val="center"/>
        </w:trPr>
        <w:tc>
          <w:tcPr>
            <w:tcW w:w="1544" w:type="dxa"/>
            <w:vAlign w:val="center"/>
          </w:tcPr>
          <w:p w14:paraId="2762BF6B"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提升全流程电子化能力</w:t>
            </w:r>
          </w:p>
        </w:tc>
        <w:tc>
          <w:tcPr>
            <w:tcW w:w="1602" w:type="dxa"/>
            <w:vAlign w:val="center"/>
          </w:tcPr>
          <w:p w14:paraId="12564484"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电子化平台未实现与预算管理一体化平台对接。</w:t>
            </w:r>
          </w:p>
        </w:tc>
        <w:tc>
          <w:tcPr>
            <w:tcW w:w="1486" w:type="dxa"/>
            <w:vAlign w:val="center"/>
          </w:tcPr>
          <w:p w14:paraId="128F2ADD" w14:textId="77777777" w:rsidR="00C97237" w:rsidRDefault="00C97237">
            <w:pPr>
              <w:spacing w:line="580" w:lineRule="exact"/>
              <w:jc w:val="center"/>
              <w:rPr>
                <w:rFonts w:ascii="仿宋" w:eastAsia="仿宋" w:hAnsi="仿宋" w:cs="仿宋"/>
                <w:sz w:val="24"/>
              </w:rPr>
            </w:pPr>
          </w:p>
        </w:tc>
        <w:tc>
          <w:tcPr>
            <w:tcW w:w="1469" w:type="dxa"/>
            <w:vAlign w:val="center"/>
          </w:tcPr>
          <w:p w14:paraId="196C0886"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实现电子化政府采购平台与管理一体化平台、公共资源交易平台的全部对接</w:t>
            </w:r>
          </w:p>
        </w:tc>
        <w:tc>
          <w:tcPr>
            <w:tcW w:w="1470" w:type="dxa"/>
            <w:vAlign w:val="center"/>
          </w:tcPr>
          <w:p w14:paraId="608FC4E9" w14:textId="77777777" w:rsidR="00C97237" w:rsidRDefault="00C97237">
            <w:pPr>
              <w:spacing w:line="580" w:lineRule="exact"/>
              <w:jc w:val="center"/>
              <w:rPr>
                <w:rFonts w:ascii="仿宋" w:eastAsia="仿宋" w:hAnsi="仿宋" w:cs="仿宋"/>
                <w:sz w:val="24"/>
              </w:rPr>
            </w:pPr>
          </w:p>
        </w:tc>
        <w:tc>
          <w:tcPr>
            <w:tcW w:w="1375" w:type="dxa"/>
            <w:vAlign w:val="center"/>
          </w:tcPr>
          <w:p w14:paraId="0681FC62"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2022年12月</w:t>
            </w:r>
          </w:p>
        </w:tc>
      </w:tr>
      <w:tr w:rsidR="00C97237" w14:paraId="0B28E3DB" w14:textId="77777777">
        <w:trPr>
          <w:trHeight w:val="1478"/>
          <w:jc w:val="center"/>
        </w:trPr>
        <w:tc>
          <w:tcPr>
            <w:tcW w:w="1544" w:type="dxa"/>
            <w:vAlign w:val="center"/>
          </w:tcPr>
          <w:p w14:paraId="1D25B48D"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全面推行“不见面”开标</w:t>
            </w:r>
          </w:p>
        </w:tc>
        <w:tc>
          <w:tcPr>
            <w:tcW w:w="1602" w:type="dxa"/>
            <w:vAlign w:val="center"/>
          </w:tcPr>
          <w:p w14:paraId="4A8C4091"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已全部实现</w:t>
            </w:r>
          </w:p>
        </w:tc>
        <w:tc>
          <w:tcPr>
            <w:tcW w:w="1486" w:type="dxa"/>
            <w:vAlign w:val="center"/>
          </w:tcPr>
          <w:p w14:paraId="0195CF20" w14:textId="77777777" w:rsidR="00C97237" w:rsidRDefault="00C97237">
            <w:pPr>
              <w:spacing w:line="580" w:lineRule="exact"/>
              <w:jc w:val="center"/>
              <w:rPr>
                <w:rFonts w:ascii="仿宋" w:eastAsia="仿宋" w:hAnsi="仿宋" w:cs="仿宋"/>
                <w:sz w:val="24"/>
              </w:rPr>
            </w:pPr>
          </w:p>
        </w:tc>
        <w:tc>
          <w:tcPr>
            <w:tcW w:w="1469" w:type="dxa"/>
            <w:vAlign w:val="center"/>
          </w:tcPr>
          <w:p w14:paraId="6B37A6EF" w14:textId="77777777" w:rsidR="00C97237" w:rsidRDefault="00C97237">
            <w:pPr>
              <w:spacing w:line="580" w:lineRule="exact"/>
              <w:jc w:val="center"/>
              <w:rPr>
                <w:rFonts w:ascii="仿宋" w:eastAsia="仿宋" w:hAnsi="仿宋" w:cs="仿宋"/>
                <w:sz w:val="24"/>
              </w:rPr>
            </w:pPr>
          </w:p>
        </w:tc>
        <w:tc>
          <w:tcPr>
            <w:tcW w:w="1470" w:type="dxa"/>
            <w:vAlign w:val="center"/>
          </w:tcPr>
          <w:p w14:paraId="510C1463" w14:textId="77777777" w:rsidR="00C97237" w:rsidRDefault="00C97237">
            <w:pPr>
              <w:spacing w:line="580" w:lineRule="exact"/>
              <w:jc w:val="center"/>
              <w:rPr>
                <w:rFonts w:ascii="仿宋" w:eastAsia="仿宋" w:hAnsi="仿宋" w:cs="仿宋"/>
                <w:sz w:val="24"/>
              </w:rPr>
            </w:pPr>
          </w:p>
        </w:tc>
        <w:tc>
          <w:tcPr>
            <w:tcW w:w="1375" w:type="dxa"/>
            <w:vAlign w:val="center"/>
          </w:tcPr>
          <w:p w14:paraId="5776FF31"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2022年6月</w:t>
            </w:r>
          </w:p>
        </w:tc>
      </w:tr>
      <w:tr w:rsidR="00C97237" w14:paraId="79565A3F" w14:textId="77777777">
        <w:trPr>
          <w:trHeight w:val="2692"/>
          <w:jc w:val="center"/>
        </w:trPr>
        <w:tc>
          <w:tcPr>
            <w:tcW w:w="1544" w:type="dxa"/>
            <w:vAlign w:val="center"/>
          </w:tcPr>
          <w:p w14:paraId="3AB9EEFF"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实现远程异地评标常态化</w:t>
            </w:r>
          </w:p>
        </w:tc>
        <w:tc>
          <w:tcPr>
            <w:tcW w:w="1602" w:type="dxa"/>
            <w:vAlign w:val="center"/>
          </w:tcPr>
          <w:p w14:paraId="0A128D73"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没有全省统一规划、统一部署，各地建设标准不统一，远程异地</w:t>
            </w:r>
            <w:r>
              <w:rPr>
                <w:rFonts w:ascii="仿宋" w:eastAsia="仿宋" w:hAnsi="仿宋" w:cs="仿宋" w:hint="eastAsia"/>
                <w:sz w:val="24"/>
              </w:rPr>
              <w:lastRenderedPageBreak/>
              <w:t>评标项目覆盖面低。实施项目交易进度可视化。</w:t>
            </w:r>
          </w:p>
        </w:tc>
        <w:tc>
          <w:tcPr>
            <w:tcW w:w="1486" w:type="dxa"/>
            <w:vAlign w:val="center"/>
          </w:tcPr>
          <w:p w14:paraId="04C91BF8" w14:textId="77777777" w:rsidR="00C97237" w:rsidRDefault="00C97237">
            <w:pPr>
              <w:spacing w:line="580" w:lineRule="exact"/>
              <w:jc w:val="center"/>
              <w:rPr>
                <w:rFonts w:ascii="仿宋" w:eastAsia="仿宋" w:hAnsi="仿宋" w:cs="仿宋"/>
                <w:sz w:val="24"/>
              </w:rPr>
            </w:pPr>
          </w:p>
        </w:tc>
        <w:tc>
          <w:tcPr>
            <w:tcW w:w="1469" w:type="dxa"/>
            <w:vAlign w:val="center"/>
          </w:tcPr>
          <w:p w14:paraId="3242AC7F" w14:textId="77777777" w:rsidR="00C97237" w:rsidRDefault="00C97237">
            <w:pPr>
              <w:spacing w:line="580" w:lineRule="exact"/>
              <w:jc w:val="center"/>
              <w:rPr>
                <w:rFonts w:ascii="仿宋" w:eastAsia="仿宋" w:hAnsi="仿宋" w:cs="仿宋"/>
                <w:sz w:val="24"/>
              </w:rPr>
            </w:pPr>
          </w:p>
        </w:tc>
        <w:tc>
          <w:tcPr>
            <w:tcW w:w="1470" w:type="dxa"/>
            <w:vAlign w:val="center"/>
          </w:tcPr>
          <w:p w14:paraId="42E04ED7"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广东省、江苏省、山东省提出实现远程异地评标常态化。</w:t>
            </w:r>
          </w:p>
        </w:tc>
        <w:tc>
          <w:tcPr>
            <w:tcW w:w="1375" w:type="dxa"/>
            <w:vAlign w:val="center"/>
          </w:tcPr>
          <w:p w14:paraId="323D6B9E"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2022年12月</w:t>
            </w:r>
          </w:p>
        </w:tc>
      </w:tr>
      <w:tr w:rsidR="00C97237" w14:paraId="7DFC14C0" w14:textId="77777777">
        <w:trPr>
          <w:trHeight w:val="2587"/>
          <w:jc w:val="center"/>
        </w:trPr>
        <w:tc>
          <w:tcPr>
            <w:tcW w:w="1544" w:type="dxa"/>
            <w:vAlign w:val="center"/>
          </w:tcPr>
          <w:p w14:paraId="00D11887"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强化采购人主体责任</w:t>
            </w:r>
          </w:p>
        </w:tc>
        <w:tc>
          <w:tcPr>
            <w:tcW w:w="1602" w:type="dxa"/>
            <w:vAlign w:val="center"/>
          </w:tcPr>
          <w:p w14:paraId="70A6AD69"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采购人主体责任不强，内控制度建设不完善，在合同签订、履约验收、资金支付等方面存在管理不完善的问题</w:t>
            </w:r>
          </w:p>
        </w:tc>
        <w:tc>
          <w:tcPr>
            <w:tcW w:w="1486" w:type="dxa"/>
            <w:vAlign w:val="center"/>
          </w:tcPr>
          <w:p w14:paraId="45578217"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建立采购项目实施监测预警功能，监督采购人履行主体责任，加快项目实施进度。</w:t>
            </w:r>
          </w:p>
        </w:tc>
        <w:tc>
          <w:tcPr>
            <w:tcW w:w="1469" w:type="dxa"/>
            <w:vAlign w:val="center"/>
          </w:tcPr>
          <w:p w14:paraId="492695C8"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研究制定《关于加强预算单位政府采购内部控制管理的指导意见》，加强内部管理和风险防控。</w:t>
            </w:r>
          </w:p>
        </w:tc>
        <w:tc>
          <w:tcPr>
            <w:tcW w:w="1470" w:type="dxa"/>
            <w:vAlign w:val="center"/>
          </w:tcPr>
          <w:p w14:paraId="684CE2EF" w14:textId="77777777" w:rsidR="00C97237" w:rsidRDefault="00C97237">
            <w:pPr>
              <w:spacing w:line="580" w:lineRule="exact"/>
              <w:jc w:val="center"/>
              <w:rPr>
                <w:rFonts w:ascii="仿宋" w:eastAsia="仿宋" w:hAnsi="仿宋" w:cs="仿宋"/>
                <w:sz w:val="24"/>
              </w:rPr>
            </w:pPr>
          </w:p>
        </w:tc>
        <w:tc>
          <w:tcPr>
            <w:tcW w:w="1375" w:type="dxa"/>
            <w:vAlign w:val="center"/>
          </w:tcPr>
          <w:p w14:paraId="68AADD63" w14:textId="77777777" w:rsidR="00C97237" w:rsidRDefault="00C97237">
            <w:pPr>
              <w:spacing w:line="580" w:lineRule="exact"/>
              <w:jc w:val="center"/>
              <w:rPr>
                <w:rFonts w:ascii="仿宋" w:eastAsia="仿宋" w:hAnsi="仿宋" w:cs="仿宋"/>
                <w:sz w:val="24"/>
              </w:rPr>
            </w:pPr>
          </w:p>
        </w:tc>
      </w:tr>
      <w:tr w:rsidR="00C97237" w14:paraId="7CA05F9A" w14:textId="77777777">
        <w:trPr>
          <w:trHeight w:val="3256"/>
          <w:jc w:val="center"/>
        </w:trPr>
        <w:tc>
          <w:tcPr>
            <w:tcW w:w="1544" w:type="dxa"/>
            <w:vAlign w:val="center"/>
          </w:tcPr>
          <w:p w14:paraId="4AB4F845"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加强政府采购监管</w:t>
            </w:r>
          </w:p>
        </w:tc>
        <w:tc>
          <w:tcPr>
            <w:tcW w:w="1602" w:type="dxa"/>
            <w:vAlign w:val="center"/>
          </w:tcPr>
          <w:p w14:paraId="1BA545E9"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对代理机构和评审专家信用评价缺失</w:t>
            </w:r>
          </w:p>
        </w:tc>
        <w:tc>
          <w:tcPr>
            <w:tcW w:w="1486" w:type="dxa"/>
            <w:vAlign w:val="center"/>
          </w:tcPr>
          <w:p w14:paraId="2E77C321"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开展代理机构、评审专家评价活动。</w:t>
            </w:r>
          </w:p>
        </w:tc>
        <w:tc>
          <w:tcPr>
            <w:tcW w:w="1469" w:type="dxa"/>
            <w:vAlign w:val="center"/>
          </w:tcPr>
          <w:p w14:paraId="43858767" w14:textId="77777777" w:rsidR="00C97237" w:rsidRDefault="00C97237">
            <w:pPr>
              <w:spacing w:line="580" w:lineRule="exact"/>
              <w:jc w:val="center"/>
              <w:rPr>
                <w:rFonts w:ascii="仿宋" w:eastAsia="仿宋" w:hAnsi="仿宋" w:cs="仿宋"/>
                <w:sz w:val="24"/>
              </w:rPr>
            </w:pPr>
          </w:p>
        </w:tc>
        <w:tc>
          <w:tcPr>
            <w:tcW w:w="1470" w:type="dxa"/>
            <w:vAlign w:val="center"/>
          </w:tcPr>
          <w:p w14:paraId="74A86005"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t>杭州市出台代理机构评价办法、重庆市出台评审专家考核细则，组织开展信用评价，加强代</w:t>
            </w:r>
            <w:r>
              <w:rPr>
                <w:rFonts w:ascii="仿宋" w:eastAsia="仿宋" w:hAnsi="仿宋" w:cs="仿宋" w:hint="eastAsia"/>
                <w:sz w:val="24"/>
              </w:rPr>
              <w:lastRenderedPageBreak/>
              <w:t>理机构和评审专家管理。</w:t>
            </w:r>
          </w:p>
        </w:tc>
        <w:tc>
          <w:tcPr>
            <w:tcW w:w="1375" w:type="dxa"/>
            <w:vAlign w:val="center"/>
          </w:tcPr>
          <w:p w14:paraId="7A788557" w14:textId="77777777" w:rsidR="00C97237" w:rsidRDefault="00000000">
            <w:pPr>
              <w:spacing w:line="580" w:lineRule="exact"/>
              <w:jc w:val="center"/>
              <w:rPr>
                <w:rFonts w:ascii="仿宋" w:eastAsia="仿宋" w:hAnsi="仿宋" w:cs="仿宋"/>
                <w:sz w:val="24"/>
              </w:rPr>
            </w:pPr>
            <w:r>
              <w:rPr>
                <w:rFonts w:ascii="仿宋" w:eastAsia="仿宋" w:hAnsi="仿宋" w:cs="仿宋" w:hint="eastAsia"/>
                <w:sz w:val="24"/>
              </w:rPr>
              <w:lastRenderedPageBreak/>
              <w:t>2022年6月</w:t>
            </w:r>
          </w:p>
        </w:tc>
      </w:tr>
    </w:tbl>
    <w:p w14:paraId="2F8080AC" w14:textId="77777777" w:rsidR="00C97237" w:rsidRDefault="00C97237">
      <w:pPr>
        <w:spacing w:line="580" w:lineRule="exact"/>
        <w:rPr>
          <w:rFonts w:ascii="仿宋" w:eastAsia="仿宋" w:hAnsi="仿宋" w:cs="仿宋"/>
          <w:sz w:val="24"/>
        </w:rPr>
      </w:pPr>
    </w:p>
    <w:p w14:paraId="6FD50559" w14:textId="77777777" w:rsidR="00C97237" w:rsidRDefault="00C97237">
      <w:pPr>
        <w:widowControl/>
        <w:spacing w:line="580" w:lineRule="exact"/>
        <w:jc w:val="center"/>
        <w:rPr>
          <w:rFonts w:ascii="仿宋" w:eastAsia="仿宋" w:hAnsi="仿宋" w:cs="仿宋"/>
          <w:color w:val="000000"/>
          <w:kern w:val="0"/>
          <w:sz w:val="32"/>
          <w:szCs w:val="32"/>
          <w:lang w:bidi="ar"/>
        </w:rPr>
      </w:pPr>
    </w:p>
    <w:p w14:paraId="5A3B1061" w14:textId="77777777" w:rsidR="00C97237" w:rsidRDefault="00C97237">
      <w:pPr>
        <w:widowControl/>
        <w:spacing w:line="580" w:lineRule="exact"/>
        <w:jc w:val="left"/>
        <w:rPr>
          <w:rFonts w:ascii="黑体" w:eastAsia="黑体" w:hAnsi="黑体" w:cs="黑体"/>
          <w:color w:val="000000"/>
          <w:kern w:val="0"/>
          <w:sz w:val="44"/>
          <w:szCs w:val="44"/>
          <w:lang w:bidi="ar"/>
        </w:rPr>
      </w:pPr>
    </w:p>
    <w:p w14:paraId="26F04C8E" w14:textId="77777777" w:rsidR="00C97237" w:rsidRDefault="00C97237">
      <w:pPr>
        <w:widowControl/>
        <w:spacing w:line="580" w:lineRule="exact"/>
        <w:jc w:val="left"/>
        <w:rPr>
          <w:rFonts w:ascii="黑体" w:eastAsia="黑体" w:hAnsi="黑体" w:cs="黑体"/>
          <w:color w:val="000000"/>
          <w:kern w:val="0"/>
          <w:sz w:val="44"/>
          <w:szCs w:val="44"/>
          <w:lang w:bidi="ar"/>
        </w:rPr>
      </w:pPr>
    </w:p>
    <w:p w14:paraId="6BB5ABF7" w14:textId="77777777" w:rsidR="00C97237" w:rsidRDefault="00C97237">
      <w:pPr>
        <w:widowControl/>
        <w:spacing w:line="580" w:lineRule="exact"/>
        <w:jc w:val="left"/>
        <w:rPr>
          <w:rFonts w:ascii="黑体" w:eastAsia="黑体" w:hAnsi="黑体" w:cs="黑体"/>
          <w:color w:val="000000"/>
          <w:kern w:val="0"/>
          <w:sz w:val="44"/>
          <w:szCs w:val="44"/>
          <w:lang w:bidi="ar"/>
        </w:rPr>
      </w:pPr>
    </w:p>
    <w:p w14:paraId="33930E67" w14:textId="77777777" w:rsidR="00C97237" w:rsidRDefault="00C97237">
      <w:pPr>
        <w:widowControl/>
        <w:spacing w:line="580" w:lineRule="exact"/>
        <w:jc w:val="left"/>
        <w:rPr>
          <w:rFonts w:ascii="黑体" w:eastAsia="黑体" w:hAnsi="黑体" w:cs="黑体"/>
          <w:color w:val="000000"/>
          <w:kern w:val="0"/>
          <w:sz w:val="44"/>
          <w:szCs w:val="44"/>
          <w:lang w:bidi="ar"/>
        </w:rPr>
      </w:pPr>
    </w:p>
    <w:p w14:paraId="2B9C6002" w14:textId="77777777" w:rsidR="00C97237" w:rsidRDefault="00C97237">
      <w:pPr>
        <w:widowControl/>
        <w:spacing w:line="580" w:lineRule="exact"/>
        <w:jc w:val="left"/>
        <w:rPr>
          <w:rFonts w:ascii="黑体" w:eastAsia="黑体" w:hAnsi="黑体" w:cs="黑体"/>
          <w:color w:val="000000"/>
          <w:kern w:val="0"/>
          <w:sz w:val="44"/>
          <w:szCs w:val="44"/>
          <w:lang w:bidi="ar"/>
        </w:rPr>
      </w:pPr>
    </w:p>
    <w:p w14:paraId="291BF75B" w14:textId="77777777" w:rsidR="00C97237" w:rsidRDefault="00C97237">
      <w:pPr>
        <w:widowControl/>
        <w:spacing w:line="580" w:lineRule="exact"/>
        <w:jc w:val="left"/>
        <w:rPr>
          <w:rFonts w:ascii="黑体" w:eastAsia="黑体" w:hAnsi="黑体" w:cs="黑体"/>
          <w:color w:val="000000"/>
          <w:kern w:val="0"/>
          <w:sz w:val="44"/>
          <w:szCs w:val="44"/>
          <w:lang w:bidi="ar"/>
        </w:rPr>
      </w:pPr>
    </w:p>
    <w:p w14:paraId="30ED349A" w14:textId="77777777" w:rsidR="00C97237" w:rsidRDefault="00C97237">
      <w:pPr>
        <w:widowControl/>
        <w:spacing w:line="580" w:lineRule="exact"/>
        <w:jc w:val="left"/>
        <w:rPr>
          <w:rFonts w:ascii="黑体" w:eastAsia="黑体" w:hAnsi="黑体" w:cs="黑体"/>
          <w:color w:val="000000"/>
          <w:kern w:val="0"/>
          <w:sz w:val="44"/>
          <w:szCs w:val="44"/>
          <w:lang w:bidi="ar"/>
        </w:rPr>
      </w:pPr>
    </w:p>
    <w:p w14:paraId="1707C9EB" w14:textId="77777777" w:rsidR="00C97237" w:rsidRDefault="00C97237">
      <w:pPr>
        <w:widowControl/>
        <w:spacing w:line="580" w:lineRule="exact"/>
        <w:jc w:val="left"/>
        <w:rPr>
          <w:rFonts w:ascii="黑体" w:eastAsia="黑体" w:hAnsi="黑体" w:cs="黑体"/>
          <w:color w:val="000000"/>
          <w:kern w:val="0"/>
          <w:sz w:val="44"/>
          <w:szCs w:val="44"/>
          <w:lang w:bidi="ar"/>
        </w:rPr>
      </w:pPr>
    </w:p>
    <w:p w14:paraId="20DA0B46" w14:textId="77777777" w:rsidR="00C97237" w:rsidRDefault="00C97237">
      <w:pPr>
        <w:widowControl/>
        <w:spacing w:line="580" w:lineRule="exact"/>
        <w:jc w:val="left"/>
        <w:rPr>
          <w:rFonts w:ascii="黑体" w:eastAsia="黑体" w:hAnsi="黑体" w:cs="黑体"/>
          <w:color w:val="000000"/>
          <w:kern w:val="0"/>
          <w:sz w:val="44"/>
          <w:szCs w:val="44"/>
          <w:lang w:bidi="ar"/>
        </w:rPr>
      </w:pPr>
    </w:p>
    <w:p w14:paraId="67EF3A2B" w14:textId="77777777" w:rsidR="00C97237" w:rsidRDefault="00C97237">
      <w:pPr>
        <w:widowControl/>
        <w:spacing w:line="580" w:lineRule="exact"/>
        <w:jc w:val="left"/>
        <w:rPr>
          <w:rFonts w:ascii="黑体" w:eastAsia="黑体" w:hAnsi="黑体" w:cs="黑体"/>
          <w:color w:val="000000"/>
          <w:kern w:val="0"/>
          <w:sz w:val="44"/>
          <w:szCs w:val="44"/>
          <w:lang w:bidi="ar"/>
        </w:rPr>
      </w:pPr>
    </w:p>
    <w:p w14:paraId="5F97773C" w14:textId="77777777" w:rsidR="00C97237" w:rsidRDefault="00C97237">
      <w:pPr>
        <w:widowControl/>
        <w:spacing w:line="580" w:lineRule="exact"/>
        <w:jc w:val="left"/>
        <w:rPr>
          <w:rFonts w:ascii="黑体" w:eastAsia="黑体" w:hAnsi="黑体" w:cs="黑体"/>
          <w:color w:val="000000"/>
          <w:kern w:val="0"/>
          <w:sz w:val="44"/>
          <w:szCs w:val="44"/>
          <w:lang w:bidi="ar"/>
        </w:rPr>
      </w:pPr>
    </w:p>
    <w:p w14:paraId="50C61D0D" w14:textId="77777777" w:rsidR="00C97237" w:rsidRDefault="00C97237">
      <w:pPr>
        <w:widowControl/>
        <w:spacing w:line="580" w:lineRule="exact"/>
        <w:jc w:val="left"/>
        <w:rPr>
          <w:rFonts w:ascii="黑体" w:eastAsia="黑体" w:hAnsi="黑体" w:cs="黑体"/>
          <w:color w:val="000000"/>
          <w:kern w:val="0"/>
          <w:sz w:val="44"/>
          <w:szCs w:val="44"/>
          <w:lang w:bidi="ar"/>
        </w:rPr>
      </w:pPr>
    </w:p>
    <w:p w14:paraId="5B5556E9" w14:textId="77777777" w:rsidR="00C97237" w:rsidRDefault="00C97237">
      <w:pPr>
        <w:widowControl/>
        <w:spacing w:line="580" w:lineRule="exact"/>
        <w:jc w:val="left"/>
        <w:rPr>
          <w:rFonts w:ascii="黑体" w:eastAsia="黑体" w:hAnsi="黑体" w:cs="黑体"/>
          <w:color w:val="000000"/>
          <w:kern w:val="0"/>
          <w:sz w:val="44"/>
          <w:szCs w:val="44"/>
          <w:lang w:bidi="ar"/>
        </w:rPr>
      </w:pPr>
    </w:p>
    <w:p w14:paraId="73F404A7" w14:textId="77777777" w:rsidR="00C97237" w:rsidRDefault="00C97237">
      <w:pPr>
        <w:widowControl/>
        <w:spacing w:line="580" w:lineRule="exact"/>
        <w:jc w:val="left"/>
        <w:rPr>
          <w:rFonts w:ascii="黑体" w:eastAsia="黑体" w:hAnsi="黑体" w:cs="黑体"/>
          <w:color w:val="000000"/>
          <w:kern w:val="0"/>
          <w:sz w:val="44"/>
          <w:szCs w:val="44"/>
          <w:lang w:bidi="ar"/>
        </w:rPr>
      </w:pPr>
    </w:p>
    <w:p w14:paraId="73637CF7" w14:textId="77777777" w:rsidR="00C97237" w:rsidRDefault="00000000">
      <w:pPr>
        <w:widowControl/>
        <w:spacing w:line="580" w:lineRule="exact"/>
        <w:jc w:val="left"/>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附件15</w:t>
      </w:r>
    </w:p>
    <w:p w14:paraId="4ABE0B23"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黑体" w:eastAsia="黑体" w:hAnsi="黑体" w:cs="黑体" w:hint="eastAsia"/>
          <w:color w:val="000000"/>
          <w:kern w:val="0"/>
          <w:sz w:val="44"/>
          <w:szCs w:val="44"/>
          <w:lang w:bidi="ar"/>
        </w:rPr>
        <w:t>偃师区招标投标提升专项行动方案</w:t>
      </w:r>
    </w:p>
    <w:p w14:paraId="77BE1DD8" w14:textId="77777777" w:rsidR="00C97237" w:rsidRDefault="00C97237">
      <w:pPr>
        <w:widowControl/>
        <w:spacing w:line="580" w:lineRule="exact"/>
        <w:jc w:val="center"/>
        <w:rPr>
          <w:rFonts w:ascii="仿宋" w:eastAsia="仿宋" w:hAnsi="仿宋" w:cs="仿宋"/>
          <w:color w:val="000000"/>
          <w:kern w:val="0"/>
          <w:sz w:val="32"/>
          <w:szCs w:val="32"/>
          <w:lang w:bidi="ar"/>
        </w:rPr>
      </w:pPr>
    </w:p>
    <w:p w14:paraId="538BE965"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为进一步优化我区招标投标领域营商环境，推动我区招投标活动便利度进入国内一流行列，根据《河南省人民政府办公厅关于明确优化营商环境工作责任进一步推动优化营商环境政策升级的通知》《河南省招标投标提升专项行动方案》要求，制定以下工作方案。</w:t>
      </w:r>
    </w:p>
    <w:p w14:paraId="3985A055"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一、总体要求</w:t>
      </w:r>
    </w:p>
    <w:p w14:paraId="5664B225"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坚持以习近平新时代中国特色社会主义思想为引领，全面贯彻党的十九大和十九届二中、三中、四中、五中、六中全会精神，按照省委十一届党代会精神，对标国内先进水平，吸纳先进经验，以全面提升电子化交易水平、打造公平竞争交易环境、强化招标投标监管为抓手，强化改革创新，大力开展招标投标指标优化提升，推动营商环境评价招标投标指标进入全国先进行列，努力打造一流的招标投标营商环境。</w:t>
      </w:r>
    </w:p>
    <w:p w14:paraId="70132A67"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二、工作目标</w:t>
      </w:r>
    </w:p>
    <w:p w14:paraId="2A4EA004"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对标国内一流水平，在巩固前期成果的基础上，建立健全招标投标领域优化营商环境长效机制。2022年6月，实现全区公共资源交易流程规则统一和交易信息全公开，交易环境更加公平公正。2022年12月，实现市场主体“一处注册、全省通用”、远程异地评标常态化、公共资源交易在线监管全覆盖，服务和监管成效明显提升。</w:t>
      </w:r>
    </w:p>
    <w:p w14:paraId="255D70D4"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三、主要措施</w:t>
      </w:r>
    </w:p>
    <w:p w14:paraId="0CBE3169"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lastRenderedPageBreak/>
        <w:t>（一）全面提升电子化交易水平</w:t>
      </w:r>
    </w:p>
    <w:p w14:paraId="777A4C0D"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1.全面推行交易不见面服务。</w:t>
      </w:r>
      <w:r>
        <w:rPr>
          <w:rFonts w:ascii="仿宋" w:eastAsia="仿宋" w:hAnsi="仿宋" w:cs="仿宋" w:hint="eastAsia"/>
          <w:color w:val="000000"/>
          <w:kern w:val="0"/>
          <w:sz w:val="32"/>
          <w:szCs w:val="32"/>
          <w:lang w:bidi="ar"/>
        </w:rPr>
        <w:t>全力推进公共资源全流程电子化交易，建设完善“不见面”开标系统应用，推进在线解密投标文件，实现远程网上不见面开标全覆盖。继续优化公共资源交易平台，完善在线备案、远程异地评标、合同签订、异议答复和投诉处理等薄弱环节的电子化功能，提升公共资源交易全流程网上办理服务能力。</w:t>
      </w:r>
    </w:p>
    <w:p w14:paraId="29C496CB"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时间节点：2022年6月</w:t>
      </w:r>
    </w:p>
    <w:p w14:paraId="75D9BE30"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责任单位：区公共资源交易中心</w:t>
      </w:r>
    </w:p>
    <w:p w14:paraId="3D622C7A"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2.推行远程异地评标常态化。</w:t>
      </w:r>
      <w:r>
        <w:rPr>
          <w:rFonts w:ascii="仿宋" w:eastAsia="仿宋" w:hAnsi="仿宋" w:cs="仿宋" w:hint="eastAsia"/>
          <w:color w:val="000000"/>
          <w:kern w:val="0"/>
          <w:sz w:val="32"/>
          <w:szCs w:val="32"/>
          <w:lang w:bidi="ar"/>
        </w:rPr>
        <w:t>各行业部门进一步明确采用远程异地评标的项目范围，加大本行业项目采用远程异地评标工作力度。制定公共资源交易中心远程异地评标工作制度，按照省远程异地评标场地设施标准，完善场地、设施设备，积极推进公共资源交易平台与省远程异地评标协调管理系统对接。积极与本省专家资源较多的郑州、新乡等地市以及省外城市沟通合作，拓宽远程异地评标合作伙伴，争取省内合作地区3至5个，省外合作地区1至2个。</w:t>
      </w:r>
    </w:p>
    <w:p w14:paraId="7A5113AB"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时间节点：2022年12月</w:t>
      </w:r>
    </w:p>
    <w:p w14:paraId="136C6EAD"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责任单位：区发展改革委、区住建局、区交通运输局、区水</w:t>
      </w:r>
    </w:p>
    <w:p w14:paraId="41DE9786"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利局、区城市管理局、区公共资源交易中心等按职责分工落实</w:t>
      </w:r>
    </w:p>
    <w:p w14:paraId="1367BDC2"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3.配合建立全省统一的市场主体信息库。</w:t>
      </w:r>
      <w:r>
        <w:rPr>
          <w:rFonts w:ascii="仿宋" w:eastAsia="仿宋" w:hAnsi="仿宋" w:cs="仿宋" w:hint="eastAsia"/>
          <w:color w:val="000000"/>
          <w:kern w:val="0"/>
          <w:sz w:val="32"/>
          <w:szCs w:val="32"/>
          <w:lang w:bidi="ar"/>
        </w:rPr>
        <w:t>按照全省统一安排，完善市场主体信息共享机制，统一市场主体注册信息标准，精简注册信息种类，能够通过部门信息共享、网络核</w:t>
      </w:r>
      <w:r>
        <w:rPr>
          <w:rFonts w:ascii="仿宋" w:eastAsia="仿宋" w:hAnsi="仿宋" w:cs="仿宋" w:hint="eastAsia"/>
          <w:color w:val="000000"/>
          <w:kern w:val="0"/>
          <w:sz w:val="32"/>
          <w:szCs w:val="32"/>
          <w:lang w:bidi="ar"/>
        </w:rPr>
        <w:lastRenderedPageBreak/>
        <w:t>验的材料，不得要求市场主体再次提供，取消注册信息审核确认环节，实现市场主体信息“一处注册、全省通用”。探索推动电子营业执照在公共资源交易领域应用。</w:t>
      </w:r>
    </w:p>
    <w:p w14:paraId="0DE7794C"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 年 12 月</w:t>
      </w:r>
    </w:p>
    <w:p w14:paraId="04250678"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责任单位：区公共资源交易中心</w:t>
      </w:r>
    </w:p>
    <w:p w14:paraId="1B75E35E"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4.推进大数据分析应用。</w:t>
      </w:r>
      <w:r>
        <w:rPr>
          <w:rFonts w:ascii="仿宋" w:eastAsia="仿宋" w:hAnsi="仿宋" w:cs="仿宋" w:hint="eastAsia"/>
          <w:color w:val="000000"/>
          <w:kern w:val="0"/>
          <w:sz w:val="32"/>
          <w:szCs w:val="32"/>
          <w:lang w:bidi="ar"/>
        </w:rPr>
        <w:t>建设智慧监测分析系统，完善招投标大数据分析和智能监测能力。利用大数据分析公共资源交易状况，提升公共资源交易数据资源价值，在政府决策、公共服务、市场监管等方面为各部门、各行业提供数据服务。对招标文件、投标文件进行全面性分析，自动预警提示。对评标时间、评委评分进行分析，提示评标专家滥用评标自由裁量权和主观判断风险。对招投标项目的主体关系、投标人投标报价雷同性、得分差异度、投标频度等不同维度进行大数据、智能化比对分析，从源头监测串投标数据痕迹，分析预警投标人围标、串标的可能。</w:t>
      </w:r>
    </w:p>
    <w:p w14:paraId="14A0425A"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 年 12 月</w:t>
      </w:r>
    </w:p>
    <w:p w14:paraId="631E28D2"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责任单位：区发展改革委、区公共资源交易中心</w:t>
      </w:r>
    </w:p>
    <w:p w14:paraId="1710EDFD"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（二）打造公平竞争交易环境</w:t>
      </w:r>
    </w:p>
    <w:p w14:paraId="7F86B363"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1.加大信息公开落实力度。</w:t>
      </w:r>
      <w:r>
        <w:rPr>
          <w:rFonts w:ascii="仿宋" w:eastAsia="仿宋" w:hAnsi="仿宋" w:cs="仿宋" w:hint="eastAsia"/>
          <w:color w:val="000000"/>
          <w:kern w:val="0"/>
          <w:sz w:val="32"/>
          <w:szCs w:val="32"/>
          <w:lang w:bidi="ar"/>
        </w:rPr>
        <w:t>推进全流程各环节实现交易进度和流程时效可视化管理，市场主体在线获知交易项目进展、交易环节和办理时限；针对项目中的关键时间节点及周期，可提前启动提醒。严格落实工程建设项目招标投标信息公开，推进从项目审批核准信息到合同订立信息全过程公开，鼓励合同当事人及时公开合同履行及变更信息。推进在</w:t>
      </w:r>
      <w:r>
        <w:rPr>
          <w:rFonts w:ascii="仿宋" w:eastAsia="仿宋" w:hAnsi="仿宋" w:cs="仿宋" w:hint="eastAsia"/>
          <w:color w:val="000000"/>
          <w:kern w:val="0"/>
          <w:sz w:val="32"/>
          <w:szCs w:val="32"/>
          <w:lang w:bidi="ar"/>
        </w:rPr>
        <w:lastRenderedPageBreak/>
        <w:t>中标候选人公示阶段公布评标委员会成员评分，但评标委员会成员名单应当保密。试点增加招标计划发布环节，鼓励依法必须进行招标的项目在公共资源交易平台或其他公共媒介向社会提前发布招标计划。</w:t>
      </w:r>
    </w:p>
    <w:p w14:paraId="6D9CCACF"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 年 12 月</w:t>
      </w:r>
    </w:p>
    <w:p w14:paraId="331D4C21"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责任单位：区发展改革委、区住建局、区交通运输局、区水</w:t>
      </w:r>
    </w:p>
    <w:p w14:paraId="05FE5B3E"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利局、区城市管理局、区公共资源交易中心等按职责分工落实</w:t>
      </w:r>
    </w:p>
    <w:p w14:paraId="09FF176B"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2.制定统一规范的运行服务规则。</w:t>
      </w:r>
      <w:r>
        <w:rPr>
          <w:rFonts w:ascii="仿宋" w:eastAsia="仿宋" w:hAnsi="仿宋" w:cs="仿宋" w:hint="eastAsia"/>
          <w:color w:val="000000"/>
          <w:kern w:val="0"/>
          <w:sz w:val="32"/>
          <w:szCs w:val="32"/>
          <w:lang w:bidi="ar"/>
        </w:rPr>
        <w:t>全面落实《河南省公共资源交易平台运行服务规则》，统一交易流程，不断加强日常服务行为规范，保障平台服务依规推进，促进全市公共资源交易服务标准化、规范化水平得到显著提升。建立市场主体意见建议征集机制，在公共资源交易平台开通意见建议征集栏目，广泛听取各方面意见建议，不断改进管理、提升服务。</w:t>
      </w:r>
    </w:p>
    <w:p w14:paraId="1A3218B3"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 年 6 月</w:t>
      </w:r>
    </w:p>
    <w:p w14:paraId="0EEA40AE"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责任单位：区公共资源交易中心</w:t>
      </w:r>
    </w:p>
    <w:p w14:paraId="4BC008C9"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3.推广非现金保证金交纳方式</w:t>
      </w:r>
      <w:r>
        <w:rPr>
          <w:rFonts w:ascii="仿宋" w:eastAsia="仿宋" w:hAnsi="仿宋" w:cs="仿宋" w:hint="eastAsia"/>
          <w:color w:val="000000"/>
          <w:kern w:val="0"/>
          <w:sz w:val="32"/>
          <w:szCs w:val="32"/>
          <w:lang w:bidi="ar"/>
        </w:rPr>
        <w:t>。一是深入推进投标保证金制度改革。鼓励招标人根据投标人信用评级、红榜名单等信用情况进行保证金减免优惠，鼓励招标人接收银行保函、保险保单以及担保保函等替代保证金。鼓励招标人对简单小额项目不要求提供投标担保，对中小企业投标人免除投标担保。进一步完善市场主体的信用管理，通过扩大信用承诺制应用范围，鼓励招标人逐步减免取消投标保证金等。二是进</w:t>
      </w:r>
      <w:r>
        <w:rPr>
          <w:rFonts w:ascii="仿宋" w:eastAsia="仿宋" w:hAnsi="仿宋" w:cs="仿宋" w:hint="eastAsia"/>
          <w:color w:val="000000"/>
          <w:kern w:val="0"/>
          <w:sz w:val="32"/>
          <w:szCs w:val="32"/>
          <w:lang w:bidi="ar"/>
        </w:rPr>
        <w:lastRenderedPageBreak/>
        <w:t>一步丰富交易平台金融服务功能。面向商业银行、保险公司、担保机构开放保证金系统，为企业提供多样化的电子保函服务。优化办事流程，实现电子保函交纳保证金服务在线提交、在线查核。加强与金融机构合作，开发“履约担保、中标贷”等其他金融业务。</w:t>
      </w:r>
    </w:p>
    <w:p w14:paraId="211DDBFE"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 年 12 月</w:t>
      </w:r>
    </w:p>
    <w:p w14:paraId="118D5201"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责任单位：区发展改革委、区住建局、区交通运输局、区水</w:t>
      </w:r>
    </w:p>
    <w:p w14:paraId="758FA2B6"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利局、区城市管理局、区公共资源交易中心等按职责分工落实</w:t>
      </w:r>
    </w:p>
    <w:p w14:paraId="226222B8"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4.严格交易平台技术中立。</w:t>
      </w:r>
      <w:r>
        <w:rPr>
          <w:rFonts w:ascii="仿宋" w:eastAsia="仿宋" w:hAnsi="仿宋" w:cs="仿宋" w:hint="eastAsia"/>
          <w:color w:val="000000"/>
          <w:kern w:val="0"/>
          <w:sz w:val="32"/>
          <w:szCs w:val="32"/>
          <w:lang w:bidi="ar"/>
        </w:rPr>
        <w:t>公共资源交易平台接口要严格保持技术中立，与各类需要分离开发的工具软件相兼容，不得限制或者排斥符合技术规范规定的工具软件与其对接。针对市场主体反映的问题，持续性跟进解决，消除通过技术障碍设置的隐形壁垒，营造公平公正的公共资源交易市场竞争环境。按照《河南省公共资源交易领域信息系统网络安全管理办法》要求加强交易信息安全和数据共享管理。</w:t>
      </w:r>
    </w:p>
    <w:p w14:paraId="29DAB766"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 年 12 月</w:t>
      </w:r>
    </w:p>
    <w:p w14:paraId="46BA93A1"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责任单位：区公共资源交易中心</w:t>
      </w:r>
    </w:p>
    <w:p w14:paraId="7EBE5D94"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（三）强化招标投标监管</w:t>
      </w:r>
    </w:p>
    <w:p w14:paraId="6818EBA7"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1.建立健全招标投标协同监管机制。</w:t>
      </w:r>
      <w:r>
        <w:rPr>
          <w:rFonts w:ascii="仿宋" w:eastAsia="仿宋" w:hAnsi="仿宋" w:cs="仿宋" w:hint="eastAsia"/>
          <w:color w:val="000000"/>
          <w:kern w:val="0"/>
          <w:sz w:val="32"/>
          <w:szCs w:val="32"/>
          <w:lang w:bidi="ar"/>
        </w:rPr>
        <w:t>依据省《关于构建更加完善的公共资源交易监管体制机制的意见》，进一步明确重点行业公共资源交易监管权责清单，加强行业监管部门和综合监管部门的协调配合。完善招标投标行政监督部门与纪检监察机关、公安机关等执法协作机制，依法严厉打击围</w:t>
      </w:r>
      <w:r>
        <w:rPr>
          <w:rFonts w:ascii="仿宋" w:eastAsia="仿宋" w:hAnsi="仿宋" w:cs="仿宋" w:hint="eastAsia"/>
          <w:color w:val="000000"/>
          <w:kern w:val="0"/>
          <w:sz w:val="32"/>
          <w:szCs w:val="32"/>
          <w:lang w:bidi="ar"/>
        </w:rPr>
        <w:lastRenderedPageBreak/>
        <w:t>标、串标、挂靠、恶意投诉等干扰招标投标市场秩序的违法违规行为。各行业行政监督部门进一步建立健全在线监管工作机制，切实用好河南省公共资源交易在线监管平台，做好全过程监管。推进以信用为基础的新型监管机制，强化信用评价结果运用。</w:t>
      </w:r>
    </w:p>
    <w:p w14:paraId="1F154D4C"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 年 12 月</w:t>
      </w:r>
    </w:p>
    <w:p w14:paraId="0F43181B"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责任单位：区发展改革委、区住建局、区交通运输局、区水</w:t>
      </w:r>
    </w:p>
    <w:p w14:paraId="1C007FD4"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利局、区城市管理局、区公共资源交易中心等按职责分工落实</w:t>
      </w:r>
    </w:p>
    <w:p w14:paraId="5A34AE72"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2.推行“双随机一公开”监管模式。</w:t>
      </w:r>
      <w:r>
        <w:rPr>
          <w:rFonts w:ascii="仿宋" w:eastAsia="仿宋" w:hAnsi="仿宋" w:cs="仿宋" w:hint="eastAsia"/>
          <w:color w:val="000000"/>
          <w:kern w:val="0"/>
          <w:sz w:val="32"/>
          <w:szCs w:val="32"/>
          <w:lang w:bidi="ar"/>
        </w:rPr>
        <w:t>充分运用大数据技术，加强招标投标事中事后监管，建立健全本行业招标投标“双随机、一公开”监管制度，明确抽查事项清单，抽查对象、比例、频次等内容。对问题易发多发环节以及发生过违法违规行为的市场主体，可采取增加抽查频次、开展专项检查等方式进行重点监管。抽查检查结果通过有关行政监督部门网站及时向社会公开，接受社会监督，并同步共享至公共资源交易公共服务平台、招标投标公共服务平台等。建立完善代理机构负面行为清单管理制度和服务能力评价机制，提升代理机构专业化水平，规范招标代理行为，净化招标代理市场。</w:t>
      </w:r>
    </w:p>
    <w:p w14:paraId="321541BA"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74874F23"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责任单位：区发展改革委、区住建局、区交通运输局、区水</w:t>
      </w:r>
    </w:p>
    <w:p w14:paraId="05F3F85D"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利局、区城市管理局、区公共资源交易中心等按职责分工落实</w:t>
      </w:r>
    </w:p>
    <w:p w14:paraId="7B8BCAFE"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lastRenderedPageBreak/>
        <w:t>3.强化评标专家动态管理。</w:t>
      </w:r>
      <w:r>
        <w:rPr>
          <w:rFonts w:ascii="仿宋" w:eastAsia="仿宋" w:hAnsi="仿宋" w:cs="仿宋" w:hint="eastAsia"/>
          <w:color w:val="000000"/>
          <w:kern w:val="0"/>
          <w:sz w:val="32"/>
          <w:szCs w:val="32"/>
          <w:lang w:bidi="ar"/>
        </w:rPr>
        <w:t>严格落实评标专家日常考评制度。强化专家入库、培训考试、日常评价、信用联合奖惩等全过程管理及专家的统计、分析等。</w:t>
      </w:r>
    </w:p>
    <w:p w14:paraId="3CF76FDB"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时间节点：2022 年 5 月</w:t>
      </w:r>
    </w:p>
    <w:p w14:paraId="7B8AE884"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责任单位：区发展改革委、区住建局、区交通运输局、区水</w:t>
      </w:r>
    </w:p>
    <w:p w14:paraId="1B07067E"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利局、区城市管理局、区公共资源交易中心等按职责分工落实</w:t>
      </w:r>
    </w:p>
    <w:p w14:paraId="7790D108"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4.强化异议投诉处理。</w:t>
      </w:r>
      <w:r>
        <w:rPr>
          <w:rFonts w:ascii="仿宋" w:eastAsia="仿宋" w:hAnsi="仿宋" w:cs="仿宋" w:hint="eastAsia"/>
          <w:color w:val="000000"/>
          <w:kern w:val="0"/>
          <w:sz w:val="32"/>
          <w:szCs w:val="32"/>
          <w:lang w:bidi="ar"/>
        </w:rPr>
        <w:t>规范交易异议处理，推动实现异议在线提出，督促招标人（代理机构）在平台及时反馈。进一步健全投诉处理机制，规范投诉受理程序，扩展投诉受理方式，依法及时对投诉进行受理、调查和处理，并网上公开行政处罚决定，接受社会监督，提升市场主体的满意度。积极探索在线受理投诉并作出处理决定。</w:t>
      </w:r>
    </w:p>
    <w:p w14:paraId="09B02821"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46003628"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责任单位：区发展改革委、区住建局、区交通运输局、区水</w:t>
      </w:r>
    </w:p>
    <w:p w14:paraId="112A70E7"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利局、区城市管理局、区公共资源交易中心等按职责分工落实</w:t>
      </w:r>
    </w:p>
    <w:p w14:paraId="243A15A0"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四、保障措施 </w:t>
      </w:r>
    </w:p>
    <w:p w14:paraId="635C6E72"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（一）提高政治站位 </w:t>
      </w:r>
    </w:p>
    <w:p w14:paraId="6C05E4A7"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招标投标是优化营商环境的重要内容。各相关部门要认真贯彻落实党中央、国务院和省委、省政府深化“放管服”改革优化营商环境要求，提升政治站位，压实工作责任，统筹推进各项任务落实，确保提升行动取得实效。 </w:t>
      </w:r>
    </w:p>
    <w:p w14:paraId="3921C152"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（二）完善配套政策 </w:t>
      </w:r>
    </w:p>
    <w:p w14:paraId="5F023AEF"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 xml:space="preserve">各部门要结合自身职责分工，坚持问题导向，定期梳理分析本领域工作进展和存在问题，围绕招标投标领域优化营商环境提升目标，研究制定针对性强、可操作的政策举措，推动指标提升工作有序开展。坚持目标导向，对标国内一流，强化改革创新，加强先进经验复制推广，创造更多管用可行的创新举措。 </w:t>
      </w:r>
    </w:p>
    <w:p w14:paraId="739BBBFC"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（三）落实工作职责 </w:t>
      </w:r>
    </w:p>
    <w:p w14:paraId="3887B89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区发展改革委指导、协调各部门做好优化招标投标工作。各部门要强化对本行业公共资源交易领域营商环境优化提升工作领导和统筹协调，健全工作机制，加强政策实施，确保各项任务落实到位。 </w:t>
      </w:r>
    </w:p>
    <w:p w14:paraId="49C17769"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 xml:space="preserve">（四）营造良好氛围 </w:t>
      </w:r>
    </w:p>
    <w:p w14:paraId="1E0EC8F8"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各部门要加强招标投标政策宣传和解读，让企业了解招标投标政策规定，依法依规参与招标投标活动。及时总结工作成效，加大对先进经验做法和典型案例的宣传推广，为持续优化招标投标领域营商环境营造良好舆论氛围</w:t>
      </w:r>
    </w:p>
    <w:p w14:paraId="3840930F" w14:textId="77777777" w:rsidR="00C97237" w:rsidRDefault="00C97237">
      <w:pPr>
        <w:widowControl/>
        <w:spacing w:line="580" w:lineRule="exact"/>
        <w:ind w:firstLineChars="100" w:firstLine="320"/>
        <w:jc w:val="left"/>
        <w:rPr>
          <w:rFonts w:ascii="黑体" w:eastAsia="黑体" w:hAnsi="黑体" w:cs="黑体"/>
          <w:color w:val="000000"/>
          <w:kern w:val="0"/>
          <w:sz w:val="32"/>
          <w:szCs w:val="32"/>
          <w:lang w:bidi="ar"/>
        </w:rPr>
      </w:pPr>
    </w:p>
    <w:p w14:paraId="20566C6F" w14:textId="77777777" w:rsidR="00C97237" w:rsidRDefault="00C97237">
      <w:pPr>
        <w:widowControl/>
        <w:spacing w:line="580" w:lineRule="exact"/>
        <w:ind w:firstLineChars="100" w:firstLine="320"/>
        <w:jc w:val="left"/>
        <w:rPr>
          <w:rFonts w:ascii="黑体" w:eastAsia="黑体" w:hAnsi="黑体" w:cs="黑体"/>
          <w:color w:val="000000"/>
          <w:kern w:val="0"/>
          <w:sz w:val="32"/>
          <w:szCs w:val="32"/>
          <w:lang w:bidi="ar"/>
        </w:rPr>
      </w:pPr>
    </w:p>
    <w:p w14:paraId="2E8AAAD4" w14:textId="77777777" w:rsidR="00C97237" w:rsidRDefault="00C97237">
      <w:pPr>
        <w:widowControl/>
        <w:spacing w:line="580" w:lineRule="exact"/>
        <w:ind w:firstLineChars="100" w:firstLine="320"/>
        <w:jc w:val="left"/>
        <w:rPr>
          <w:rFonts w:ascii="黑体" w:eastAsia="黑体" w:hAnsi="黑体" w:cs="黑体"/>
          <w:color w:val="000000"/>
          <w:kern w:val="0"/>
          <w:sz w:val="32"/>
          <w:szCs w:val="32"/>
          <w:lang w:bidi="ar"/>
        </w:rPr>
      </w:pPr>
    </w:p>
    <w:p w14:paraId="18C84BF4" w14:textId="77777777" w:rsidR="00C97237" w:rsidRDefault="00C97237">
      <w:pPr>
        <w:widowControl/>
        <w:spacing w:line="580" w:lineRule="exact"/>
        <w:ind w:firstLineChars="100" w:firstLine="320"/>
        <w:jc w:val="left"/>
        <w:rPr>
          <w:rFonts w:ascii="黑体" w:eastAsia="黑体" w:hAnsi="黑体" w:cs="黑体"/>
          <w:color w:val="000000"/>
          <w:kern w:val="0"/>
          <w:sz w:val="32"/>
          <w:szCs w:val="32"/>
          <w:lang w:bidi="ar"/>
        </w:rPr>
      </w:pPr>
    </w:p>
    <w:p w14:paraId="57168750" w14:textId="77777777" w:rsidR="00C97237" w:rsidRDefault="00C97237">
      <w:pPr>
        <w:widowControl/>
        <w:spacing w:line="580" w:lineRule="exact"/>
        <w:ind w:firstLineChars="100" w:firstLine="320"/>
        <w:jc w:val="left"/>
        <w:rPr>
          <w:rFonts w:ascii="黑体" w:eastAsia="黑体" w:hAnsi="黑体" w:cs="黑体"/>
          <w:color w:val="000000"/>
          <w:kern w:val="0"/>
          <w:sz w:val="32"/>
          <w:szCs w:val="32"/>
          <w:lang w:bidi="ar"/>
        </w:rPr>
      </w:pPr>
    </w:p>
    <w:p w14:paraId="1651E055" w14:textId="77777777" w:rsidR="00C97237" w:rsidRDefault="00C97237">
      <w:pPr>
        <w:widowControl/>
        <w:spacing w:line="580" w:lineRule="exact"/>
        <w:ind w:firstLineChars="100" w:firstLine="320"/>
        <w:jc w:val="left"/>
        <w:rPr>
          <w:rFonts w:ascii="黑体" w:eastAsia="黑体" w:hAnsi="黑体" w:cs="黑体"/>
          <w:color w:val="000000"/>
          <w:kern w:val="0"/>
          <w:sz w:val="32"/>
          <w:szCs w:val="32"/>
          <w:lang w:bidi="ar"/>
        </w:rPr>
      </w:pPr>
    </w:p>
    <w:p w14:paraId="5E17CF4E" w14:textId="77777777" w:rsidR="00C97237" w:rsidRDefault="00C97237">
      <w:pPr>
        <w:widowControl/>
        <w:spacing w:line="580" w:lineRule="exact"/>
        <w:ind w:firstLineChars="100" w:firstLine="320"/>
        <w:jc w:val="left"/>
        <w:rPr>
          <w:rFonts w:ascii="黑体" w:eastAsia="黑体" w:hAnsi="黑体" w:cs="黑体"/>
          <w:color w:val="000000"/>
          <w:kern w:val="0"/>
          <w:sz w:val="32"/>
          <w:szCs w:val="32"/>
          <w:lang w:bidi="ar"/>
        </w:rPr>
      </w:pPr>
    </w:p>
    <w:p w14:paraId="5278C68A" w14:textId="77777777" w:rsidR="00C97237" w:rsidRDefault="00C97237">
      <w:pPr>
        <w:widowControl/>
        <w:spacing w:line="580" w:lineRule="exact"/>
        <w:ind w:firstLineChars="100" w:firstLine="320"/>
        <w:jc w:val="left"/>
        <w:rPr>
          <w:rFonts w:ascii="黑体" w:eastAsia="黑体" w:hAnsi="黑体" w:cs="黑体"/>
          <w:color w:val="000000"/>
          <w:kern w:val="0"/>
          <w:sz w:val="32"/>
          <w:szCs w:val="32"/>
          <w:lang w:bidi="ar"/>
        </w:rPr>
      </w:pPr>
    </w:p>
    <w:p w14:paraId="7E6588DA" w14:textId="77777777" w:rsidR="00C97237" w:rsidRDefault="00000000">
      <w:pPr>
        <w:widowControl/>
        <w:spacing w:line="580" w:lineRule="exact"/>
        <w:ind w:firstLineChars="100" w:firstLine="32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五、指标对比</w:t>
      </w:r>
    </w:p>
    <w:p w14:paraId="1840028B" w14:textId="77777777" w:rsidR="00C97237" w:rsidRDefault="00C97237">
      <w:pPr>
        <w:pStyle w:val="Default"/>
      </w:pPr>
    </w:p>
    <w:tbl>
      <w:tblPr>
        <w:tblW w:w="8937" w:type="dxa"/>
        <w:jc w:val="center"/>
        <w:tblLayout w:type="fixed"/>
        <w:tblCellMar>
          <w:left w:w="10" w:type="dxa"/>
          <w:right w:w="10" w:type="dxa"/>
        </w:tblCellMar>
        <w:tblLook w:val="04A0" w:firstRow="1" w:lastRow="0" w:firstColumn="1" w:lastColumn="0" w:noHBand="0" w:noVBand="1"/>
      </w:tblPr>
      <w:tblGrid>
        <w:gridCol w:w="1301"/>
        <w:gridCol w:w="2113"/>
        <w:gridCol w:w="2580"/>
        <w:gridCol w:w="1865"/>
        <w:gridCol w:w="1078"/>
      </w:tblGrid>
      <w:tr w:rsidR="00C97237" w14:paraId="59657044" w14:textId="77777777">
        <w:trPr>
          <w:trHeight w:hRule="exact" w:val="1104"/>
          <w:jc w:val="center"/>
        </w:trPr>
        <w:tc>
          <w:tcPr>
            <w:tcW w:w="1301" w:type="dxa"/>
            <w:tcBorders>
              <w:top w:val="single" w:sz="4" w:space="0" w:color="auto"/>
              <w:left w:val="single" w:sz="4" w:space="0" w:color="auto"/>
            </w:tcBorders>
            <w:shd w:val="clear" w:color="auto" w:fill="FFFFFF"/>
            <w:vAlign w:val="center"/>
          </w:tcPr>
          <w:p w14:paraId="6AAE3EF9" w14:textId="77777777" w:rsidR="00C97237" w:rsidRDefault="00000000">
            <w:pPr>
              <w:pStyle w:val="Other1"/>
              <w:spacing w:line="580" w:lineRule="exact"/>
              <w:ind w:firstLine="0"/>
              <w:jc w:val="center"/>
              <w:rPr>
                <w:rFonts w:ascii="仿宋" w:eastAsia="仿宋" w:hAnsi="仿宋" w:cs="仿宋"/>
                <w:b/>
                <w:bCs/>
                <w:sz w:val="24"/>
                <w:szCs w:val="24"/>
              </w:rPr>
            </w:pPr>
            <w:r>
              <w:rPr>
                <w:rFonts w:ascii="仿宋" w:eastAsia="仿宋" w:hAnsi="仿宋" w:cs="仿宋" w:hint="eastAsia"/>
                <w:b/>
                <w:bCs/>
                <w:color w:val="000000"/>
                <w:sz w:val="24"/>
                <w:szCs w:val="24"/>
              </w:rPr>
              <w:t>指标</w:t>
            </w:r>
          </w:p>
        </w:tc>
        <w:tc>
          <w:tcPr>
            <w:tcW w:w="2113" w:type="dxa"/>
            <w:tcBorders>
              <w:top w:val="single" w:sz="4" w:space="0" w:color="auto"/>
              <w:left w:val="single" w:sz="4" w:space="0" w:color="auto"/>
            </w:tcBorders>
            <w:shd w:val="clear" w:color="auto" w:fill="FFFFFF"/>
            <w:vAlign w:val="center"/>
          </w:tcPr>
          <w:p w14:paraId="39B2C44D" w14:textId="77777777" w:rsidR="00C97237" w:rsidRDefault="00000000">
            <w:pPr>
              <w:pStyle w:val="Other1"/>
              <w:spacing w:line="580" w:lineRule="exact"/>
              <w:ind w:firstLine="0"/>
              <w:jc w:val="center"/>
              <w:rPr>
                <w:rFonts w:ascii="仿宋" w:eastAsia="仿宋" w:hAnsi="仿宋" w:cs="仿宋"/>
                <w:b/>
                <w:bCs/>
                <w:sz w:val="24"/>
                <w:szCs w:val="24"/>
              </w:rPr>
            </w:pPr>
            <w:r>
              <w:rPr>
                <w:rFonts w:ascii="仿宋" w:eastAsia="仿宋" w:hAnsi="仿宋" w:cs="仿宋" w:hint="eastAsia"/>
                <w:b/>
                <w:bCs/>
                <w:color w:val="000000"/>
                <w:sz w:val="24"/>
                <w:szCs w:val="24"/>
              </w:rPr>
              <w:t>现状水平</w:t>
            </w:r>
          </w:p>
        </w:tc>
        <w:tc>
          <w:tcPr>
            <w:tcW w:w="2580" w:type="dxa"/>
            <w:tcBorders>
              <w:top w:val="single" w:sz="4" w:space="0" w:color="auto"/>
              <w:left w:val="single" w:sz="4" w:space="0" w:color="auto"/>
            </w:tcBorders>
            <w:shd w:val="clear" w:color="auto" w:fill="FFFFFF"/>
            <w:vAlign w:val="center"/>
          </w:tcPr>
          <w:p w14:paraId="1A21A2C1" w14:textId="77777777" w:rsidR="00C97237" w:rsidRDefault="00000000">
            <w:pPr>
              <w:pStyle w:val="Other1"/>
              <w:spacing w:line="580" w:lineRule="exact"/>
              <w:ind w:firstLine="0"/>
              <w:jc w:val="center"/>
              <w:rPr>
                <w:rFonts w:ascii="仿宋" w:eastAsia="仿宋" w:hAnsi="仿宋" w:cs="仿宋"/>
                <w:b/>
                <w:bCs/>
                <w:sz w:val="24"/>
                <w:szCs w:val="24"/>
              </w:rPr>
            </w:pPr>
            <w:r>
              <w:rPr>
                <w:rFonts w:ascii="仿宋" w:eastAsia="仿宋" w:hAnsi="仿宋" w:cs="仿宋" w:hint="eastAsia"/>
                <w:b/>
                <w:bCs/>
                <w:color w:val="000000"/>
                <w:sz w:val="24"/>
                <w:szCs w:val="24"/>
              </w:rPr>
              <w:t>省目标</w:t>
            </w:r>
          </w:p>
        </w:tc>
        <w:tc>
          <w:tcPr>
            <w:tcW w:w="1865" w:type="dxa"/>
            <w:tcBorders>
              <w:top w:val="single" w:sz="4" w:space="0" w:color="auto"/>
              <w:left w:val="single" w:sz="4" w:space="0" w:color="auto"/>
            </w:tcBorders>
            <w:shd w:val="clear" w:color="auto" w:fill="FFFFFF"/>
            <w:vAlign w:val="center"/>
          </w:tcPr>
          <w:p w14:paraId="176D855B" w14:textId="77777777" w:rsidR="00C97237" w:rsidRDefault="00000000">
            <w:pPr>
              <w:pStyle w:val="Other1"/>
              <w:spacing w:line="580" w:lineRule="exact"/>
              <w:ind w:firstLine="0"/>
              <w:jc w:val="center"/>
              <w:rPr>
                <w:rFonts w:ascii="仿宋" w:eastAsia="仿宋" w:hAnsi="仿宋" w:cs="仿宋"/>
                <w:b/>
                <w:bCs/>
                <w:sz w:val="24"/>
                <w:szCs w:val="24"/>
              </w:rPr>
            </w:pPr>
            <w:r>
              <w:rPr>
                <w:rFonts w:ascii="仿宋" w:eastAsia="仿宋" w:hAnsi="仿宋" w:cs="仿宋" w:hint="eastAsia"/>
                <w:b/>
                <w:bCs/>
                <w:color w:val="000000"/>
                <w:sz w:val="24"/>
                <w:szCs w:val="24"/>
              </w:rPr>
              <w:t>2022年目标</w:t>
            </w:r>
          </w:p>
        </w:tc>
        <w:tc>
          <w:tcPr>
            <w:tcW w:w="1078" w:type="dxa"/>
            <w:tcBorders>
              <w:top w:val="single" w:sz="4" w:space="0" w:color="auto"/>
              <w:left w:val="single" w:sz="4" w:space="0" w:color="auto"/>
              <w:right w:val="single" w:sz="4" w:space="0" w:color="auto"/>
            </w:tcBorders>
            <w:shd w:val="clear" w:color="auto" w:fill="FFFFFF"/>
            <w:vAlign w:val="bottom"/>
          </w:tcPr>
          <w:p w14:paraId="5FA1B339" w14:textId="77777777" w:rsidR="00C97237" w:rsidRDefault="00000000">
            <w:pPr>
              <w:pStyle w:val="Other1"/>
              <w:spacing w:line="580" w:lineRule="exact"/>
              <w:ind w:firstLine="0"/>
              <w:jc w:val="center"/>
              <w:rPr>
                <w:rFonts w:ascii="仿宋" w:eastAsia="仿宋" w:hAnsi="仿宋" w:cs="仿宋"/>
                <w:b/>
                <w:bCs/>
                <w:sz w:val="24"/>
                <w:szCs w:val="24"/>
              </w:rPr>
            </w:pPr>
            <w:r>
              <w:rPr>
                <w:rFonts w:ascii="仿宋" w:eastAsia="仿宋" w:hAnsi="仿宋" w:cs="仿宋" w:hint="eastAsia"/>
                <w:b/>
                <w:bCs/>
                <w:color w:val="000000"/>
                <w:sz w:val="24"/>
                <w:szCs w:val="24"/>
              </w:rPr>
              <w:t>国内前 沿水平</w:t>
            </w:r>
          </w:p>
        </w:tc>
      </w:tr>
      <w:tr w:rsidR="00C97237" w14:paraId="264DC20C" w14:textId="77777777">
        <w:trPr>
          <w:trHeight w:hRule="exact" w:val="2314"/>
          <w:jc w:val="center"/>
        </w:trPr>
        <w:tc>
          <w:tcPr>
            <w:tcW w:w="1301" w:type="dxa"/>
            <w:tcBorders>
              <w:top w:val="single" w:sz="4" w:space="0" w:color="auto"/>
              <w:left w:val="single" w:sz="4" w:space="0" w:color="auto"/>
              <w:bottom w:val="single" w:sz="4" w:space="0" w:color="auto"/>
            </w:tcBorders>
            <w:shd w:val="clear" w:color="auto" w:fill="FFFFFF"/>
            <w:vAlign w:val="center"/>
          </w:tcPr>
          <w:p w14:paraId="2390C363" w14:textId="77777777" w:rsidR="00C97237" w:rsidRDefault="00000000">
            <w:pPr>
              <w:pStyle w:val="Other1"/>
              <w:spacing w:line="580" w:lineRule="exact"/>
              <w:ind w:firstLine="0"/>
              <w:rPr>
                <w:rFonts w:ascii="仿宋" w:eastAsia="仿宋" w:hAnsi="仿宋" w:cs="仿宋"/>
                <w:sz w:val="24"/>
                <w:szCs w:val="24"/>
              </w:rPr>
            </w:pPr>
            <w:r>
              <w:rPr>
                <w:rFonts w:ascii="仿宋" w:eastAsia="仿宋" w:hAnsi="仿宋" w:cs="仿宋" w:hint="eastAsia"/>
                <w:color w:val="000000"/>
                <w:sz w:val="24"/>
                <w:szCs w:val="24"/>
              </w:rPr>
              <w:t>在线提出异 议、作出答复</w:t>
            </w:r>
          </w:p>
        </w:tc>
        <w:tc>
          <w:tcPr>
            <w:tcW w:w="2113" w:type="dxa"/>
            <w:tcBorders>
              <w:top w:val="single" w:sz="4" w:space="0" w:color="auto"/>
              <w:left w:val="single" w:sz="4" w:space="0" w:color="auto"/>
              <w:bottom w:val="single" w:sz="4" w:space="0" w:color="auto"/>
            </w:tcBorders>
            <w:shd w:val="clear" w:color="auto" w:fill="FFFFFF"/>
            <w:vAlign w:val="center"/>
          </w:tcPr>
          <w:p w14:paraId="03A468E9"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交易平台具备在线异议、答复功能和条件</w:t>
            </w:r>
          </w:p>
        </w:tc>
        <w:tc>
          <w:tcPr>
            <w:tcW w:w="2580" w:type="dxa"/>
            <w:tcBorders>
              <w:top w:val="single" w:sz="4" w:space="0" w:color="auto"/>
              <w:left w:val="single" w:sz="4" w:space="0" w:color="auto"/>
              <w:bottom w:val="single" w:sz="4" w:space="0" w:color="auto"/>
            </w:tcBorders>
            <w:shd w:val="clear" w:color="auto" w:fill="FFFFFF"/>
            <w:vAlign w:val="center"/>
          </w:tcPr>
          <w:p w14:paraId="5559721C"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2022年6月70%以上交易平台具备功能和条件</w:t>
            </w:r>
          </w:p>
          <w:p w14:paraId="637B703D"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2022年12月所有交易平台具备功能和条件</w:t>
            </w:r>
          </w:p>
        </w:tc>
        <w:tc>
          <w:tcPr>
            <w:tcW w:w="1865" w:type="dxa"/>
            <w:tcBorders>
              <w:top w:val="single" w:sz="4" w:space="0" w:color="auto"/>
              <w:left w:val="single" w:sz="4" w:space="0" w:color="auto"/>
              <w:bottom w:val="single" w:sz="4" w:space="0" w:color="auto"/>
            </w:tcBorders>
            <w:shd w:val="clear" w:color="auto" w:fill="FFFFFF"/>
            <w:vAlign w:val="center"/>
          </w:tcPr>
          <w:p w14:paraId="118DCCB9"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交易平台在线异议、答复功能充分运用</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14:paraId="07F392A7" w14:textId="77777777" w:rsidR="00C97237" w:rsidRDefault="00C97237">
            <w:pPr>
              <w:spacing w:line="580" w:lineRule="exact"/>
              <w:rPr>
                <w:rFonts w:ascii="仿宋" w:eastAsia="仿宋" w:hAnsi="仿宋" w:cs="仿宋"/>
                <w:sz w:val="24"/>
              </w:rPr>
            </w:pPr>
          </w:p>
        </w:tc>
      </w:tr>
      <w:tr w:rsidR="00C97237" w14:paraId="47A1C598" w14:textId="77777777">
        <w:trPr>
          <w:trHeight w:hRule="exact" w:val="1975"/>
          <w:jc w:val="center"/>
        </w:trPr>
        <w:tc>
          <w:tcPr>
            <w:tcW w:w="1301" w:type="dxa"/>
            <w:tcBorders>
              <w:top w:val="single" w:sz="4" w:space="0" w:color="auto"/>
              <w:left w:val="single" w:sz="4" w:space="0" w:color="auto"/>
            </w:tcBorders>
            <w:shd w:val="clear" w:color="auto" w:fill="FFFFFF"/>
            <w:vAlign w:val="center"/>
          </w:tcPr>
          <w:p w14:paraId="101A14BD"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远程异地 评标</w:t>
            </w:r>
          </w:p>
        </w:tc>
        <w:tc>
          <w:tcPr>
            <w:tcW w:w="2113" w:type="dxa"/>
            <w:tcBorders>
              <w:top w:val="single" w:sz="4" w:space="0" w:color="auto"/>
              <w:left w:val="single" w:sz="4" w:space="0" w:color="auto"/>
            </w:tcBorders>
            <w:shd w:val="clear" w:color="auto" w:fill="FFFFFF"/>
            <w:vAlign w:val="center"/>
          </w:tcPr>
          <w:p w14:paraId="539A49FC"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所有交易平台具备功能和条件</w:t>
            </w:r>
          </w:p>
        </w:tc>
        <w:tc>
          <w:tcPr>
            <w:tcW w:w="2580" w:type="dxa"/>
            <w:tcBorders>
              <w:top w:val="single" w:sz="4" w:space="0" w:color="auto"/>
              <w:left w:val="single" w:sz="4" w:space="0" w:color="auto"/>
            </w:tcBorders>
            <w:shd w:val="clear" w:color="auto" w:fill="FFFFFF"/>
            <w:vAlign w:val="bottom"/>
          </w:tcPr>
          <w:p w14:paraId="611532A5"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6</w:t>
            </w:r>
            <w:r>
              <w:rPr>
                <w:rFonts w:ascii="仿宋" w:eastAsia="仿宋" w:hAnsi="仿宋" w:cs="仿宋" w:hint="eastAsia"/>
                <w:color w:val="000000"/>
                <w:sz w:val="24"/>
                <w:szCs w:val="24"/>
              </w:rPr>
              <w:t>月所有交易平台具备功能和条件</w:t>
            </w:r>
          </w:p>
          <w:p w14:paraId="0544C594"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12</w:t>
            </w:r>
            <w:r>
              <w:rPr>
                <w:rFonts w:ascii="仿宋" w:eastAsia="仿宋" w:hAnsi="仿宋" w:cs="仿宋" w:hint="eastAsia"/>
                <w:color w:val="000000"/>
                <w:sz w:val="24"/>
                <w:szCs w:val="24"/>
              </w:rPr>
              <w:t>月远程异地评标 常态化实施</w:t>
            </w:r>
          </w:p>
        </w:tc>
        <w:tc>
          <w:tcPr>
            <w:tcW w:w="1865" w:type="dxa"/>
            <w:tcBorders>
              <w:top w:val="single" w:sz="4" w:space="0" w:color="auto"/>
              <w:left w:val="single" w:sz="4" w:space="0" w:color="auto"/>
            </w:tcBorders>
            <w:shd w:val="clear" w:color="auto" w:fill="FFFFFF"/>
            <w:vAlign w:val="center"/>
          </w:tcPr>
          <w:p w14:paraId="3A5C65E1"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远程异地评标常态化实施</w:t>
            </w:r>
          </w:p>
        </w:tc>
        <w:tc>
          <w:tcPr>
            <w:tcW w:w="1078" w:type="dxa"/>
            <w:tcBorders>
              <w:top w:val="single" w:sz="4" w:space="0" w:color="auto"/>
              <w:left w:val="single" w:sz="4" w:space="0" w:color="auto"/>
              <w:right w:val="single" w:sz="4" w:space="0" w:color="auto"/>
            </w:tcBorders>
            <w:shd w:val="clear" w:color="auto" w:fill="FFFFFF"/>
            <w:vAlign w:val="center"/>
          </w:tcPr>
          <w:p w14:paraId="05BD3B8A" w14:textId="77777777" w:rsidR="00C97237" w:rsidRDefault="00000000">
            <w:pPr>
              <w:pStyle w:val="Other1"/>
              <w:spacing w:line="580" w:lineRule="exact"/>
              <w:ind w:firstLine="0"/>
              <w:jc w:val="left"/>
              <w:rPr>
                <w:rFonts w:ascii="仿宋" w:eastAsia="仿宋" w:hAnsi="仿宋" w:cs="仿宋"/>
                <w:sz w:val="24"/>
                <w:szCs w:val="24"/>
              </w:rPr>
            </w:pPr>
            <w:r>
              <w:rPr>
                <w:rFonts w:ascii="仿宋" w:eastAsia="仿宋" w:hAnsi="仿宋" w:cs="仿宋" w:hint="eastAsia"/>
                <w:color w:val="000000"/>
                <w:sz w:val="24"/>
                <w:szCs w:val="24"/>
              </w:rPr>
              <w:t>湖北省远 程异地评 标常态化</w:t>
            </w:r>
          </w:p>
        </w:tc>
      </w:tr>
      <w:tr w:rsidR="00C97237" w14:paraId="2840E7C8" w14:textId="77777777">
        <w:trPr>
          <w:trHeight w:hRule="exact" w:val="2839"/>
          <w:jc w:val="center"/>
        </w:trPr>
        <w:tc>
          <w:tcPr>
            <w:tcW w:w="1301" w:type="dxa"/>
            <w:tcBorders>
              <w:top w:val="single" w:sz="4" w:space="0" w:color="auto"/>
              <w:left w:val="single" w:sz="4" w:space="0" w:color="auto"/>
            </w:tcBorders>
            <w:shd w:val="clear" w:color="auto" w:fill="FFFFFF"/>
            <w:vAlign w:val="center"/>
          </w:tcPr>
          <w:p w14:paraId="2426355B" w14:textId="77777777" w:rsidR="00C97237" w:rsidRDefault="00000000">
            <w:pPr>
              <w:pStyle w:val="Other1"/>
              <w:spacing w:line="580" w:lineRule="exact"/>
              <w:ind w:firstLine="0"/>
              <w:rPr>
                <w:rFonts w:ascii="仿宋" w:eastAsia="仿宋" w:hAnsi="仿宋" w:cs="仿宋"/>
                <w:sz w:val="24"/>
                <w:szCs w:val="24"/>
              </w:rPr>
            </w:pPr>
            <w:r>
              <w:rPr>
                <w:rFonts w:ascii="仿宋" w:eastAsia="仿宋" w:hAnsi="仿宋" w:cs="仿宋" w:hint="eastAsia"/>
                <w:color w:val="000000"/>
                <w:sz w:val="24"/>
                <w:szCs w:val="24"/>
              </w:rPr>
              <w:t>市场主体</w:t>
            </w:r>
            <w:r>
              <w:rPr>
                <w:rFonts w:ascii="仿宋" w:eastAsia="仿宋" w:hAnsi="仿宋" w:cs="仿宋" w:hint="eastAsia"/>
                <w:b/>
                <w:bCs/>
                <w:color w:val="000000"/>
                <w:sz w:val="24"/>
                <w:szCs w:val="24"/>
              </w:rPr>
              <w:t>“</w:t>
            </w:r>
            <w:r>
              <w:rPr>
                <w:rFonts w:ascii="仿宋" w:eastAsia="仿宋" w:hAnsi="仿宋" w:cs="仿宋" w:hint="eastAsia"/>
                <w:color w:val="000000"/>
                <w:sz w:val="24"/>
                <w:szCs w:val="24"/>
              </w:rPr>
              <w:t>一 处注册、全省 通用</w:t>
            </w:r>
          </w:p>
        </w:tc>
        <w:tc>
          <w:tcPr>
            <w:tcW w:w="2113" w:type="dxa"/>
            <w:tcBorders>
              <w:top w:val="single" w:sz="4" w:space="0" w:color="auto"/>
              <w:left w:val="single" w:sz="4" w:space="0" w:color="auto"/>
            </w:tcBorders>
            <w:shd w:val="clear" w:color="auto" w:fill="FFFFFF"/>
            <w:vAlign w:val="center"/>
          </w:tcPr>
          <w:p w14:paraId="68D9B56E" w14:textId="77777777" w:rsidR="00C97237" w:rsidRDefault="00000000">
            <w:pPr>
              <w:pStyle w:val="Other1"/>
              <w:spacing w:line="580" w:lineRule="exact"/>
              <w:ind w:firstLine="0"/>
              <w:jc w:val="left"/>
              <w:rPr>
                <w:rFonts w:ascii="仿宋" w:eastAsia="仿宋" w:hAnsi="仿宋" w:cs="仿宋"/>
                <w:sz w:val="24"/>
                <w:szCs w:val="24"/>
              </w:rPr>
            </w:pPr>
            <w:r>
              <w:rPr>
                <w:rFonts w:ascii="仿宋" w:eastAsia="仿宋" w:hAnsi="仿宋" w:cs="仿宋" w:hint="eastAsia"/>
                <w:color w:val="000000"/>
                <w:sz w:val="24"/>
                <w:szCs w:val="24"/>
              </w:rPr>
              <w:t>已在本市范围内实现</w:t>
            </w:r>
          </w:p>
        </w:tc>
        <w:tc>
          <w:tcPr>
            <w:tcW w:w="2580" w:type="dxa"/>
            <w:tcBorders>
              <w:top w:val="single" w:sz="4" w:space="0" w:color="auto"/>
              <w:left w:val="single" w:sz="4" w:space="0" w:color="auto"/>
            </w:tcBorders>
            <w:shd w:val="clear" w:color="auto" w:fill="FFFFFF"/>
            <w:vAlign w:val="bottom"/>
          </w:tcPr>
          <w:p w14:paraId="031220D8" w14:textId="77777777" w:rsidR="00C97237" w:rsidRDefault="00000000">
            <w:pPr>
              <w:pStyle w:val="Other1"/>
              <w:spacing w:line="580" w:lineRule="exact"/>
              <w:ind w:firstLine="0"/>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6</w:t>
            </w:r>
            <w:r>
              <w:rPr>
                <w:rFonts w:ascii="仿宋" w:eastAsia="仿宋" w:hAnsi="仿宋" w:cs="仿宋" w:hint="eastAsia"/>
                <w:color w:val="000000"/>
                <w:sz w:val="24"/>
                <w:szCs w:val="24"/>
              </w:rPr>
              <w:t>月</w:t>
            </w:r>
            <w:r>
              <w:rPr>
                <w:rFonts w:ascii="仿宋" w:eastAsia="仿宋" w:hAnsi="仿宋" w:cs="仿宋" w:hint="eastAsia"/>
                <w:b/>
                <w:bCs/>
                <w:color w:val="000000"/>
                <w:sz w:val="24"/>
                <w:szCs w:val="24"/>
              </w:rPr>
              <w:t>80%</w:t>
            </w:r>
            <w:r>
              <w:rPr>
                <w:rFonts w:ascii="仿宋" w:eastAsia="仿宋" w:hAnsi="仿宋" w:cs="仿宋" w:hint="eastAsia"/>
                <w:color w:val="000000"/>
                <w:sz w:val="24"/>
                <w:szCs w:val="24"/>
              </w:rPr>
              <w:t>的交易平台 之间可以实现</w:t>
            </w: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6</w:t>
            </w:r>
            <w:r>
              <w:rPr>
                <w:rFonts w:ascii="仿宋" w:eastAsia="仿宋" w:hAnsi="仿宋" w:cs="仿宋" w:hint="eastAsia"/>
                <w:color w:val="000000"/>
                <w:sz w:val="24"/>
                <w:szCs w:val="24"/>
              </w:rPr>
              <w:t xml:space="preserve">月 </w:t>
            </w: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12</w:t>
            </w:r>
            <w:r>
              <w:rPr>
                <w:rFonts w:ascii="仿宋" w:eastAsia="仿宋" w:hAnsi="仿宋" w:cs="仿宋" w:hint="eastAsia"/>
                <w:color w:val="000000"/>
                <w:sz w:val="24"/>
                <w:szCs w:val="24"/>
              </w:rPr>
              <w:t>月全省范围内实 现市场主体</w:t>
            </w:r>
            <w:r>
              <w:rPr>
                <w:rFonts w:ascii="仿宋" w:eastAsia="仿宋" w:hAnsi="仿宋" w:cs="仿宋" w:hint="eastAsia"/>
                <w:b/>
                <w:bCs/>
                <w:color w:val="000000"/>
                <w:sz w:val="24"/>
                <w:szCs w:val="24"/>
              </w:rPr>
              <w:t>“</w:t>
            </w:r>
            <w:r>
              <w:rPr>
                <w:rFonts w:ascii="仿宋" w:eastAsia="仿宋" w:hAnsi="仿宋" w:cs="仿宋" w:hint="eastAsia"/>
                <w:color w:val="000000"/>
                <w:sz w:val="24"/>
                <w:szCs w:val="24"/>
              </w:rPr>
              <w:t>一处注册、全省 通用</w:t>
            </w:r>
          </w:p>
        </w:tc>
        <w:tc>
          <w:tcPr>
            <w:tcW w:w="1865" w:type="dxa"/>
            <w:tcBorders>
              <w:top w:val="single" w:sz="4" w:space="0" w:color="auto"/>
              <w:left w:val="single" w:sz="4" w:space="0" w:color="auto"/>
            </w:tcBorders>
            <w:shd w:val="clear" w:color="auto" w:fill="FFFFFF"/>
            <w:vAlign w:val="center"/>
          </w:tcPr>
          <w:p w14:paraId="6982B6D0"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实现市场主体</w:t>
            </w:r>
            <w:r>
              <w:rPr>
                <w:rFonts w:ascii="仿宋" w:eastAsia="仿宋" w:hAnsi="仿宋" w:cs="仿宋" w:hint="eastAsia"/>
                <w:b/>
                <w:bCs/>
                <w:color w:val="000000"/>
                <w:sz w:val="24"/>
                <w:szCs w:val="24"/>
              </w:rPr>
              <w:t>“</w:t>
            </w:r>
            <w:r>
              <w:rPr>
                <w:rFonts w:ascii="仿宋" w:eastAsia="仿宋" w:hAnsi="仿宋" w:cs="仿宋" w:hint="eastAsia"/>
                <w:color w:val="000000"/>
                <w:sz w:val="24"/>
                <w:szCs w:val="24"/>
              </w:rPr>
              <w:t>一处 注册、全省通用</w:t>
            </w:r>
          </w:p>
        </w:tc>
        <w:tc>
          <w:tcPr>
            <w:tcW w:w="1078" w:type="dxa"/>
            <w:tcBorders>
              <w:top w:val="single" w:sz="4" w:space="0" w:color="auto"/>
              <w:left w:val="single" w:sz="4" w:space="0" w:color="auto"/>
              <w:right w:val="single" w:sz="4" w:space="0" w:color="auto"/>
            </w:tcBorders>
            <w:shd w:val="clear" w:color="auto" w:fill="FFFFFF"/>
          </w:tcPr>
          <w:p w14:paraId="56AC3A2E" w14:textId="77777777" w:rsidR="00C97237" w:rsidRDefault="00C97237">
            <w:pPr>
              <w:spacing w:line="580" w:lineRule="exact"/>
              <w:rPr>
                <w:rFonts w:ascii="仿宋" w:eastAsia="仿宋" w:hAnsi="仿宋" w:cs="仿宋"/>
                <w:sz w:val="24"/>
              </w:rPr>
            </w:pPr>
          </w:p>
        </w:tc>
      </w:tr>
      <w:tr w:rsidR="00C97237" w14:paraId="03FBA5E7" w14:textId="77777777">
        <w:trPr>
          <w:trHeight w:hRule="exact" w:val="1665"/>
          <w:jc w:val="center"/>
        </w:trPr>
        <w:tc>
          <w:tcPr>
            <w:tcW w:w="1301" w:type="dxa"/>
            <w:tcBorders>
              <w:top w:val="single" w:sz="4" w:space="0" w:color="auto"/>
              <w:left w:val="single" w:sz="4" w:space="0" w:color="auto"/>
            </w:tcBorders>
            <w:shd w:val="clear" w:color="auto" w:fill="FFFFFF"/>
            <w:vAlign w:val="center"/>
          </w:tcPr>
          <w:p w14:paraId="5D089ACD"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大数据分析 应用</w:t>
            </w:r>
          </w:p>
        </w:tc>
        <w:tc>
          <w:tcPr>
            <w:tcW w:w="2113" w:type="dxa"/>
            <w:tcBorders>
              <w:top w:val="single" w:sz="4" w:space="0" w:color="auto"/>
              <w:left w:val="single" w:sz="4" w:space="0" w:color="auto"/>
            </w:tcBorders>
            <w:shd w:val="clear" w:color="auto" w:fill="FFFFFF"/>
            <w:vAlign w:val="center"/>
          </w:tcPr>
          <w:p w14:paraId="2E279EB0"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建立了大数据交易分析系统</w:t>
            </w:r>
          </w:p>
        </w:tc>
        <w:tc>
          <w:tcPr>
            <w:tcW w:w="2580" w:type="dxa"/>
            <w:tcBorders>
              <w:top w:val="single" w:sz="4" w:space="0" w:color="auto"/>
              <w:left w:val="single" w:sz="4" w:space="0" w:color="auto"/>
            </w:tcBorders>
            <w:shd w:val="clear" w:color="auto" w:fill="FFFFFF"/>
            <w:vAlign w:val="center"/>
          </w:tcPr>
          <w:p w14:paraId="40FF9536"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12</w:t>
            </w:r>
            <w:r>
              <w:rPr>
                <w:rFonts w:ascii="仿宋" w:eastAsia="仿宋" w:hAnsi="仿宋" w:cs="仿宋" w:hint="eastAsia"/>
                <w:color w:val="000000"/>
                <w:sz w:val="24"/>
                <w:szCs w:val="24"/>
              </w:rPr>
              <w:t>月建立全省大数据分析应用平台</w:t>
            </w:r>
          </w:p>
        </w:tc>
        <w:tc>
          <w:tcPr>
            <w:tcW w:w="1865" w:type="dxa"/>
            <w:tcBorders>
              <w:top w:val="single" w:sz="4" w:space="0" w:color="auto"/>
              <w:left w:val="single" w:sz="4" w:space="0" w:color="auto"/>
            </w:tcBorders>
            <w:shd w:val="clear" w:color="auto" w:fill="FFFFFF"/>
            <w:vAlign w:val="bottom"/>
          </w:tcPr>
          <w:p w14:paraId="280C1934"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完善招投标大数据分析和智能监测平</w:t>
            </w:r>
            <w:r>
              <w:rPr>
                <w:rFonts w:ascii="仿宋" w:eastAsia="仿宋" w:hAnsi="仿宋" w:cs="仿宋" w:hint="eastAsia"/>
                <w:color w:val="000000"/>
                <w:sz w:val="24"/>
                <w:szCs w:val="24"/>
                <w:lang w:val="en-US"/>
              </w:rPr>
              <w:t>台</w:t>
            </w:r>
          </w:p>
        </w:tc>
        <w:tc>
          <w:tcPr>
            <w:tcW w:w="1078" w:type="dxa"/>
            <w:tcBorders>
              <w:top w:val="single" w:sz="4" w:space="0" w:color="auto"/>
              <w:left w:val="single" w:sz="4" w:space="0" w:color="auto"/>
              <w:right w:val="single" w:sz="4" w:space="0" w:color="auto"/>
            </w:tcBorders>
            <w:shd w:val="clear" w:color="auto" w:fill="FFFFFF"/>
          </w:tcPr>
          <w:p w14:paraId="732F9889" w14:textId="77777777" w:rsidR="00C97237" w:rsidRDefault="00C97237">
            <w:pPr>
              <w:spacing w:line="580" w:lineRule="exact"/>
              <w:rPr>
                <w:rFonts w:ascii="仿宋" w:eastAsia="仿宋" w:hAnsi="仿宋" w:cs="仿宋"/>
                <w:sz w:val="24"/>
              </w:rPr>
            </w:pPr>
          </w:p>
        </w:tc>
      </w:tr>
      <w:tr w:rsidR="00C97237" w14:paraId="3F667CF6" w14:textId="77777777">
        <w:trPr>
          <w:trHeight w:hRule="exact" w:val="2790"/>
          <w:jc w:val="center"/>
        </w:trPr>
        <w:tc>
          <w:tcPr>
            <w:tcW w:w="1301" w:type="dxa"/>
            <w:tcBorders>
              <w:top w:val="single" w:sz="4" w:space="0" w:color="auto"/>
              <w:left w:val="single" w:sz="4" w:space="0" w:color="auto"/>
            </w:tcBorders>
            <w:shd w:val="clear" w:color="auto" w:fill="FFFFFF"/>
            <w:vAlign w:val="center"/>
          </w:tcPr>
          <w:p w14:paraId="68183235"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全流程 信息公开</w:t>
            </w:r>
          </w:p>
        </w:tc>
        <w:tc>
          <w:tcPr>
            <w:tcW w:w="2113" w:type="dxa"/>
            <w:tcBorders>
              <w:top w:val="single" w:sz="4" w:space="0" w:color="auto"/>
              <w:left w:val="single" w:sz="4" w:space="0" w:color="auto"/>
            </w:tcBorders>
            <w:shd w:val="clear" w:color="auto" w:fill="FFFFFF"/>
            <w:vAlign w:val="center"/>
          </w:tcPr>
          <w:p w14:paraId="034B0A4D"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从项目审核批准信息到合同订立信息全公开</w:t>
            </w:r>
          </w:p>
        </w:tc>
        <w:tc>
          <w:tcPr>
            <w:tcW w:w="2580" w:type="dxa"/>
            <w:tcBorders>
              <w:top w:val="single" w:sz="4" w:space="0" w:color="auto"/>
              <w:left w:val="single" w:sz="4" w:space="0" w:color="auto"/>
            </w:tcBorders>
            <w:shd w:val="clear" w:color="auto" w:fill="FFFFFF"/>
            <w:vAlign w:val="center"/>
          </w:tcPr>
          <w:p w14:paraId="70D6E6CA"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6</w:t>
            </w:r>
            <w:r>
              <w:rPr>
                <w:rFonts w:ascii="仿宋" w:eastAsia="仿宋" w:hAnsi="仿宋" w:cs="仿宋" w:hint="eastAsia"/>
                <w:color w:val="000000"/>
                <w:sz w:val="24"/>
                <w:szCs w:val="24"/>
              </w:rPr>
              <w:t>月实现从项目审核 批准信息到合同订立信息全公开</w:t>
            </w:r>
          </w:p>
        </w:tc>
        <w:tc>
          <w:tcPr>
            <w:tcW w:w="1865" w:type="dxa"/>
            <w:tcBorders>
              <w:top w:val="single" w:sz="4" w:space="0" w:color="auto"/>
              <w:left w:val="single" w:sz="4" w:space="0" w:color="auto"/>
            </w:tcBorders>
            <w:shd w:val="clear" w:color="auto" w:fill="FFFFFF"/>
            <w:vAlign w:val="center"/>
          </w:tcPr>
          <w:p w14:paraId="7F60C3C6"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继续保持从项目审核批准信息到合同 订立信息全公开</w:t>
            </w:r>
          </w:p>
        </w:tc>
        <w:tc>
          <w:tcPr>
            <w:tcW w:w="1078" w:type="dxa"/>
            <w:tcBorders>
              <w:top w:val="single" w:sz="4" w:space="0" w:color="auto"/>
              <w:left w:val="single" w:sz="4" w:space="0" w:color="auto"/>
              <w:right w:val="single" w:sz="4" w:space="0" w:color="auto"/>
            </w:tcBorders>
            <w:shd w:val="clear" w:color="auto" w:fill="FFFFFF"/>
            <w:vAlign w:val="center"/>
          </w:tcPr>
          <w:p w14:paraId="3E438588" w14:textId="77777777" w:rsidR="00C97237" w:rsidRDefault="00000000">
            <w:pPr>
              <w:pStyle w:val="Other1"/>
              <w:spacing w:line="580" w:lineRule="exact"/>
              <w:ind w:firstLine="0"/>
              <w:jc w:val="left"/>
              <w:rPr>
                <w:rFonts w:ascii="仿宋" w:eastAsia="仿宋" w:hAnsi="仿宋" w:cs="仿宋"/>
                <w:sz w:val="24"/>
                <w:szCs w:val="24"/>
              </w:rPr>
            </w:pPr>
            <w:r>
              <w:rPr>
                <w:rFonts w:ascii="仿宋" w:eastAsia="仿宋" w:hAnsi="仿宋" w:cs="仿宋" w:hint="eastAsia"/>
                <w:color w:val="000000"/>
                <w:sz w:val="24"/>
                <w:szCs w:val="24"/>
              </w:rPr>
              <w:t>北京市实 现全过程 信息公开</w:t>
            </w:r>
          </w:p>
        </w:tc>
      </w:tr>
      <w:tr w:rsidR="00C97237" w14:paraId="2AFBCB0A" w14:textId="77777777">
        <w:trPr>
          <w:trHeight w:hRule="exact" w:val="2839"/>
          <w:jc w:val="center"/>
        </w:trPr>
        <w:tc>
          <w:tcPr>
            <w:tcW w:w="1301" w:type="dxa"/>
            <w:vMerge w:val="restart"/>
            <w:tcBorders>
              <w:top w:val="single" w:sz="4" w:space="0" w:color="auto"/>
              <w:left w:val="single" w:sz="4" w:space="0" w:color="auto"/>
            </w:tcBorders>
            <w:shd w:val="clear" w:color="auto" w:fill="FFFFFF"/>
            <w:vAlign w:val="center"/>
          </w:tcPr>
          <w:p w14:paraId="59D4B8F1"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lastRenderedPageBreak/>
              <w:t>降低担保 成本</w:t>
            </w:r>
          </w:p>
        </w:tc>
        <w:tc>
          <w:tcPr>
            <w:tcW w:w="2113" w:type="dxa"/>
            <w:tcBorders>
              <w:top w:val="single" w:sz="4" w:space="0" w:color="auto"/>
              <w:left w:val="single" w:sz="4" w:space="0" w:color="auto"/>
            </w:tcBorders>
            <w:shd w:val="clear" w:color="auto" w:fill="FFFFFF"/>
            <w:vAlign w:val="center"/>
          </w:tcPr>
          <w:p w14:paraId="50C7CBA5" w14:textId="77777777" w:rsidR="00C97237" w:rsidRDefault="00000000">
            <w:pPr>
              <w:pStyle w:val="Other1"/>
              <w:spacing w:line="580" w:lineRule="exact"/>
              <w:ind w:firstLine="0"/>
              <w:rPr>
                <w:rFonts w:ascii="仿宋" w:eastAsia="仿宋" w:hAnsi="仿宋" w:cs="仿宋"/>
                <w:sz w:val="24"/>
                <w:szCs w:val="24"/>
              </w:rPr>
            </w:pPr>
            <w:r>
              <w:rPr>
                <w:rFonts w:ascii="仿宋" w:eastAsia="仿宋" w:hAnsi="仿宋" w:cs="仿宋" w:hint="eastAsia"/>
                <w:color w:val="000000"/>
                <w:sz w:val="24"/>
                <w:szCs w:val="24"/>
              </w:rPr>
              <w:t>具备投标电子保函服 务，费率在</w:t>
            </w:r>
            <w:r>
              <w:rPr>
                <w:rFonts w:ascii="仿宋" w:eastAsia="仿宋" w:hAnsi="仿宋" w:cs="仿宋" w:hint="eastAsia"/>
                <w:b/>
                <w:bCs/>
                <w:color w:val="000000"/>
                <w:sz w:val="24"/>
                <w:szCs w:val="24"/>
              </w:rPr>
              <w:t>6%</w:t>
            </w:r>
            <w:r>
              <w:rPr>
                <w:rFonts w:ascii="仿宋" w:eastAsia="仿宋" w:hAnsi="仿宋" w:cs="仿宋" w:hint="eastAsia"/>
                <w:color w:val="000000"/>
                <w:sz w:val="24"/>
                <w:szCs w:val="24"/>
              </w:rPr>
              <w:t>。</w:t>
            </w:r>
          </w:p>
        </w:tc>
        <w:tc>
          <w:tcPr>
            <w:tcW w:w="2580" w:type="dxa"/>
            <w:tcBorders>
              <w:top w:val="single" w:sz="4" w:space="0" w:color="auto"/>
              <w:left w:val="single" w:sz="4" w:space="0" w:color="auto"/>
            </w:tcBorders>
            <w:shd w:val="clear" w:color="auto" w:fill="FFFFFF"/>
            <w:vAlign w:val="bottom"/>
          </w:tcPr>
          <w:p w14:paraId="1BDC4778" w14:textId="77777777" w:rsidR="00C97237" w:rsidRDefault="00000000">
            <w:pPr>
              <w:pStyle w:val="Other1"/>
              <w:spacing w:line="580" w:lineRule="exact"/>
              <w:ind w:firstLine="0"/>
              <w:jc w:val="left"/>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6</w:t>
            </w:r>
            <w:r>
              <w:rPr>
                <w:rFonts w:ascii="仿宋" w:eastAsia="仿宋" w:hAnsi="仿宋" w:cs="仿宋" w:hint="eastAsia"/>
                <w:color w:val="000000"/>
                <w:sz w:val="24"/>
                <w:szCs w:val="24"/>
              </w:rPr>
              <w:t>月电子保函费率降低</w:t>
            </w:r>
            <w:r>
              <w:rPr>
                <w:rFonts w:ascii="仿宋" w:eastAsia="仿宋" w:hAnsi="仿宋" w:cs="仿宋" w:hint="eastAsia"/>
                <w:b/>
                <w:bCs/>
                <w:color w:val="000000"/>
                <w:sz w:val="24"/>
                <w:szCs w:val="24"/>
              </w:rPr>
              <w:t>20%，2022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12</w:t>
            </w:r>
            <w:r>
              <w:rPr>
                <w:rFonts w:ascii="仿宋" w:eastAsia="仿宋" w:hAnsi="仿宋" w:cs="仿宋" w:hint="eastAsia"/>
                <w:color w:val="000000"/>
                <w:sz w:val="24"/>
                <w:szCs w:val="24"/>
              </w:rPr>
              <w:t>月建成全省统一 的公共资源交易金融服务信息平台</w:t>
            </w:r>
          </w:p>
        </w:tc>
        <w:tc>
          <w:tcPr>
            <w:tcW w:w="1865" w:type="dxa"/>
            <w:tcBorders>
              <w:top w:val="single" w:sz="4" w:space="0" w:color="auto"/>
              <w:left w:val="single" w:sz="4" w:space="0" w:color="auto"/>
            </w:tcBorders>
            <w:shd w:val="clear" w:color="auto" w:fill="FFFFFF"/>
            <w:vAlign w:val="center"/>
          </w:tcPr>
          <w:p w14:paraId="6CAE87DB" w14:textId="77777777" w:rsidR="00C97237" w:rsidRDefault="00000000">
            <w:pPr>
              <w:pStyle w:val="Other1"/>
              <w:spacing w:after="40" w:line="580" w:lineRule="exact"/>
              <w:ind w:firstLine="0"/>
              <w:jc w:val="left"/>
              <w:rPr>
                <w:rFonts w:ascii="仿宋" w:eastAsia="仿宋" w:hAnsi="仿宋" w:cs="仿宋"/>
                <w:sz w:val="24"/>
                <w:szCs w:val="24"/>
              </w:rPr>
            </w:pPr>
            <w:r>
              <w:rPr>
                <w:rFonts w:ascii="仿宋" w:eastAsia="仿宋" w:hAnsi="仿宋" w:cs="仿宋" w:hint="eastAsia"/>
                <w:color w:val="000000"/>
                <w:sz w:val="24"/>
                <w:szCs w:val="24"/>
              </w:rPr>
              <w:t>电子保函费率降低</w:t>
            </w:r>
            <w:r>
              <w:rPr>
                <w:rFonts w:ascii="仿宋" w:eastAsia="仿宋" w:hAnsi="仿宋" w:cs="仿宋" w:hint="eastAsia"/>
                <w:b/>
                <w:bCs/>
                <w:color w:val="000000"/>
                <w:sz w:val="24"/>
                <w:szCs w:val="24"/>
              </w:rPr>
              <w:t>20%</w:t>
            </w:r>
          </w:p>
        </w:tc>
        <w:tc>
          <w:tcPr>
            <w:tcW w:w="1078" w:type="dxa"/>
            <w:tcBorders>
              <w:top w:val="single" w:sz="4" w:space="0" w:color="auto"/>
              <w:left w:val="single" w:sz="4" w:space="0" w:color="auto"/>
              <w:right w:val="single" w:sz="4" w:space="0" w:color="auto"/>
            </w:tcBorders>
            <w:shd w:val="clear" w:color="auto" w:fill="FFFFFF"/>
          </w:tcPr>
          <w:p w14:paraId="7E9EBE69" w14:textId="77777777" w:rsidR="00C97237" w:rsidRDefault="00C97237">
            <w:pPr>
              <w:spacing w:line="580" w:lineRule="exact"/>
              <w:rPr>
                <w:rFonts w:ascii="仿宋" w:eastAsia="仿宋" w:hAnsi="仿宋" w:cs="仿宋"/>
                <w:sz w:val="24"/>
              </w:rPr>
            </w:pPr>
          </w:p>
        </w:tc>
      </w:tr>
      <w:tr w:rsidR="00C97237" w14:paraId="5E5BA7C2" w14:textId="77777777">
        <w:trPr>
          <w:trHeight w:hRule="exact" w:val="2406"/>
          <w:jc w:val="center"/>
        </w:trPr>
        <w:tc>
          <w:tcPr>
            <w:tcW w:w="1301" w:type="dxa"/>
            <w:vMerge/>
            <w:tcBorders>
              <w:left w:val="single" w:sz="4" w:space="0" w:color="auto"/>
            </w:tcBorders>
            <w:shd w:val="clear" w:color="auto" w:fill="FFFFFF"/>
            <w:vAlign w:val="center"/>
          </w:tcPr>
          <w:p w14:paraId="18A91314" w14:textId="77777777" w:rsidR="00C97237" w:rsidRDefault="00C97237">
            <w:pPr>
              <w:spacing w:line="580" w:lineRule="exact"/>
              <w:rPr>
                <w:rFonts w:ascii="仿宋" w:eastAsia="仿宋" w:hAnsi="仿宋" w:cs="仿宋"/>
                <w:sz w:val="24"/>
              </w:rPr>
            </w:pPr>
          </w:p>
        </w:tc>
        <w:tc>
          <w:tcPr>
            <w:tcW w:w="2113" w:type="dxa"/>
            <w:tcBorders>
              <w:top w:val="single" w:sz="4" w:space="0" w:color="auto"/>
              <w:left w:val="single" w:sz="4" w:space="0" w:color="auto"/>
            </w:tcBorders>
            <w:shd w:val="clear" w:color="auto" w:fill="FFFFFF"/>
            <w:vAlign w:val="center"/>
          </w:tcPr>
          <w:p w14:paraId="294DB4F1"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保证金系统退</w:t>
            </w:r>
            <w:r>
              <w:rPr>
                <w:rFonts w:ascii="仿宋" w:eastAsia="仿宋" w:hAnsi="仿宋" w:cs="仿宋" w:hint="eastAsia"/>
                <w:b/>
                <w:bCs/>
                <w:color w:val="000000"/>
                <w:sz w:val="24"/>
                <w:szCs w:val="24"/>
              </w:rPr>
              <w:t>1</w:t>
            </w:r>
            <w:r>
              <w:rPr>
                <w:rFonts w:ascii="仿宋" w:eastAsia="仿宋" w:hAnsi="仿宋" w:cs="仿宋" w:hint="eastAsia"/>
                <w:color w:val="000000"/>
                <w:sz w:val="24"/>
                <w:szCs w:val="24"/>
              </w:rPr>
              <w:t>小时内 主动退还保证金及同期银行存款利息</w:t>
            </w:r>
          </w:p>
        </w:tc>
        <w:tc>
          <w:tcPr>
            <w:tcW w:w="2580" w:type="dxa"/>
            <w:tcBorders>
              <w:top w:val="single" w:sz="4" w:space="0" w:color="auto"/>
              <w:left w:val="single" w:sz="4" w:space="0" w:color="auto"/>
            </w:tcBorders>
            <w:shd w:val="clear" w:color="auto" w:fill="FFFFFF"/>
            <w:vAlign w:val="center"/>
          </w:tcPr>
          <w:p w14:paraId="252350C0"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6</w:t>
            </w:r>
            <w:r>
              <w:rPr>
                <w:rFonts w:ascii="仿宋" w:eastAsia="仿宋" w:hAnsi="仿宋" w:cs="仿宋" w:hint="eastAsia"/>
                <w:color w:val="000000"/>
                <w:sz w:val="24"/>
                <w:szCs w:val="24"/>
              </w:rPr>
              <w:t>月保证金系统</w:t>
            </w:r>
            <w:r>
              <w:rPr>
                <w:rFonts w:ascii="仿宋" w:eastAsia="仿宋" w:hAnsi="仿宋" w:cs="仿宋" w:hint="eastAsia"/>
                <w:b/>
                <w:bCs/>
                <w:color w:val="000000"/>
                <w:sz w:val="24"/>
                <w:szCs w:val="24"/>
              </w:rPr>
              <w:t>1</w:t>
            </w:r>
            <w:r>
              <w:rPr>
                <w:rFonts w:ascii="仿宋" w:eastAsia="仿宋" w:hAnsi="仿宋" w:cs="仿宋" w:hint="eastAsia"/>
                <w:color w:val="000000"/>
                <w:sz w:val="24"/>
                <w:szCs w:val="24"/>
              </w:rPr>
              <w:t>天内主动退还保证金及同期银 行存款利息</w:t>
            </w:r>
          </w:p>
        </w:tc>
        <w:tc>
          <w:tcPr>
            <w:tcW w:w="1865" w:type="dxa"/>
            <w:tcBorders>
              <w:top w:val="single" w:sz="4" w:space="0" w:color="auto"/>
              <w:left w:val="single" w:sz="4" w:space="0" w:color="auto"/>
            </w:tcBorders>
            <w:shd w:val="clear" w:color="auto" w:fill="FFFFFF"/>
            <w:vAlign w:val="center"/>
          </w:tcPr>
          <w:p w14:paraId="56DDAF5D" w14:textId="77777777" w:rsidR="00C97237" w:rsidRDefault="00000000">
            <w:pPr>
              <w:pStyle w:val="Other1"/>
              <w:spacing w:line="580" w:lineRule="exact"/>
              <w:ind w:firstLine="0"/>
              <w:rPr>
                <w:rFonts w:ascii="仿宋" w:eastAsia="仿宋" w:hAnsi="仿宋" w:cs="仿宋"/>
                <w:sz w:val="24"/>
                <w:szCs w:val="24"/>
              </w:rPr>
            </w:pPr>
            <w:r>
              <w:rPr>
                <w:rFonts w:ascii="仿宋" w:eastAsia="仿宋" w:hAnsi="仿宋" w:cs="仿宋" w:hint="eastAsia"/>
                <w:color w:val="000000"/>
                <w:sz w:val="24"/>
                <w:szCs w:val="24"/>
              </w:rPr>
              <w:t>保证金系统退即时主动退还保证金及同期银行存款利息</w:t>
            </w:r>
          </w:p>
        </w:tc>
        <w:tc>
          <w:tcPr>
            <w:tcW w:w="1078" w:type="dxa"/>
            <w:tcBorders>
              <w:top w:val="single" w:sz="4" w:space="0" w:color="auto"/>
              <w:left w:val="single" w:sz="4" w:space="0" w:color="auto"/>
              <w:right w:val="single" w:sz="4" w:space="0" w:color="auto"/>
            </w:tcBorders>
            <w:shd w:val="clear" w:color="auto" w:fill="FFFFFF"/>
          </w:tcPr>
          <w:p w14:paraId="119D65EB" w14:textId="77777777" w:rsidR="00C97237" w:rsidRDefault="00C97237">
            <w:pPr>
              <w:spacing w:line="580" w:lineRule="exact"/>
              <w:rPr>
                <w:rFonts w:ascii="仿宋" w:eastAsia="仿宋" w:hAnsi="仿宋" w:cs="仿宋"/>
                <w:sz w:val="24"/>
              </w:rPr>
            </w:pPr>
          </w:p>
        </w:tc>
      </w:tr>
      <w:tr w:rsidR="00C97237" w14:paraId="270BA8BD" w14:textId="77777777">
        <w:trPr>
          <w:trHeight w:hRule="exact" w:val="1828"/>
          <w:jc w:val="center"/>
        </w:trPr>
        <w:tc>
          <w:tcPr>
            <w:tcW w:w="1301" w:type="dxa"/>
            <w:tcBorders>
              <w:top w:val="single" w:sz="4" w:space="0" w:color="auto"/>
              <w:left w:val="single" w:sz="4" w:space="0" w:color="auto"/>
            </w:tcBorders>
            <w:shd w:val="clear" w:color="auto" w:fill="FFFFFF"/>
            <w:vAlign w:val="center"/>
          </w:tcPr>
          <w:p w14:paraId="7D3FB0F0" w14:textId="77777777" w:rsidR="00C97237" w:rsidRDefault="00000000">
            <w:pPr>
              <w:pStyle w:val="Other1"/>
              <w:spacing w:line="580" w:lineRule="exact"/>
              <w:ind w:left="220" w:firstLine="0"/>
              <w:jc w:val="left"/>
              <w:rPr>
                <w:rFonts w:ascii="仿宋" w:eastAsia="仿宋" w:hAnsi="仿宋" w:cs="仿宋"/>
                <w:sz w:val="24"/>
                <w:szCs w:val="24"/>
              </w:rPr>
            </w:pPr>
            <w:r>
              <w:rPr>
                <w:rFonts w:ascii="仿宋" w:eastAsia="仿宋" w:hAnsi="仿宋" w:cs="仿宋" w:hint="eastAsia"/>
                <w:color w:val="000000"/>
                <w:sz w:val="24"/>
                <w:szCs w:val="24"/>
              </w:rPr>
              <w:t>交易系统 技术中立</w:t>
            </w:r>
          </w:p>
        </w:tc>
        <w:tc>
          <w:tcPr>
            <w:tcW w:w="2113" w:type="dxa"/>
            <w:tcBorders>
              <w:top w:val="single" w:sz="4" w:space="0" w:color="auto"/>
              <w:left w:val="single" w:sz="4" w:space="0" w:color="auto"/>
            </w:tcBorders>
            <w:shd w:val="clear" w:color="auto" w:fill="FFFFFF"/>
            <w:vAlign w:val="center"/>
          </w:tcPr>
          <w:p w14:paraId="0F73E3DF"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交易系统与各类需要分离开发的工具软件 兼容对接</w:t>
            </w:r>
          </w:p>
        </w:tc>
        <w:tc>
          <w:tcPr>
            <w:tcW w:w="2580" w:type="dxa"/>
            <w:tcBorders>
              <w:top w:val="single" w:sz="4" w:space="0" w:color="auto"/>
              <w:left w:val="single" w:sz="4" w:space="0" w:color="auto"/>
            </w:tcBorders>
            <w:shd w:val="clear" w:color="auto" w:fill="FFFFFF"/>
            <w:vAlign w:val="center"/>
          </w:tcPr>
          <w:p w14:paraId="6BF99F13"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12</w:t>
            </w:r>
            <w:r>
              <w:rPr>
                <w:rFonts w:ascii="仿宋" w:eastAsia="仿宋" w:hAnsi="仿宋" w:cs="仿宋" w:hint="eastAsia"/>
                <w:color w:val="000000"/>
                <w:sz w:val="24"/>
                <w:szCs w:val="24"/>
              </w:rPr>
              <w:t>月实现所有交易系统与各类需要分离开发的工具软件兼容对接</w:t>
            </w:r>
          </w:p>
        </w:tc>
        <w:tc>
          <w:tcPr>
            <w:tcW w:w="1865" w:type="dxa"/>
            <w:tcBorders>
              <w:top w:val="single" w:sz="4" w:space="0" w:color="auto"/>
              <w:left w:val="single" w:sz="4" w:space="0" w:color="auto"/>
            </w:tcBorders>
            <w:shd w:val="clear" w:color="auto" w:fill="FFFFFF"/>
            <w:vAlign w:val="bottom"/>
          </w:tcPr>
          <w:p w14:paraId="62589D87"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继续保持交易系统与各类需要分离开发的工具软件兼容 对接</w:t>
            </w:r>
          </w:p>
        </w:tc>
        <w:tc>
          <w:tcPr>
            <w:tcW w:w="1078" w:type="dxa"/>
            <w:tcBorders>
              <w:top w:val="single" w:sz="4" w:space="0" w:color="auto"/>
              <w:left w:val="single" w:sz="4" w:space="0" w:color="auto"/>
              <w:right w:val="single" w:sz="4" w:space="0" w:color="auto"/>
            </w:tcBorders>
            <w:shd w:val="clear" w:color="auto" w:fill="FFFFFF"/>
          </w:tcPr>
          <w:p w14:paraId="7CA0272B" w14:textId="77777777" w:rsidR="00C97237" w:rsidRDefault="00C97237">
            <w:pPr>
              <w:spacing w:line="580" w:lineRule="exact"/>
              <w:rPr>
                <w:rFonts w:ascii="仿宋" w:eastAsia="仿宋" w:hAnsi="仿宋" w:cs="仿宋"/>
                <w:sz w:val="24"/>
              </w:rPr>
            </w:pPr>
          </w:p>
        </w:tc>
      </w:tr>
      <w:tr w:rsidR="00C97237" w14:paraId="6CAF0ECB" w14:textId="77777777">
        <w:trPr>
          <w:trHeight w:hRule="exact" w:val="3144"/>
          <w:jc w:val="center"/>
        </w:trPr>
        <w:tc>
          <w:tcPr>
            <w:tcW w:w="1301" w:type="dxa"/>
            <w:tcBorders>
              <w:top w:val="single" w:sz="4" w:space="0" w:color="auto"/>
              <w:left w:val="single" w:sz="4" w:space="0" w:color="auto"/>
            </w:tcBorders>
            <w:shd w:val="clear" w:color="auto" w:fill="FFFFFF"/>
            <w:vAlign w:val="center"/>
          </w:tcPr>
          <w:p w14:paraId="055527EA" w14:textId="77777777" w:rsidR="00C97237" w:rsidRDefault="00000000">
            <w:pPr>
              <w:pStyle w:val="Other1"/>
              <w:spacing w:line="580" w:lineRule="exact"/>
              <w:ind w:left="220" w:firstLine="0"/>
              <w:jc w:val="left"/>
              <w:rPr>
                <w:rFonts w:ascii="仿宋" w:eastAsia="仿宋" w:hAnsi="仿宋" w:cs="仿宋"/>
                <w:sz w:val="24"/>
                <w:szCs w:val="24"/>
              </w:rPr>
            </w:pPr>
            <w:r>
              <w:rPr>
                <w:rFonts w:ascii="仿宋" w:eastAsia="仿宋" w:hAnsi="仿宋" w:cs="仿宋" w:hint="eastAsia"/>
                <w:color w:val="000000"/>
                <w:sz w:val="24"/>
                <w:szCs w:val="24"/>
              </w:rPr>
              <w:t>加强事中 事后监管</w:t>
            </w:r>
          </w:p>
        </w:tc>
        <w:tc>
          <w:tcPr>
            <w:tcW w:w="2113" w:type="dxa"/>
            <w:tcBorders>
              <w:top w:val="single" w:sz="4" w:space="0" w:color="auto"/>
              <w:left w:val="single" w:sz="4" w:space="0" w:color="auto"/>
            </w:tcBorders>
            <w:shd w:val="clear" w:color="auto" w:fill="FFFFFF"/>
            <w:vAlign w:val="center"/>
          </w:tcPr>
          <w:p w14:paraId="2EE8F9E6"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监管协同和智慧监管不足</w:t>
            </w:r>
          </w:p>
        </w:tc>
        <w:tc>
          <w:tcPr>
            <w:tcW w:w="2580" w:type="dxa"/>
            <w:tcBorders>
              <w:top w:val="single" w:sz="4" w:space="0" w:color="auto"/>
              <w:left w:val="single" w:sz="4" w:space="0" w:color="auto"/>
            </w:tcBorders>
            <w:shd w:val="clear" w:color="auto" w:fill="FFFFFF"/>
            <w:vAlign w:val="bottom"/>
          </w:tcPr>
          <w:p w14:paraId="3AC7C7BE"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6</w:t>
            </w:r>
            <w:r>
              <w:rPr>
                <w:rFonts w:ascii="仿宋" w:eastAsia="仿宋" w:hAnsi="仿宋" w:cs="仿宋" w:hint="eastAsia"/>
                <w:color w:val="000000"/>
                <w:sz w:val="24"/>
                <w:szCs w:val="24"/>
              </w:rPr>
              <w:t>月建立有效协同监管机制，加强对违法违规行 为震慑作用</w:t>
            </w:r>
          </w:p>
          <w:p w14:paraId="1D46A00A"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12</w:t>
            </w:r>
            <w:r>
              <w:rPr>
                <w:rFonts w:ascii="仿宋" w:eastAsia="仿宋" w:hAnsi="仿宋" w:cs="仿宋" w:hint="eastAsia"/>
                <w:color w:val="000000"/>
                <w:sz w:val="24"/>
                <w:szCs w:val="24"/>
              </w:rPr>
              <w:t>月实现全程在线监管</w:t>
            </w:r>
          </w:p>
        </w:tc>
        <w:tc>
          <w:tcPr>
            <w:tcW w:w="1865" w:type="dxa"/>
            <w:tcBorders>
              <w:top w:val="single" w:sz="4" w:space="0" w:color="auto"/>
              <w:left w:val="single" w:sz="4" w:space="0" w:color="auto"/>
            </w:tcBorders>
            <w:shd w:val="clear" w:color="auto" w:fill="FFFFFF"/>
            <w:vAlign w:val="center"/>
          </w:tcPr>
          <w:p w14:paraId="39765535"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建立有效协同监管机制，加强对违法违 规行为震慑作用，实 现全程在线监管</w:t>
            </w:r>
          </w:p>
        </w:tc>
        <w:tc>
          <w:tcPr>
            <w:tcW w:w="1078" w:type="dxa"/>
            <w:tcBorders>
              <w:top w:val="single" w:sz="4" w:space="0" w:color="auto"/>
              <w:left w:val="single" w:sz="4" w:space="0" w:color="auto"/>
              <w:right w:val="single" w:sz="4" w:space="0" w:color="auto"/>
            </w:tcBorders>
            <w:shd w:val="clear" w:color="auto" w:fill="FFFFFF"/>
          </w:tcPr>
          <w:p w14:paraId="0BAFA73A" w14:textId="77777777" w:rsidR="00C97237" w:rsidRDefault="00C97237">
            <w:pPr>
              <w:spacing w:line="580" w:lineRule="exact"/>
              <w:rPr>
                <w:rFonts w:ascii="仿宋" w:eastAsia="仿宋" w:hAnsi="仿宋" w:cs="仿宋"/>
                <w:sz w:val="24"/>
              </w:rPr>
            </w:pPr>
          </w:p>
        </w:tc>
      </w:tr>
      <w:tr w:rsidR="00C97237" w14:paraId="025AF0F6" w14:textId="77777777">
        <w:trPr>
          <w:trHeight w:hRule="exact" w:val="2527"/>
          <w:jc w:val="center"/>
        </w:trPr>
        <w:tc>
          <w:tcPr>
            <w:tcW w:w="1301" w:type="dxa"/>
            <w:tcBorders>
              <w:top w:val="single" w:sz="4" w:space="0" w:color="auto"/>
              <w:left w:val="single" w:sz="4" w:space="0" w:color="auto"/>
              <w:bottom w:val="single" w:sz="4" w:space="0" w:color="auto"/>
            </w:tcBorders>
            <w:shd w:val="clear" w:color="auto" w:fill="FFFFFF"/>
            <w:vAlign w:val="center"/>
          </w:tcPr>
          <w:p w14:paraId="12D780D4" w14:textId="77777777" w:rsidR="00C97237" w:rsidRDefault="00000000">
            <w:pPr>
              <w:pStyle w:val="Other1"/>
              <w:spacing w:line="580" w:lineRule="exact"/>
              <w:ind w:left="220" w:firstLine="0"/>
              <w:jc w:val="left"/>
              <w:rPr>
                <w:rFonts w:ascii="仿宋" w:eastAsia="仿宋" w:hAnsi="仿宋" w:cs="仿宋"/>
                <w:sz w:val="24"/>
                <w:szCs w:val="24"/>
              </w:rPr>
            </w:pPr>
            <w:r>
              <w:rPr>
                <w:rFonts w:ascii="仿宋" w:eastAsia="仿宋" w:hAnsi="仿宋" w:cs="仿宋" w:hint="eastAsia"/>
                <w:color w:val="000000"/>
                <w:sz w:val="24"/>
                <w:szCs w:val="24"/>
              </w:rPr>
              <w:t>及时有效 处理投诉</w:t>
            </w:r>
          </w:p>
        </w:tc>
        <w:tc>
          <w:tcPr>
            <w:tcW w:w="2113" w:type="dxa"/>
            <w:tcBorders>
              <w:top w:val="single" w:sz="4" w:space="0" w:color="auto"/>
              <w:left w:val="single" w:sz="4" w:space="0" w:color="auto"/>
              <w:bottom w:val="single" w:sz="4" w:space="0" w:color="auto"/>
            </w:tcBorders>
            <w:shd w:val="clear" w:color="auto" w:fill="FFFFFF"/>
            <w:vAlign w:val="center"/>
          </w:tcPr>
          <w:p w14:paraId="7075FAE3"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投诉超期预警机制不完善</w:t>
            </w:r>
          </w:p>
        </w:tc>
        <w:tc>
          <w:tcPr>
            <w:tcW w:w="2580" w:type="dxa"/>
            <w:tcBorders>
              <w:top w:val="single" w:sz="4" w:space="0" w:color="auto"/>
              <w:left w:val="single" w:sz="4" w:space="0" w:color="auto"/>
              <w:bottom w:val="single" w:sz="4" w:space="0" w:color="auto"/>
            </w:tcBorders>
            <w:shd w:val="clear" w:color="auto" w:fill="FFFFFF"/>
            <w:vAlign w:val="bottom"/>
          </w:tcPr>
          <w:p w14:paraId="7926C74E"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6</w:t>
            </w:r>
            <w:r>
              <w:rPr>
                <w:rFonts w:ascii="仿宋" w:eastAsia="仿宋" w:hAnsi="仿宋" w:cs="仿宋" w:hint="eastAsia"/>
                <w:color w:val="000000"/>
                <w:sz w:val="24"/>
                <w:szCs w:val="24"/>
              </w:rPr>
              <w:t>月全部建立投诉超期预警机制</w:t>
            </w:r>
          </w:p>
          <w:p w14:paraId="5FB8EA74"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b/>
                <w:bCs/>
                <w:color w:val="000000"/>
                <w:sz w:val="24"/>
                <w:szCs w:val="24"/>
              </w:rPr>
              <w:t>2022</w:t>
            </w:r>
            <w:r>
              <w:rPr>
                <w:rFonts w:ascii="仿宋" w:eastAsia="仿宋" w:hAnsi="仿宋" w:cs="仿宋" w:hint="eastAsia"/>
                <w:color w:val="000000"/>
                <w:sz w:val="24"/>
                <w:szCs w:val="24"/>
              </w:rPr>
              <w:t>年</w:t>
            </w:r>
            <w:r>
              <w:rPr>
                <w:rFonts w:ascii="仿宋" w:eastAsia="仿宋" w:hAnsi="仿宋" w:cs="仿宋" w:hint="eastAsia"/>
                <w:b/>
                <w:bCs/>
                <w:color w:val="000000"/>
                <w:sz w:val="24"/>
                <w:szCs w:val="24"/>
              </w:rPr>
              <w:t>12</w:t>
            </w:r>
            <w:r>
              <w:rPr>
                <w:rFonts w:ascii="仿宋" w:eastAsia="仿宋" w:hAnsi="仿宋" w:cs="仿宋" w:hint="eastAsia"/>
                <w:color w:val="000000"/>
                <w:sz w:val="24"/>
                <w:szCs w:val="24"/>
              </w:rPr>
              <w:t>月有效投诉处理 率达到国内先进水平</w:t>
            </w:r>
          </w:p>
        </w:tc>
        <w:tc>
          <w:tcPr>
            <w:tcW w:w="1865" w:type="dxa"/>
            <w:tcBorders>
              <w:top w:val="single" w:sz="4" w:space="0" w:color="auto"/>
              <w:left w:val="single" w:sz="4" w:space="0" w:color="auto"/>
              <w:bottom w:val="single" w:sz="4" w:space="0" w:color="auto"/>
            </w:tcBorders>
            <w:shd w:val="clear" w:color="auto" w:fill="FFFFFF"/>
            <w:vAlign w:val="center"/>
          </w:tcPr>
          <w:p w14:paraId="54074C5D" w14:textId="77777777" w:rsidR="00C97237" w:rsidRDefault="00000000">
            <w:pPr>
              <w:pStyle w:val="Other1"/>
              <w:spacing w:line="580" w:lineRule="exact"/>
              <w:ind w:firstLine="0"/>
              <w:jc w:val="center"/>
              <w:rPr>
                <w:rFonts w:ascii="仿宋" w:eastAsia="仿宋" w:hAnsi="仿宋" w:cs="仿宋"/>
                <w:sz w:val="24"/>
                <w:szCs w:val="24"/>
              </w:rPr>
            </w:pPr>
            <w:r>
              <w:rPr>
                <w:rFonts w:ascii="仿宋" w:eastAsia="仿宋" w:hAnsi="仿宋" w:cs="仿宋" w:hint="eastAsia"/>
                <w:color w:val="000000"/>
                <w:sz w:val="24"/>
                <w:szCs w:val="24"/>
              </w:rPr>
              <w:t>建立投诉超期预警机制，及时有效处理投诉</w:t>
            </w:r>
          </w:p>
        </w:tc>
        <w:tc>
          <w:tcPr>
            <w:tcW w:w="1078" w:type="dxa"/>
            <w:tcBorders>
              <w:top w:val="single" w:sz="4" w:space="0" w:color="auto"/>
              <w:left w:val="single" w:sz="4" w:space="0" w:color="auto"/>
              <w:bottom w:val="single" w:sz="4" w:space="0" w:color="auto"/>
              <w:right w:val="single" w:sz="4" w:space="0" w:color="auto"/>
            </w:tcBorders>
            <w:shd w:val="clear" w:color="auto" w:fill="FFFFFF"/>
          </w:tcPr>
          <w:p w14:paraId="37097F07" w14:textId="77777777" w:rsidR="00C97237" w:rsidRDefault="00C97237">
            <w:pPr>
              <w:spacing w:line="580" w:lineRule="exact"/>
              <w:rPr>
                <w:rFonts w:ascii="仿宋" w:eastAsia="仿宋" w:hAnsi="仿宋" w:cs="仿宋"/>
                <w:sz w:val="24"/>
              </w:rPr>
            </w:pPr>
          </w:p>
        </w:tc>
      </w:tr>
    </w:tbl>
    <w:p w14:paraId="75DAB06E" w14:textId="77777777" w:rsidR="00C97237" w:rsidRDefault="00C97237">
      <w:pPr>
        <w:spacing w:line="580" w:lineRule="exact"/>
        <w:jc w:val="left"/>
        <w:rPr>
          <w:rFonts w:ascii="仿宋" w:eastAsia="仿宋" w:hAnsi="仿宋" w:cs="仿宋"/>
          <w:sz w:val="32"/>
          <w:szCs w:val="32"/>
        </w:rPr>
      </w:pPr>
    </w:p>
    <w:p w14:paraId="61AF6C77" w14:textId="77777777" w:rsidR="00C97237" w:rsidRDefault="00C97237">
      <w:pPr>
        <w:spacing w:line="580" w:lineRule="exact"/>
        <w:rPr>
          <w:rFonts w:ascii="仿宋" w:eastAsia="仿宋" w:hAnsi="仿宋" w:cs="仿宋"/>
          <w:color w:val="000000"/>
          <w:sz w:val="32"/>
          <w:szCs w:val="32"/>
        </w:rPr>
      </w:pPr>
    </w:p>
    <w:p w14:paraId="21E0EF6B" w14:textId="77777777" w:rsidR="00C97237" w:rsidRDefault="00000000">
      <w:pPr>
        <w:spacing w:line="580" w:lineRule="exact"/>
        <w:jc w:val="left"/>
        <w:rPr>
          <w:rFonts w:ascii="黑体" w:eastAsia="黑体" w:hAnsi="黑体" w:cs="黑体"/>
          <w:snapToGrid w:val="0"/>
          <w:color w:val="000000"/>
          <w:kern w:val="0"/>
          <w:sz w:val="44"/>
          <w:szCs w:val="44"/>
        </w:rPr>
      </w:pPr>
      <w:r>
        <w:rPr>
          <w:rFonts w:ascii="黑体" w:eastAsia="黑体" w:hAnsi="黑体" w:cs="黑体" w:hint="eastAsia"/>
          <w:snapToGrid w:val="0"/>
          <w:color w:val="000000"/>
          <w:kern w:val="0"/>
          <w:sz w:val="44"/>
          <w:szCs w:val="44"/>
        </w:rPr>
        <w:lastRenderedPageBreak/>
        <w:t>附件16</w:t>
      </w:r>
    </w:p>
    <w:p w14:paraId="4D4D9BB6" w14:textId="77777777" w:rsidR="00C97237" w:rsidRDefault="00000000">
      <w:pPr>
        <w:spacing w:line="580" w:lineRule="exact"/>
        <w:jc w:val="center"/>
        <w:rPr>
          <w:rFonts w:ascii="黑体" w:eastAsia="黑体" w:hAnsi="黑体" w:cs="黑体"/>
          <w:snapToGrid w:val="0"/>
          <w:color w:val="000000"/>
          <w:kern w:val="0"/>
          <w:sz w:val="44"/>
          <w:szCs w:val="44"/>
        </w:rPr>
      </w:pPr>
      <w:r>
        <w:rPr>
          <w:rFonts w:ascii="黑体" w:eastAsia="黑体" w:hAnsi="黑体" w:cs="黑体" w:hint="eastAsia"/>
          <w:snapToGrid w:val="0"/>
          <w:color w:val="000000"/>
          <w:kern w:val="0"/>
          <w:sz w:val="44"/>
          <w:szCs w:val="44"/>
        </w:rPr>
        <w:t>偃师区政务服务提升专项行动方案</w:t>
      </w:r>
    </w:p>
    <w:p w14:paraId="355B65AB" w14:textId="77777777" w:rsidR="00C97237" w:rsidRDefault="00C97237">
      <w:pPr>
        <w:spacing w:line="580" w:lineRule="exact"/>
        <w:jc w:val="center"/>
        <w:rPr>
          <w:rFonts w:ascii="仿宋" w:eastAsia="仿宋" w:hAnsi="仿宋" w:cs="仿宋"/>
          <w:snapToGrid w:val="0"/>
          <w:color w:val="000000"/>
          <w:kern w:val="0"/>
          <w:sz w:val="32"/>
          <w:szCs w:val="32"/>
        </w:rPr>
      </w:pPr>
    </w:p>
    <w:p w14:paraId="0E580EB7"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为持续优化提升政务服务能力和水平，打造一流的营商环境，提升企业群众获得感、幸福感，根据《偃师区营商环境优化提升总体方案（2022版）》相关要求，结合我区实际，制定本方案。</w:t>
      </w:r>
    </w:p>
    <w:p w14:paraId="633941CB" w14:textId="77777777" w:rsidR="00C97237" w:rsidRDefault="00000000">
      <w:pPr>
        <w:adjustRightInd w:val="0"/>
        <w:snapToGrid w:val="0"/>
        <w:spacing w:line="580" w:lineRule="exact"/>
        <w:ind w:firstLineChars="200" w:firstLine="640"/>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一、指导思想</w:t>
      </w:r>
    </w:p>
    <w:p w14:paraId="269DF53E"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以习近平新时代中国特色社会主义思想为指导，全面贯彻党的十九大和十九届历次全会精神，深入贯彻习近平总书记视察河南重要讲话重要指示，认真落实省第十一次党代会、市第十二次党代会、区第一次党代会等重要会议精神，进一步深化“放管服效”改革，以便民利企为导向，对标国内一流水平，提升政务服</w:t>
      </w:r>
      <w:r>
        <w:rPr>
          <w:rFonts w:ascii="仿宋" w:eastAsia="仿宋" w:hAnsi="仿宋" w:cs="仿宋" w:hint="eastAsia"/>
          <w:snapToGrid w:val="0"/>
          <w:color w:val="000000"/>
          <w:spacing w:val="-8"/>
          <w:kern w:val="0"/>
          <w:sz w:val="32"/>
          <w:szCs w:val="32"/>
        </w:rPr>
        <w:t>务标准化，推动数据联通归集共享，优化“互联网+政务服务”，创新政务服务方式，以优质高效的政务服务推动一流营商环境建设。</w:t>
      </w:r>
    </w:p>
    <w:p w14:paraId="14D625F7" w14:textId="77777777" w:rsidR="00C97237" w:rsidRDefault="00000000">
      <w:pPr>
        <w:adjustRightInd w:val="0"/>
        <w:snapToGrid w:val="0"/>
        <w:spacing w:line="580" w:lineRule="exact"/>
        <w:ind w:firstLineChars="200" w:firstLine="640"/>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二、工作目标</w:t>
      </w:r>
    </w:p>
    <w:p w14:paraId="767B316B"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2022年底，落地实施省定第一批 30件“一件事一次办”事项清单；2022年底前，围绕与企业群众生产生活密切相关的重点领域和办件量较大的高频事项，再梳理一批“一件事一次办”事项清单，并推动落地实施；实现市级证照目录中高频使用电子证照存量数据“应制尽制”；“洛快办”APP上线高频便民服务应用数达100项，便民服务“掌上办”注册比率达到70%以上，政务服务事项达2013项；区级政务服</w:t>
      </w:r>
      <w:r>
        <w:rPr>
          <w:rFonts w:ascii="仿宋" w:eastAsia="仿宋" w:hAnsi="仿宋" w:cs="仿宋" w:hint="eastAsia"/>
          <w:snapToGrid w:val="0"/>
          <w:color w:val="000000"/>
          <w:kern w:val="0"/>
          <w:sz w:val="32"/>
          <w:szCs w:val="32"/>
        </w:rPr>
        <w:lastRenderedPageBreak/>
        <w:t>务事项进驻政务服务大厅（涉密和对场地有特殊要求的事项除外）和综合窗口受理率（即办件除外）均达到 100%。</w:t>
      </w:r>
    </w:p>
    <w:p w14:paraId="6F23DB04" w14:textId="77777777" w:rsidR="00C97237" w:rsidRDefault="00000000">
      <w:pPr>
        <w:adjustRightInd w:val="0"/>
        <w:snapToGrid w:val="0"/>
        <w:spacing w:line="580" w:lineRule="exact"/>
        <w:ind w:firstLineChars="200" w:firstLine="640"/>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三、主要措施</w:t>
      </w:r>
    </w:p>
    <w:p w14:paraId="4D96201D"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（一）提高政务服务事项便利度</w:t>
      </w:r>
    </w:p>
    <w:p w14:paraId="135AD586"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1．深入推进政务服务事项标准化。</w:t>
      </w:r>
      <w:r>
        <w:rPr>
          <w:rFonts w:ascii="仿宋" w:eastAsia="仿宋" w:hAnsi="仿宋" w:cs="仿宋" w:hint="eastAsia"/>
          <w:snapToGrid w:val="0"/>
          <w:color w:val="000000"/>
          <w:kern w:val="0"/>
          <w:sz w:val="32"/>
          <w:szCs w:val="32"/>
        </w:rPr>
        <w:t>做好国家行政许可事项清单和行政备案事项清单衔接落实工作，河南省政务服务事项基本目录动态调整工作，持续细化优化政务服务事项办理场景。巩固政务服务事项“三级三十二同”成果，推进政务服务标准化向基层延伸，根据《河南省偃师区乡村两级政务服务事项指导目录》梳理公布《偃师区偃师区乡村两级政务服务事项指导目录》。持续推进服务事项在河南政务服务网应上尽上、办事指南精准实用。</w:t>
      </w:r>
    </w:p>
    <w:p w14:paraId="1EBE391E"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时间节点：2022年12月</w:t>
      </w:r>
    </w:p>
    <w:p w14:paraId="02A1F9A9"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责任单位：区行政服务中心牵头，市直相关部门配合。</w:t>
      </w:r>
    </w:p>
    <w:p w14:paraId="1AF37FFE"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2．持续优化服务流程，全面推行“一件事一次办”。</w:t>
      </w:r>
      <w:r>
        <w:rPr>
          <w:rFonts w:ascii="仿宋" w:eastAsia="仿宋" w:hAnsi="仿宋" w:cs="仿宋" w:hint="eastAsia"/>
          <w:snapToGrid w:val="0"/>
          <w:color w:val="000000"/>
          <w:kern w:val="0"/>
          <w:sz w:val="32"/>
          <w:szCs w:val="32"/>
        </w:rPr>
        <w:t>落实河南省“一件事一次办”改革实施方案，围绕企业和群众眼中的 “一件事”，建立数据共享、业务协同、线上线下融合新机制，通过环节整合、流程优化，实行“一次告知、一表申请、一窗受理、一网通办、一次办好”。2022年12月，围绕与企业群众生产生活密切相关的重点领域和办件量较大的高频事项，再梳理一批 “一件事一次办”事项清单，并推动落地实施。</w:t>
      </w:r>
    </w:p>
    <w:p w14:paraId="0A820494"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时间节点：2022年12月</w:t>
      </w:r>
    </w:p>
    <w:p w14:paraId="38F648F4"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责任单位：区行政服务中心牵头，区直相关部门配合。</w:t>
      </w:r>
    </w:p>
    <w:p w14:paraId="5B599267"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lastRenderedPageBreak/>
        <w:t>3．创新审批服务方式，深化“全豫通办”“跨省通办”。</w:t>
      </w:r>
      <w:r>
        <w:rPr>
          <w:rFonts w:ascii="仿宋" w:eastAsia="仿宋" w:hAnsi="仿宋" w:cs="仿宋" w:hint="eastAsia"/>
          <w:snapToGrid w:val="0"/>
          <w:color w:val="000000"/>
          <w:kern w:val="0"/>
          <w:sz w:val="32"/>
          <w:szCs w:val="32"/>
        </w:rPr>
        <w:t>深化“全豫通办”，优化“全豫通办”窗口服务方式，加快推进市建业务审批系统与市统一受理平台对接，2022年底前实现依申请类政务服务事项“应接尽接”，同一事项异地可办、“全豫通办”。深化“跨省通办”，总结“跨省通办”试点经验，完善配套制度和业务规程，加强政务服务机构“跨省通办”能力建设，优化全国高频政务服务事项“跨省通办”业务模式，拓展“跨省通办”地区范围，推动更多服务事项实现“跨省通办”。进一步拓展“智慧政务”服务模式，探索开展“无感智办”，以数据集成和共享为支撑，明确审批规则，推行无人工干预的 “智能审批”，提高审批效率，规范审批自由裁量权。</w:t>
      </w:r>
    </w:p>
    <w:p w14:paraId="16526A7D"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时间节点：持续推进</w:t>
      </w:r>
    </w:p>
    <w:p w14:paraId="72CBF48E"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责任单位：区行政服务中心牵头，区直相关部门配合。</w:t>
      </w:r>
    </w:p>
    <w:p w14:paraId="1571DFCD"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（二）推动政务数据共享</w:t>
      </w:r>
    </w:p>
    <w:p w14:paraId="4CA38AD2"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1．推进电子证照生成制作及应用推广。</w:t>
      </w:r>
      <w:r>
        <w:rPr>
          <w:rFonts w:ascii="仿宋" w:eastAsia="仿宋" w:hAnsi="仿宋" w:cs="仿宋" w:hint="eastAsia"/>
          <w:snapToGrid w:val="0"/>
          <w:color w:val="000000"/>
          <w:kern w:val="0"/>
          <w:sz w:val="32"/>
          <w:szCs w:val="32"/>
        </w:rPr>
        <w:t>持续推进不动产权证书、不动产登记证明、建设工程规划许可证、建筑施工特种作业人员操作资格证书、二级建造师注册证书等高频电子证照数据归集和制发，实现电子证照责任清单中的电子证照种类“应制尽制”，支撑电子证照数据共享、证照申报调用、证照查询等应用场景，加快电子证照系统与偃师区一级工程建设项目审批管理系统等自建业务系统对接，丰富证照应用场景，优化办事流程，减少实体材料提交，让企业和群众有实实在在的获得感。</w:t>
      </w:r>
    </w:p>
    <w:p w14:paraId="391181D7"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lastRenderedPageBreak/>
        <w:t>时间节点：持续推进</w:t>
      </w:r>
    </w:p>
    <w:p w14:paraId="6FAEEFFE"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责任单位：区行政服务中心牵头，区直相关部门配合。</w:t>
      </w:r>
    </w:p>
    <w:p w14:paraId="2539C9C7"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2．推动政务信息系统迁移上云。</w:t>
      </w:r>
      <w:r>
        <w:rPr>
          <w:rFonts w:ascii="仿宋" w:eastAsia="仿宋" w:hAnsi="仿宋" w:cs="仿宋" w:hint="eastAsia"/>
          <w:snapToGrid w:val="0"/>
          <w:color w:val="000000"/>
          <w:kern w:val="0"/>
          <w:sz w:val="32"/>
          <w:szCs w:val="32"/>
        </w:rPr>
        <w:t>依托偃师区政务云，按照“新建系统全部上云，存量系统应上尽上”原则，加快推进各镇（街道）、区直单位业务系统迁移上云。建立完善政务云资源申请、变更、计费、注销、评价等制度规范，为各单位提供良好的技术服务和支撑。</w:t>
      </w:r>
    </w:p>
    <w:p w14:paraId="34FE9D5A"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时间节点：持续推进</w:t>
      </w:r>
    </w:p>
    <w:p w14:paraId="26E7592B"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责任单位：区政务服务和大数据管理局牵头，区直相关部门配合。</w:t>
      </w:r>
    </w:p>
    <w:p w14:paraId="14548770"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3．</w:t>
      </w:r>
      <w:r>
        <w:rPr>
          <w:rFonts w:ascii="仿宋" w:eastAsia="仿宋" w:hAnsi="仿宋" w:cs="仿宋" w:hint="eastAsia"/>
          <w:b/>
          <w:bCs/>
          <w:snapToGrid w:val="0"/>
          <w:color w:val="000000"/>
          <w:kern w:val="0"/>
          <w:sz w:val="32"/>
          <w:szCs w:val="32"/>
        </w:rPr>
        <w:t>完善全市政务“一张网”。</w:t>
      </w:r>
      <w:r>
        <w:rPr>
          <w:rFonts w:ascii="仿宋" w:eastAsia="仿宋" w:hAnsi="仿宋" w:cs="仿宋" w:hint="eastAsia"/>
          <w:snapToGrid w:val="0"/>
          <w:color w:val="000000"/>
          <w:kern w:val="0"/>
          <w:sz w:val="32"/>
          <w:szCs w:val="32"/>
        </w:rPr>
        <w:t>积极推进偃师区电子政务外网IPv6升级改造，对电子政务外网核心机房设备进行升级替换，实现IPv4、IPv6双栈运行，适时推进各镇（街道）、区直部门电子政务外网IPv6改造，提升网络容量和安全防护水平。依托电子政务外网，逐步推进卫健、环保等部门非涉密专网向电子政务外网迁移融合，提升节点多业务支撑能力。</w:t>
      </w:r>
    </w:p>
    <w:p w14:paraId="09DC8BBD"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时间节点：持续推进</w:t>
      </w:r>
    </w:p>
    <w:p w14:paraId="6CE9800A"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责任单位：区政务服务和大数据管理局牵头，区直相关部门配合。</w:t>
      </w:r>
    </w:p>
    <w:p w14:paraId="54E1EA2E"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4．完善数据共享交换平台功能。</w:t>
      </w:r>
      <w:r>
        <w:rPr>
          <w:rFonts w:ascii="仿宋" w:eastAsia="仿宋" w:hAnsi="仿宋" w:cs="仿宋" w:hint="eastAsia"/>
          <w:snapToGrid w:val="0"/>
          <w:color w:val="000000"/>
          <w:kern w:val="0"/>
          <w:sz w:val="32"/>
          <w:szCs w:val="32"/>
        </w:rPr>
        <w:t>推动数据汇聚，积极配合偃师区人口、法人、经济、空间地理、电子证照等基础库和主题库建设，推动政务数据逐步从“单部门分割化”向“多部门协同化”的转变。开展数据普查，梳理全区数据资</w:t>
      </w:r>
      <w:r>
        <w:rPr>
          <w:rFonts w:ascii="仿宋" w:eastAsia="仿宋" w:hAnsi="仿宋" w:cs="仿宋" w:hint="eastAsia"/>
          <w:snapToGrid w:val="0"/>
          <w:color w:val="000000"/>
          <w:kern w:val="0"/>
          <w:sz w:val="32"/>
          <w:szCs w:val="32"/>
        </w:rPr>
        <w:lastRenderedPageBreak/>
        <w:t>源目录，推进数据挂载，通过数据共享平台交换数据，有效提升政务数据时效性和精确性。</w:t>
      </w:r>
    </w:p>
    <w:p w14:paraId="79E1CBF0"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时间节点：持续推进</w:t>
      </w:r>
    </w:p>
    <w:p w14:paraId="66599F3C"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责任单位：区政务服务和大数据管理局牵头，区直相关部门配合。</w:t>
      </w:r>
    </w:p>
    <w:p w14:paraId="173EB41D"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（三）提升网上政务服务能力</w:t>
      </w:r>
    </w:p>
    <w:p w14:paraId="5B9084EA"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1．不断强化政务服务平台功能。</w:t>
      </w:r>
      <w:r>
        <w:rPr>
          <w:rFonts w:ascii="仿宋" w:eastAsia="仿宋" w:hAnsi="仿宋" w:cs="仿宋" w:hint="eastAsia"/>
          <w:snapToGrid w:val="0"/>
          <w:color w:val="000000"/>
          <w:kern w:val="0"/>
          <w:sz w:val="32"/>
          <w:szCs w:val="32"/>
        </w:rPr>
        <w:t>聚焦企业和群众需求，以应用为牵引，实施区级政务服务能力优化提升项目，推动政务服务事项标准化、精细化管理，重点打造“一件事一次办”“一证通办”“区域通办”“涉老服务”“企业服务”等服务场景，加快推进“网上办”“掌上办”，提升政务服务网办能力，让企业和群众网上办事“好办、快办”。</w:t>
      </w:r>
    </w:p>
    <w:p w14:paraId="5247F0AE"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时间节点：2022年12月</w:t>
      </w:r>
    </w:p>
    <w:p w14:paraId="2CE91DBA"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责任单位：区行政服务中心牵头，区直相关部门配合。</w:t>
      </w:r>
    </w:p>
    <w:p w14:paraId="06262C3C"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2．持续推进政务服务移动端应用。</w:t>
      </w:r>
      <w:r>
        <w:rPr>
          <w:rFonts w:ascii="仿宋" w:eastAsia="仿宋" w:hAnsi="仿宋" w:cs="仿宋" w:hint="eastAsia"/>
          <w:snapToGrid w:val="0"/>
          <w:color w:val="000000"/>
          <w:kern w:val="0"/>
          <w:sz w:val="32"/>
          <w:szCs w:val="32"/>
        </w:rPr>
        <w:t>依托偃师区政务服务建设成果，整合政务服务各类资源，结合企业群众需求，持续推广“洛快办”</w:t>
      </w:r>
      <w:r>
        <w:rPr>
          <w:rFonts w:ascii="仿宋" w:eastAsia="仿宋" w:hAnsi="仿宋" w:cs="仿宋" w:hint="eastAsia"/>
          <w:b/>
          <w:bCs/>
          <w:snapToGrid w:val="0"/>
          <w:color w:val="000000"/>
          <w:kern w:val="0"/>
          <w:sz w:val="32"/>
          <w:szCs w:val="32"/>
        </w:rPr>
        <w:t>APP</w:t>
      </w:r>
      <w:r>
        <w:rPr>
          <w:rFonts w:ascii="仿宋" w:eastAsia="仿宋" w:hAnsi="仿宋" w:cs="仿宋" w:hint="eastAsia"/>
          <w:snapToGrid w:val="0"/>
          <w:color w:val="000000"/>
          <w:kern w:val="0"/>
          <w:sz w:val="32"/>
          <w:szCs w:val="32"/>
        </w:rPr>
        <w:t>和特色应用。2022年底前，累计上线100项高频便民服务应用，上线 2013个政务服务事项，便民服务“掌上办”注册比率达到70%以上。</w:t>
      </w:r>
    </w:p>
    <w:p w14:paraId="017BAE1A"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时间节点：2022年12月</w:t>
      </w:r>
    </w:p>
    <w:p w14:paraId="00D2C6AF"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责任单位：区行政服务中心牵头，区直相关部门配合。</w:t>
      </w:r>
    </w:p>
    <w:p w14:paraId="311CD3A2"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3．规范行政审批中介服务。</w:t>
      </w:r>
      <w:r>
        <w:rPr>
          <w:rFonts w:ascii="仿宋" w:eastAsia="仿宋" w:hAnsi="仿宋" w:cs="仿宋" w:hint="eastAsia"/>
          <w:snapToGrid w:val="0"/>
          <w:color w:val="000000"/>
          <w:kern w:val="0"/>
          <w:sz w:val="32"/>
          <w:szCs w:val="32"/>
        </w:rPr>
        <w:t>贯彻落实洛阳市关于规范行政审批中介服务要求，加强对行政审批中介服务事项管理，规范中介服务行为，提高中介服务质量和效率，降低制</w:t>
      </w:r>
      <w:r>
        <w:rPr>
          <w:rFonts w:ascii="仿宋" w:eastAsia="仿宋" w:hAnsi="仿宋" w:cs="仿宋" w:hint="eastAsia"/>
          <w:snapToGrid w:val="0"/>
          <w:color w:val="000000"/>
          <w:kern w:val="0"/>
          <w:sz w:val="32"/>
          <w:szCs w:val="32"/>
        </w:rPr>
        <w:lastRenderedPageBreak/>
        <w:t>度性交易成本。依托洛阳市网上中介服务超市平台，探索区一级行政审批中介服务事项网上展示、网上选取、网上竞价、网上评价。解决中介服务环节多、耗时长、市场垄断、“红顶中介”等问题。</w:t>
      </w:r>
    </w:p>
    <w:p w14:paraId="39EFCBB3"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时间节点：2022年12月</w:t>
      </w:r>
    </w:p>
    <w:p w14:paraId="3F66550D"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责任单位：区政务服务和大数据管理局牵头，区直相关部门配合。</w:t>
      </w:r>
    </w:p>
    <w:p w14:paraId="53D9ACBD"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4．推动惠企政策。</w:t>
      </w:r>
      <w:r>
        <w:rPr>
          <w:rFonts w:ascii="仿宋" w:eastAsia="仿宋" w:hAnsi="仿宋" w:cs="仿宋" w:hint="eastAsia"/>
          <w:snapToGrid w:val="0"/>
          <w:color w:val="000000"/>
          <w:kern w:val="0"/>
          <w:sz w:val="32"/>
          <w:szCs w:val="32"/>
        </w:rPr>
        <w:t>依托政务服务网打造统一企业服务平台，实现“政策发布、服务汇聚、企业查询、政策推送、免申即享、业务办理、诉求直达”全链条在线服务功能。汇聚梳理涉企政策文件，对企业精准画像，实现政策主动推送和精准匹配，推动实现“企业找政策”向“政策找企业”、从企业被动申请到系统自动匹配、从人工层层审批到平台自动审批的转变，推动实现惠企政策免申即享、快速兑现。</w:t>
      </w:r>
    </w:p>
    <w:p w14:paraId="60C4A068"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时间节点：2022年12月</w:t>
      </w:r>
    </w:p>
    <w:p w14:paraId="724A9623"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责任单位：区政务服务和大数据管理局牵头，区直相关部门配合。</w:t>
      </w:r>
    </w:p>
    <w:p w14:paraId="326EAD2F"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（四）优化实体政务大厅“一站式”功能</w:t>
      </w:r>
    </w:p>
    <w:p w14:paraId="5AF6B046"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1．持续推动政务服务集中办理、综合受理。</w:t>
      </w:r>
      <w:r>
        <w:rPr>
          <w:rFonts w:ascii="仿宋" w:eastAsia="仿宋" w:hAnsi="仿宋" w:cs="仿宋" w:hint="eastAsia"/>
          <w:snapToGrid w:val="0"/>
          <w:color w:val="000000"/>
          <w:kern w:val="0"/>
          <w:sz w:val="32"/>
          <w:szCs w:val="32"/>
        </w:rPr>
        <w:t>除涉密和对场地有特殊要求的事项并经区政府批准外，区一级政务服务事项全部进驻政务服务大厅办理。因场地限制暂时无法整体进驻的，要在政务服务大厅设立综合受理窗口，确保企业和群众“进一扇门，能办</w:t>
      </w:r>
      <w:r>
        <w:rPr>
          <w:rFonts w:ascii="仿宋" w:eastAsia="仿宋" w:hAnsi="仿宋" w:cs="仿宋" w:hint="eastAsia"/>
          <w:snapToGrid w:val="0"/>
          <w:color w:val="000000"/>
          <w:spacing w:val="-6"/>
          <w:kern w:val="0"/>
          <w:sz w:val="32"/>
          <w:szCs w:val="32"/>
        </w:rPr>
        <w:t>所有事”。区政务服务大厅实行“前台综合受理、后台分类审批、综合窗口出件”服务模式，结合</w:t>
      </w:r>
      <w:r>
        <w:rPr>
          <w:rFonts w:ascii="仿宋" w:eastAsia="仿宋" w:hAnsi="仿宋" w:cs="仿宋" w:hint="eastAsia"/>
          <w:snapToGrid w:val="0"/>
          <w:color w:val="000000"/>
          <w:spacing w:val="-6"/>
          <w:kern w:val="0"/>
          <w:sz w:val="32"/>
          <w:szCs w:val="32"/>
        </w:rPr>
        <w:lastRenderedPageBreak/>
        <w:t>实际设置部门综合窗口、“一件事”综合窗口、“全科无差别”综合窗口等，实现综合窗口全覆盖。</w:t>
      </w:r>
    </w:p>
    <w:p w14:paraId="44D56338"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时间节点：持续推进</w:t>
      </w:r>
    </w:p>
    <w:p w14:paraId="494C2380"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责任单位：区行政服务中心牵头，区直相关部门配合。</w:t>
      </w:r>
    </w:p>
    <w:p w14:paraId="08FABC45"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2．全面推行有诉即应服务机制。</w:t>
      </w:r>
      <w:r>
        <w:rPr>
          <w:rFonts w:ascii="仿宋" w:eastAsia="仿宋" w:hAnsi="仿宋" w:cs="仿宋" w:hint="eastAsia"/>
          <w:snapToGrid w:val="0"/>
          <w:color w:val="000000"/>
          <w:kern w:val="0"/>
          <w:sz w:val="32"/>
          <w:szCs w:val="32"/>
        </w:rPr>
        <w:t>区政务服务大厅整合各类咨询投诉平台，设立“有事请找我”专区或者有诉即应窗口，健全完善“有诉即接、有诉即应、有诉必办、有诉即办”工作机制，切实解决办事求人的问题，实现无差别平等对待。</w:t>
      </w:r>
    </w:p>
    <w:p w14:paraId="16156395"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时间节点：2022年6月</w:t>
      </w:r>
    </w:p>
    <w:p w14:paraId="4D9A0DAA"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责任单位：区行政服务中心牵头，区直相关部门配合。</w:t>
      </w:r>
    </w:p>
    <w:p w14:paraId="2A0B17FD"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（五）提升政务服务满意度</w:t>
      </w:r>
    </w:p>
    <w:p w14:paraId="06A4079A"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1．加强“好差评”结果运用。</w:t>
      </w:r>
      <w:r>
        <w:rPr>
          <w:rFonts w:ascii="仿宋" w:eastAsia="仿宋" w:hAnsi="仿宋" w:cs="仿宋" w:hint="eastAsia"/>
          <w:snapToGrid w:val="0"/>
          <w:color w:val="000000"/>
          <w:kern w:val="0"/>
          <w:sz w:val="32"/>
          <w:szCs w:val="32"/>
        </w:rPr>
        <w:t>继续推进政务服务“好差评”事项全覆盖、评价对象全覆盖、服务渠道全覆盖，加强对评价数据的综合分析和应用，及时归纳发现政务服务的堵点和难点，分析研判企业群众的诉求和期盼，找准服务企业群众的切入点和着力点，推进服务供给精细化。对企业群众反映集中的问题，限期依法依规整改解决，实名差评回访整改率达到100%。建立健全考核指标体系，开展以数据为支撑、结果为导向的“好差评”工作推进情况年度评价。</w:t>
      </w:r>
    </w:p>
    <w:p w14:paraId="5DC44562"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时间节点：2022年12月</w:t>
      </w:r>
    </w:p>
    <w:p w14:paraId="4DA6A169"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责任单位：区行政服务中心牵头，区直相关部门配合。</w:t>
      </w:r>
    </w:p>
    <w:p w14:paraId="0C8B06B3" w14:textId="77777777" w:rsidR="00C97237" w:rsidRDefault="00000000">
      <w:pPr>
        <w:adjustRightInd w:val="0"/>
        <w:snapToGrid w:val="0"/>
        <w:spacing w:line="580" w:lineRule="exact"/>
        <w:ind w:firstLineChars="200" w:firstLine="643"/>
        <w:rPr>
          <w:rFonts w:ascii="仿宋" w:eastAsia="仿宋" w:hAnsi="仿宋" w:cs="仿宋"/>
          <w:snapToGrid w:val="0"/>
          <w:color w:val="000000"/>
          <w:kern w:val="0"/>
          <w:sz w:val="32"/>
          <w:szCs w:val="32"/>
        </w:rPr>
      </w:pPr>
      <w:r>
        <w:rPr>
          <w:rFonts w:ascii="仿宋" w:eastAsia="仿宋" w:hAnsi="仿宋" w:cs="仿宋" w:hint="eastAsia"/>
          <w:b/>
          <w:bCs/>
          <w:snapToGrid w:val="0"/>
          <w:color w:val="000000"/>
          <w:kern w:val="0"/>
          <w:sz w:val="32"/>
          <w:szCs w:val="32"/>
        </w:rPr>
        <w:t>2．持续做好一体化政务服务平台咨询投诉工作。</w:t>
      </w:r>
      <w:r>
        <w:rPr>
          <w:rFonts w:ascii="仿宋" w:eastAsia="仿宋" w:hAnsi="仿宋" w:cs="仿宋" w:hint="eastAsia"/>
          <w:snapToGrid w:val="0"/>
          <w:color w:val="000000"/>
          <w:kern w:val="0"/>
          <w:sz w:val="32"/>
          <w:szCs w:val="32"/>
        </w:rPr>
        <w:t>及时回应诉求。相关单位要明确专责部门和人员，及时接收、处</w:t>
      </w:r>
      <w:r>
        <w:rPr>
          <w:rFonts w:ascii="仿宋" w:eastAsia="仿宋" w:hAnsi="仿宋" w:cs="仿宋" w:hint="eastAsia"/>
          <w:snapToGrid w:val="0"/>
          <w:color w:val="000000"/>
          <w:kern w:val="0"/>
          <w:sz w:val="32"/>
          <w:szCs w:val="32"/>
        </w:rPr>
        <w:lastRenderedPageBreak/>
        <w:t>理涉及本部门的咨询投诉，实现企业和群众诉求件件有落实、事事有回应，咨询投诉按期办结率达到100%。提高办理质量。对企业和群众的咨询回复要简洁清晰、便于理解，对投诉的问题要查清事实、解决到位，加强对回复内容的审核，确保办理质量过硬。加强同类问题整改。及时分析本部门咨询投诉及办理情况，对企业和群众反映强烈、投诉集中的问题，要深入查找原因、采取有效措施、切实整改到位，避免同类问题重复投诉。</w:t>
      </w:r>
    </w:p>
    <w:p w14:paraId="4C8CB46D"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时间节点：持续推进</w:t>
      </w:r>
    </w:p>
    <w:p w14:paraId="4CF2AAAA"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责任单位：区行政服务中心牵头，区直相关部门配合。</w:t>
      </w:r>
    </w:p>
    <w:p w14:paraId="148A1945" w14:textId="77777777" w:rsidR="00C97237" w:rsidRDefault="00000000">
      <w:pPr>
        <w:adjustRightInd w:val="0"/>
        <w:snapToGrid w:val="0"/>
        <w:spacing w:line="580" w:lineRule="exact"/>
        <w:ind w:firstLineChars="200" w:firstLine="640"/>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四、指标对比</w:t>
      </w:r>
    </w:p>
    <w:tbl>
      <w:tblPr>
        <w:tblStyle w:val="ac"/>
        <w:tblW w:w="8898" w:type="dxa"/>
        <w:tblLayout w:type="fixed"/>
        <w:tblLook w:val="04A0" w:firstRow="1" w:lastRow="0" w:firstColumn="1" w:lastColumn="0" w:noHBand="0" w:noVBand="1"/>
      </w:tblPr>
      <w:tblGrid>
        <w:gridCol w:w="2070"/>
        <w:gridCol w:w="2854"/>
        <w:gridCol w:w="3974"/>
      </w:tblGrid>
      <w:tr w:rsidR="00C97237" w14:paraId="1029B8B1" w14:textId="77777777">
        <w:trPr>
          <w:trHeight w:val="742"/>
          <w:tblHeader/>
        </w:trPr>
        <w:tc>
          <w:tcPr>
            <w:tcW w:w="2070" w:type="dxa"/>
            <w:vAlign w:val="center"/>
          </w:tcPr>
          <w:p w14:paraId="10F839EC" w14:textId="77777777" w:rsidR="00C97237" w:rsidRDefault="00000000">
            <w:pPr>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指标（项目）</w:t>
            </w:r>
          </w:p>
        </w:tc>
        <w:tc>
          <w:tcPr>
            <w:tcW w:w="2854" w:type="dxa"/>
            <w:vAlign w:val="center"/>
          </w:tcPr>
          <w:p w14:paraId="1DD2BBA6" w14:textId="77777777" w:rsidR="00C97237" w:rsidRDefault="00000000">
            <w:pPr>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现状水平</w:t>
            </w:r>
          </w:p>
        </w:tc>
        <w:tc>
          <w:tcPr>
            <w:tcW w:w="3974" w:type="dxa"/>
            <w:vAlign w:val="center"/>
          </w:tcPr>
          <w:p w14:paraId="38758986" w14:textId="77777777" w:rsidR="00C97237" w:rsidRDefault="00000000">
            <w:pPr>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2022年12月目标</w:t>
            </w:r>
          </w:p>
        </w:tc>
      </w:tr>
      <w:tr w:rsidR="00C97237" w14:paraId="0E146DBE" w14:textId="77777777">
        <w:trPr>
          <w:trHeight w:val="2492"/>
        </w:trPr>
        <w:tc>
          <w:tcPr>
            <w:tcW w:w="2070" w:type="dxa"/>
            <w:vAlign w:val="center"/>
          </w:tcPr>
          <w:p w14:paraId="2B9F1E11"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“一件事一次办”</w:t>
            </w:r>
          </w:p>
        </w:tc>
        <w:tc>
          <w:tcPr>
            <w:tcW w:w="2854" w:type="dxa"/>
            <w:vAlign w:val="center"/>
          </w:tcPr>
          <w:p w14:paraId="12513BC2"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已完成 25件“一件事”主题集成服务梳理</w:t>
            </w:r>
          </w:p>
        </w:tc>
        <w:tc>
          <w:tcPr>
            <w:tcW w:w="3974" w:type="dxa"/>
            <w:vAlign w:val="center"/>
          </w:tcPr>
          <w:p w14:paraId="516E4330"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完成省定第一批 30件“一件事一次办”事项清单，围绕重点领域和办件量较大的高频事项，再梳理 5项“一件事一次办”事项清单，推动落地实施。</w:t>
            </w:r>
          </w:p>
        </w:tc>
      </w:tr>
      <w:tr w:rsidR="00C97237" w14:paraId="5D03D31E" w14:textId="77777777">
        <w:trPr>
          <w:trHeight w:val="1866"/>
        </w:trPr>
        <w:tc>
          <w:tcPr>
            <w:tcW w:w="2070" w:type="dxa"/>
            <w:vAlign w:val="center"/>
          </w:tcPr>
          <w:p w14:paraId="40C2DBAE"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移动政务服务能力</w:t>
            </w:r>
          </w:p>
        </w:tc>
        <w:tc>
          <w:tcPr>
            <w:tcW w:w="2854" w:type="dxa"/>
            <w:vAlign w:val="center"/>
          </w:tcPr>
          <w:p w14:paraId="0E726AE5"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已上线 75个高频便民服务应用和 1964个政务服务事项</w:t>
            </w:r>
          </w:p>
        </w:tc>
        <w:tc>
          <w:tcPr>
            <w:tcW w:w="3974" w:type="dxa"/>
            <w:vAlign w:val="center"/>
          </w:tcPr>
          <w:p w14:paraId="567B8E02"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累计上线100个高频便民服务应用和2013个政务服务事项。</w:t>
            </w:r>
          </w:p>
        </w:tc>
      </w:tr>
      <w:tr w:rsidR="00C97237" w14:paraId="30A381DD" w14:textId="77777777">
        <w:trPr>
          <w:trHeight w:val="1287"/>
        </w:trPr>
        <w:tc>
          <w:tcPr>
            <w:tcW w:w="2070" w:type="dxa"/>
            <w:vAlign w:val="center"/>
          </w:tcPr>
          <w:p w14:paraId="76C7116B"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lastRenderedPageBreak/>
              <w:t>“一窗”分类受理率</w:t>
            </w:r>
          </w:p>
        </w:tc>
        <w:tc>
          <w:tcPr>
            <w:tcW w:w="2854" w:type="dxa"/>
            <w:vAlign w:val="center"/>
          </w:tcPr>
          <w:p w14:paraId="4DF428D0" w14:textId="77777777" w:rsidR="00C97237" w:rsidRDefault="00C97237">
            <w:pPr>
              <w:snapToGrid w:val="0"/>
              <w:spacing w:line="580" w:lineRule="exact"/>
              <w:jc w:val="center"/>
              <w:rPr>
                <w:rFonts w:ascii="仿宋" w:eastAsia="仿宋" w:hAnsi="仿宋" w:cs="仿宋"/>
                <w:color w:val="000000"/>
                <w:sz w:val="32"/>
                <w:szCs w:val="32"/>
              </w:rPr>
            </w:pPr>
          </w:p>
          <w:p w14:paraId="2ACE7F9E"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达 80%以上</w:t>
            </w:r>
          </w:p>
        </w:tc>
        <w:tc>
          <w:tcPr>
            <w:tcW w:w="3974" w:type="dxa"/>
            <w:vAlign w:val="center"/>
          </w:tcPr>
          <w:p w14:paraId="4F0291E3"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除即办件外，政务服务实体大厅实现全覆盖。</w:t>
            </w:r>
          </w:p>
        </w:tc>
      </w:tr>
      <w:tr w:rsidR="00C97237" w14:paraId="407B6B09" w14:textId="77777777">
        <w:trPr>
          <w:trHeight w:val="1527"/>
        </w:trPr>
        <w:tc>
          <w:tcPr>
            <w:tcW w:w="2070" w:type="dxa"/>
            <w:vAlign w:val="center"/>
          </w:tcPr>
          <w:p w14:paraId="0BB9D14E"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实名差评按期整改率</w:t>
            </w:r>
          </w:p>
        </w:tc>
        <w:tc>
          <w:tcPr>
            <w:tcW w:w="2854" w:type="dxa"/>
            <w:vAlign w:val="center"/>
          </w:tcPr>
          <w:p w14:paraId="729F64E4"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实名差评按期整改率100%</w:t>
            </w:r>
          </w:p>
        </w:tc>
        <w:tc>
          <w:tcPr>
            <w:tcW w:w="3974" w:type="dxa"/>
            <w:vAlign w:val="center"/>
          </w:tcPr>
          <w:p w14:paraId="67EE6A93"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实名差评按期整改率达到100%。</w:t>
            </w:r>
          </w:p>
        </w:tc>
      </w:tr>
      <w:tr w:rsidR="00C97237" w14:paraId="48278BAC" w14:textId="77777777">
        <w:trPr>
          <w:trHeight w:val="1866"/>
        </w:trPr>
        <w:tc>
          <w:tcPr>
            <w:tcW w:w="2070" w:type="dxa"/>
            <w:vAlign w:val="center"/>
          </w:tcPr>
          <w:p w14:paraId="59C605BE"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政务服务平台咨询投诉按期办结率</w:t>
            </w:r>
          </w:p>
        </w:tc>
        <w:tc>
          <w:tcPr>
            <w:tcW w:w="2854" w:type="dxa"/>
            <w:vAlign w:val="center"/>
          </w:tcPr>
          <w:p w14:paraId="1CD7432F"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咨询按期办结率100% ；投诉按期办结率 100%</w:t>
            </w:r>
          </w:p>
        </w:tc>
        <w:tc>
          <w:tcPr>
            <w:tcW w:w="3974" w:type="dxa"/>
            <w:vAlign w:val="center"/>
          </w:tcPr>
          <w:p w14:paraId="093930E7" w14:textId="77777777" w:rsidR="00C97237" w:rsidRDefault="00000000">
            <w:pPr>
              <w:snapToGrid w:val="0"/>
              <w:spacing w:line="580" w:lineRule="exact"/>
              <w:jc w:val="center"/>
              <w:rPr>
                <w:rFonts w:ascii="仿宋" w:eastAsia="仿宋" w:hAnsi="仿宋" w:cs="仿宋"/>
                <w:color w:val="000000"/>
                <w:sz w:val="32"/>
                <w:szCs w:val="32"/>
              </w:rPr>
            </w:pPr>
            <w:r>
              <w:rPr>
                <w:rFonts w:ascii="仿宋" w:eastAsia="仿宋" w:hAnsi="仿宋" w:cs="仿宋" w:hint="eastAsia"/>
                <w:color w:val="000000"/>
                <w:sz w:val="32"/>
                <w:szCs w:val="32"/>
              </w:rPr>
              <w:t>保持政务服务平台咨询投诉按期办结率达到 100%。</w:t>
            </w:r>
          </w:p>
          <w:p w14:paraId="7215C4B0" w14:textId="77777777" w:rsidR="00C97237" w:rsidRDefault="00C97237">
            <w:pPr>
              <w:snapToGrid w:val="0"/>
              <w:spacing w:line="580" w:lineRule="exact"/>
              <w:jc w:val="center"/>
              <w:rPr>
                <w:rFonts w:ascii="仿宋" w:eastAsia="仿宋" w:hAnsi="仿宋" w:cs="仿宋"/>
                <w:color w:val="000000"/>
                <w:sz w:val="32"/>
                <w:szCs w:val="32"/>
              </w:rPr>
            </w:pPr>
          </w:p>
        </w:tc>
      </w:tr>
    </w:tbl>
    <w:p w14:paraId="30262984" w14:textId="77777777" w:rsidR="00C97237" w:rsidRDefault="00C97237">
      <w:pPr>
        <w:adjustRightInd w:val="0"/>
        <w:snapToGrid w:val="0"/>
        <w:spacing w:line="580" w:lineRule="exact"/>
        <w:ind w:firstLineChars="200" w:firstLine="640"/>
        <w:rPr>
          <w:rFonts w:ascii="仿宋" w:eastAsia="仿宋" w:hAnsi="仿宋" w:cs="仿宋"/>
          <w:snapToGrid w:val="0"/>
          <w:color w:val="000000"/>
          <w:kern w:val="0"/>
          <w:sz w:val="32"/>
          <w:szCs w:val="32"/>
        </w:rPr>
      </w:pPr>
    </w:p>
    <w:p w14:paraId="4313733C" w14:textId="77777777" w:rsidR="00C97237" w:rsidRDefault="00000000">
      <w:pPr>
        <w:adjustRightInd w:val="0"/>
        <w:snapToGrid w:val="0"/>
        <w:spacing w:line="580" w:lineRule="exact"/>
        <w:ind w:firstLineChars="200" w:firstLine="640"/>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五、创新性工作举措</w:t>
      </w:r>
    </w:p>
    <w:p w14:paraId="5C38AD2C"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一）提升部门数据开放共享能力。依托偃师区政务数据共享服务门户，在确保数据安全的基础上，充分发挥政务数据共享协调机制作用，建立政务数据共享供需对接机制。强化部门之间政务数据共享，提高数据质量和可用性、时效性，满足不动产登记、社会保障、户籍管理、市场主体准入准营等重点领域以及人口、法人、地名、教育、婚姻、生育、住房、信用等普遍性数据需求。</w:t>
      </w:r>
    </w:p>
    <w:p w14:paraId="05584BCD"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二）建立无差别受理综合窗口。实行“前台综合受理、后台分类审批、综合窗口出件”的政务服务模式。建立激励和奖惩机制，定期组织考评，充分调动窗口工作人员积极性和主动性。实行首问负责制，为办事企业或群众指明方向。</w:t>
      </w:r>
    </w:p>
    <w:p w14:paraId="2760B0A5"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（三）提高政务服务事项便利度。持续“减时间、减环</w:t>
      </w:r>
      <w:r>
        <w:rPr>
          <w:rFonts w:ascii="仿宋" w:eastAsia="仿宋" w:hAnsi="仿宋" w:cs="仿宋" w:hint="eastAsia"/>
          <w:snapToGrid w:val="0"/>
          <w:color w:val="000000"/>
          <w:kern w:val="0"/>
          <w:sz w:val="32"/>
          <w:szCs w:val="32"/>
        </w:rPr>
        <w:lastRenderedPageBreak/>
        <w:t>节、减材料、减跑动、优流程”。探索开展“无感智办”，推行无人工干预的“智能审批”，提高审批效率，规范审批自由裁量权。全面开展证照梳理，通过直接取消证照材料或数据共享、在线核验等方式，推动实现政府部门核发的材料一律免于提交，能够提供电子证照的一律免于提交实体证照。</w:t>
      </w:r>
    </w:p>
    <w:p w14:paraId="4365741F" w14:textId="77777777" w:rsidR="00C97237" w:rsidRDefault="00000000">
      <w:pPr>
        <w:adjustRightInd w:val="0"/>
        <w:snapToGrid w:val="0"/>
        <w:spacing w:line="580" w:lineRule="exact"/>
        <w:ind w:firstLineChars="200" w:firstLine="640"/>
        <w:rPr>
          <w:rFonts w:ascii="黑体" w:eastAsia="黑体" w:hAnsi="黑体" w:cs="黑体"/>
          <w:snapToGrid w:val="0"/>
          <w:color w:val="000000"/>
          <w:kern w:val="0"/>
          <w:sz w:val="32"/>
          <w:szCs w:val="32"/>
        </w:rPr>
      </w:pPr>
      <w:r>
        <w:rPr>
          <w:rFonts w:ascii="黑体" w:eastAsia="黑体" w:hAnsi="黑体" w:cs="黑体" w:hint="eastAsia"/>
          <w:snapToGrid w:val="0"/>
          <w:color w:val="000000"/>
          <w:kern w:val="0"/>
          <w:sz w:val="32"/>
          <w:szCs w:val="32"/>
        </w:rPr>
        <w:t>六、保障措施</w:t>
      </w:r>
    </w:p>
    <w:p w14:paraId="26249C5C"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一）高度重视，强化组织领导。各级各部门要高度重视政务服务提升工作，加强组织领导，明确责任分工，细化工作方案，完善工作措施，形成主要领导亲自抓、分管领导经常抓、一级抓一级、层层抓落实的工作格局。</w:t>
      </w:r>
    </w:p>
    <w:p w14:paraId="658F39C1"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二）注重统筹，强化协调配合。各级各部门要强化大局意识，聚焦企业和群众办事需求，站在整体政府的高度，建立健全上下衔接、部门协同、整体联动的工作机制，相互支持配合，形成工作合力，统筹推进政务服务提升工作。</w:t>
      </w:r>
    </w:p>
    <w:p w14:paraId="42A79421" w14:textId="77777777" w:rsidR="00C97237" w:rsidRDefault="00000000">
      <w:pPr>
        <w:adjustRightInd w:val="0"/>
        <w:snapToGrid w:val="0"/>
        <w:spacing w:line="580" w:lineRule="exact"/>
        <w:ind w:firstLineChars="200" w:firstLine="640"/>
        <w:rPr>
          <w:rFonts w:ascii="仿宋" w:eastAsia="仿宋" w:hAnsi="仿宋" w:cs="仿宋"/>
          <w:snapToGrid w:val="0"/>
          <w:color w:val="000000"/>
          <w:kern w:val="0"/>
          <w:sz w:val="32"/>
          <w:szCs w:val="32"/>
        </w:rPr>
      </w:pPr>
      <w:r>
        <w:rPr>
          <w:rFonts w:ascii="仿宋" w:eastAsia="仿宋" w:hAnsi="仿宋" w:cs="仿宋" w:hint="eastAsia"/>
          <w:snapToGrid w:val="0"/>
          <w:color w:val="000000"/>
          <w:kern w:val="0"/>
          <w:sz w:val="32"/>
          <w:szCs w:val="32"/>
        </w:rPr>
        <w:t>（三）加强督查，强化工作落实。各级各部门要把督促检查贯穿于工作落实全过程，定期听取工作情况汇报，善于发现工作推进中的困难和问题，及时研究解决措施，推动政务服务提升各项任务落实落地。</w:t>
      </w:r>
    </w:p>
    <w:p w14:paraId="31EA88DC" w14:textId="77777777" w:rsidR="00C97237" w:rsidRDefault="00C97237">
      <w:pPr>
        <w:widowControl/>
        <w:autoSpaceDE w:val="0"/>
        <w:autoSpaceDN w:val="0"/>
        <w:spacing w:line="580" w:lineRule="exact"/>
        <w:jc w:val="center"/>
        <w:rPr>
          <w:rFonts w:ascii="仿宋" w:eastAsia="仿宋" w:hAnsi="仿宋" w:cs="仿宋"/>
          <w:b/>
          <w:bCs/>
          <w:kern w:val="0"/>
          <w:sz w:val="32"/>
          <w:szCs w:val="32"/>
        </w:rPr>
      </w:pPr>
    </w:p>
    <w:p w14:paraId="0D9135B8" w14:textId="77777777" w:rsidR="00C97237" w:rsidRDefault="00C97237">
      <w:pPr>
        <w:widowControl/>
        <w:autoSpaceDE w:val="0"/>
        <w:autoSpaceDN w:val="0"/>
        <w:spacing w:line="580" w:lineRule="exact"/>
        <w:jc w:val="left"/>
        <w:rPr>
          <w:rFonts w:ascii="黑体" w:eastAsia="黑体" w:hAnsi="黑体" w:cs="黑体"/>
          <w:b/>
          <w:bCs/>
          <w:kern w:val="0"/>
          <w:sz w:val="44"/>
          <w:szCs w:val="44"/>
        </w:rPr>
      </w:pPr>
    </w:p>
    <w:p w14:paraId="16C68680" w14:textId="77777777" w:rsidR="00C97237" w:rsidRDefault="00C97237">
      <w:pPr>
        <w:widowControl/>
        <w:autoSpaceDE w:val="0"/>
        <w:autoSpaceDN w:val="0"/>
        <w:spacing w:line="580" w:lineRule="exact"/>
        <w:jc w:val="left"/>
        <w:rPr>
          <w:rFonts w:ascii="黑体" w:eastAsia="黑体" w:hAnsi="黑体" w:cs="黑体"/>
          <w:b/>
          <w:bCs/>
          <w:kern w:val="0"/>
          <w:sz w:val="44"/>
          <w:szCs w:val="44"/>
        </w:rPr>
      </w:pPr>
    </w:p>
    <w:p w14:paraId="592287E2" w14:textId="77777777" w:rsidR="00C97237" w:rsidRDefault="00C97237">
      <w:pPr>
        <w:widowControl/>
        <w:autoSpaceDE w:val="0"/>
        <w:autoSpaceDN w:val="0"/>
        <w:spacing w:line="580" w:lineRule="exact"/>
        <w:jc w:val="left"/>
        <w:rPr>
          <w:rFonts w:ascii="黑体" w:eastAsia="黑体" w:hAnsi="黑体" w:cs="黑体"/>
          <w:b/>
          <w:bCs/>
          <w:kern w:val="0"/>
          <w:sz w:val="44"/>
          <w:szCs w:val="44"/>
        </w:rPr>
      </w:pPr>
    </w:p>
    <w:p w14:paraId="1CC3C976" w14:textId="77777777" w:rsidR="00C97237" w:rsidRDefault="00C97237">
      <w:pPr>
        <w:widowControl/>
        <w:autoSpaceDE w:val="0"/>
        <w:autoSpaceDN w:val="0"/>
        <w:spacing w:line="580" w:lineRule="exact"/>
        <w:jc w:val="left"/>
        <w:rPr>
          <w:rFonts w:ascii="黑体" w:eastAsia="黑体" w:hAnsi="黑体" w:cs="黑体"/>
          <w:b/>
          <w:bCs/>
          <w:kern w:val="0"/>
          <w:sz w:val="44"/>
          <w:szCs w:val="44"/>
        </w:rPr>
      </w:pPr>
    </w:p>
    <w:p w14:paraId="1E147DF9" w14:textId="77777777" w:rsidR="00C97237" w:rsidRDefault="00000000">
      <w:pPr>
        <w:widowControl/>
        <w:autoSpaceDE w:val="0"/>
        <w:autoSpaceDN w:val="0"/>
        <w:spacing w:line="580" w:lineRule="exact"/>
        <w:jc w:val="left"/>
        <w:rPr>
          <w:rFonts w:ascii="黑体" w:eastAsia="黑体" w:hAnsi="黑体" w:cs="黑体"/>
          <w:b/>
          <w:bCs/>
          <w:kern w:val="0"/>
          <w:sz w:val="44"/>
          <w:szCs w:val="44"/>
        </w:rPr>
      </w:pPr>
      <w:r>
        <w:rPr>
          <w:rFonts w:ascii="黑体" w:eastAsia="黑体" w:hAnsi="黑体" w:cs="黑体" w:hint="eastAsia"/>
          <w:b/>
          <w:bCs/>
          <w:kern w:val="0"/>
          <w:sz w:val="44"/>
          <w:szCs w:val="44"/>
        </w:rPr>
        <w:lastRenderedPageBreak/>
        <w:t>附件17</w:t>
      </w:r>
    </w:p>
    <w:p w14:paraId="13318596" w14:textId="77777777" w:rsidR="00C97237" w:rsidRDefault="00000000">
      <w:pPr>
        <w:widowControl/>
        <w:autoSpaceDE w:val="0"/>
        <w:autoSpaceDN w:val="0"/>
        <w:spacing w:line="580" w:lineRule="exact"/>
        <w:jc w:val="center"/>
        <w:rPr>
          <w:rFonts w:ascii="仿宋" w:eastAsia="仿宋" w:hAnsi="仿宋" w:cs="仿宋"/>
          <w:b/>
          <w:bCs/>
          <w:sz w:val="32"/>
          <w:szCs w:val="32"/>
        </w:rPr>
      </w:pPr>
      <w:r>
        <w:rPr>
          <w:rFonts w:ascii="黑体" w:eastAsia="黑体" w:hAnsi="黑体" w:cs="黑体" w:hint="eastAsia"/>
          <w:b/>
          <w:bCs/>
          <w:kern w:val="0"/>
          <w:sz w:val="44"/>
          <w:szCs w:val="44"/>
        </w:rPr>
        <w:t>偃师</w:t>
      </w:r>
      <w:r>
        <w:rPr>
          <w:rFonts w:ascii="黑体" w:eastAsia="黑体" w:hAnsi="黑体" w:cs="黑体" w:hint="eastAsia"/>
          <w:b/>
          <w:bCs/>
          <w:sz w:val="44"/>
          <w:szCs w:val="44"/>
        </w:rPr>
        <w:t>区2022年市场监管提升专项行动方案</w:t>
      </w:r>
    </w:p>
    <w:p w14:paraId="6DDE93F2"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优化营商环境是深化“放管服”改革、转变政府职能的重要抓手，根据区政府的要求，为进一步提升市场监管综合效能，通过优化监管，营造便捷高效的市场环境、消费环境，结合区实际情况制定本方案。</w:t>
      </w:r>
    </w:p>
    <w:p w14:paraId="0EDE9D8F" w14:textId="77777777" w:rsidR="00C97237" w:rsidRDefault="00000000">
      <w:pPr>
        <w:widowControl/>
        <w:autoSpaceDE w:val="0"/>
        <w:autoSpaceDN w:val="0"/>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一、工作目标</w:t>
      </w:r>
    </w:p>
    <w:p w14:paraId="0D4F2722"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以“双随机、一公开”监管为基本手段，重点监管为补充，信用监管为基础的新型监管体制进一步成熟；政务服务更加高效便捷，市场环境更加公平有序，消费者权益保护更加有力有效，涉及市场监管的关键指标大幅提升。2022年底，市场监管领域“双随机、一公开”监管覆盖率达到 95%以上，监管执法信息公开率达到 100%。对依法注册登记的各类市场主体适用一般程序作出行政处罚决定的相关信息自做出或改变之日起 20 个工作日内通过国家企业信用信息公示系统进行公示，除涉及国家安全、商业秘密和个人隐私事项的以外，行政处罚信息依法予以公示；与国家“互联网+监管”数据共享水平和质量稳步提升。</w:t>
      </w:r>
    </w:p>
    <w:p w14:paraId="309CEEF6" w14:textId="77777777" w:rsidR="00C97237" w:rsidRDefault="00000000">
      <w:pPr>
        <w:widowControl/>
        <w:autoSpaceDE w:val="0"/>
        <w:autoSpaceDN w:val="0"/>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二、主要举措</w:t>
      </w:r>
    </w:p>
    <w:p w14:paraId="0F882245"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健全“双随机、一公开”监管常态化机制。使用全省统一的“双随机、一公开”监管工作平台，为“双随机、一公开”监管提供技术支撑；制定本部门“双随机、一公开”抽查检查事项清单、实施细则，建立并完善执法人员库、检查对象库，积极组织开展本部门和跨部门“双随机、一公开”</w:t>
      </w:r>
      <w:r>
        <w:rPr>
          <w:rFonts w:ascii="仿宋" w:eastAsia="仿宋" w:hAnsi="仿宋" w:cs="仿宋" w:hint="eastAsia"/>
          <w:kern w:val="0"/>
          <w:sz w:val="32"/>
          <w:szCs w:val="32"/>
        </w:rPr>
        <w:lastRenderedPageBreak/>
        <w:t>抽查检查，实现本部门和跨部门抽查检查事项“两个 100%”，实现全程留痕，进一步完善“双随机、一公开”监管考核内容和考核方式。</w:t>
      </w:r>
    </w:p>
    <w:p w14:paraId="74976ECE"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时间节点：2022 年 12 月</w:t>
      </w:r>
    </w:p>
    <w:p w14:paraId="7082C873"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牵头单位：区市场监管局</w:t>
      </w:r>
    </w:p>
    <w:p w14:paraId="6450C81B"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责任单位：区政务服务和大数据管理局、区发展改革委、 区教体局、区应急局等 22个“双随机、一公开”监管联 席会议成员单位</w:t>
      </w:r>
    </w:p>
    <w:p w14:paraId="0A19960B"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(二)优化信用监管机制。强化信息公示主体责任，按照“谁产生、谁公示、谁负责”的原则，依法全方位推进涉企信息公示。 进一步完善信用约束和联合惩戒机制，实施联合监管和社会共治。继续完善企业信用修复机制， 推动企业重塑信用。</w:t>
      </w:r>
    </w:p>
    <w:p w14:paraId="129DDC7F"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时间节点：持续推进</w:t>
      </w:r>
    </w:p>
    <w:p w14:paraId="4D20A5F7"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牵头单位：区市场监管局</w:t>
      </w:r>
    </w:p>
    <w:p w14:paraId="788BC68D"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责任单位：区社会信用体系建设成员单位</w:t>
      </w:r>
    </w:p>
    <w:p w14:paraId="254CF68D"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三）强化行政执法信息公示。加强市场主体归集公示管理工作，确保行政处罚信息归集公示的及时性、完整性和准确率。对适用一般程序作出的、当事人为市场主体的行政处罚案件信息，在20个工作日内，通过国家企业信用信息公示系统和信用门户网站向社会公示，确保公示率达到 100%。</w:t>
      </w:r>
    </w:p>
    <w:p w14:paraId="149B4549"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时间节点：2022 年 12 月</w:t>
      </w:r>
    </w:p>
    <w:p w14:paraId="23BDAEA1"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牵头单位：区市场监管局</w:t>
      </w:r>
    </w:p>
    <w:p w14:paraId="3EE1174D"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责任单位：具有行政处罚权的所有单位</w:t>
      </w:r>
    </w:p>
    <w:p w14:paraId="5C47C362"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四）推进“互联网+监管”。充分发挥“互联网+监管”作用，运用大数据手段，强化监管事项认领、检查实施清单编制，加强监管数据收集，指导区具有监管权限部门开展行政检查、行政处罚、行政强制等各类监管数据向“互联网+ 监管”系统汇聚。监管行为覆盖率达到98%以上。</w:t>
      </w:r>
    </w:p>
    <w:p w14:paraId="481F5B58"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时间节点：2022 年 12 月</w:t>
      </w:r>
    </w:p>
    <w:p w14:paraId="76002984"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牵头单位：区政务服务和大数据管理局</w:t>
      </w:r>
    </w:p>
    <w:p w14:paraId="7F459207"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责任单位：具有监管权限的相关部门</w:t>
      </w:r>
    </w:p>
    <w:p w14:paraId="2B001818"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五）大力推行市场主体信用风险分类监管。落实市场主体信用风险分类管理制度，科学配置监管资源，推进精准监管、高效监管和智慧监管，更好服务经济社会高质量发展。全面、及时归集企业信用风险信息，结合公共信用综合评价结果，依托企业信用风险分类指标体系，综合运用大数据、人工智能等现代化科技手段，对各类涉企信息进行汇聚整合、关联分析，对各类企业实施分类，并与省“双随机、一公开”监管工作平台做好对接。</w:t>
      </w:r>
    </w:p>
    <w:p w14:paraId="3DA92CCE"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时间节点：持续推进</w:t>
      </w:r>
    </w:p>
    <w:p w14:paraId="1E28BDBE"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责任单位：区市场监管领域相关部门</w:t>
      </w:r>
    </w:p>
    <w:p w14:paraId="1C03F2E0"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六）推进公平竞争审查工作。全面落实公平竞争审查制度，建立清理存量政策长效机制，对全区2021年12月31日前出台的政策措施进行全面清理，对2022年1月1日以后出台的政策措施，在做好公平竞争审查的基础上，定期进行评估清理。提高增量政策审查质量，严格履行审查程序，切实提高审查质量，将涉及市场主体经济活动的规章、规范性文件、</w:t>
      </w:r>
      <w:r>
        <w:rPr>
          <w:rFonts w:ascii="仿宋" w:eastAsia="仿宋" w:hAnsi="仿宋" w:cs="仿宋" w:hint="eastAsia"/>
          <w:kern w:val="0"/>
          <w:sz w:val="32"/>
          <w:szCs w:val="32"/>
        </w:rPr>
        <w:lastRenderedPageBreak/>
        <w:t>其他政策性文件以及“一事一议”形式的具体政策措施，全部纳入公平竞争审查范围。</w:t>
      </w:r>
    </w:p>
    <w:p w14:paraId="5E892E79"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时间节点：持续推进</w:t>
      </w:r>
    </w:p>
    <w:p w14:paraId="4FC8D383"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牵头单位：区市场监管局</w:t>
      </w:r>
    </w:p>
    <w:p w14:paraId="66673695"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责任单位：区发展改革委、司法局、财政局、商务局</w:t>
      </w:r>
    </w:p>
    <w:p w14:paraId="20A5E4D9"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七）营造公平有序的市场环境。聚焦民生等重点领域和重点行业开展反不正当竞争执法。切实加强价格收费检查，严肃查处价格串通、哄抬价格、价格欺诈、不按规定明码标价等违法行为。强化传统媒体、户外、互联网广告监测和“两品一械”广告审查，加大虚假违法广告查处力度。开展网络市场监管（网剑）专项行动，维护网络市场秩序。聚焦金融借贷、非法传销、食品安全等市场流通重点领域及利用信息网络等有组织违法犯罪行为开展专项整治行动。</w:t>
      </w:r>
    </w:p>
    <w:p w14:paraId="17490FD5"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时间节点：持续推进</w:t>
      </w:r>
    </w:p>
    <w:p w14:paraId="68F11E4A"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牵头单位：区市场监管局</w:t>
      </w:r>
    </w:p>
    <w:p w14:paraId="0523FAC4"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责任单位：区金融工作局、商务局、公安局、法院、检察院</w:t>
      </w:r>
    </w:p>
    <w:p w14:paraId="5057EAAC"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八）对新兴产业实施包容审慎监管。完善对新兴产业的包容审慎监管，坚持维护社会秩序、保护人民群众合法权益、体现社会公平效率，对轻微违法者坚持教育、说服、劝导优先，使违法者主动纠正，降低或消除社会危害性，恢复正常社会秩序。坚持严格执法，准确认定违法行为性质、情节和社会危害程度，符合相关条件的，依法不予处罚、从轻或减轻处罚。准确认定违法行为情节轻重和社会危害性大</w:t>
      </w:r>
      <w:r>
        <w:rPr>
          <w:rFonts w:ascii="仿宋" w:eastAsia="仿宋" w:hAnsi="仿宋" w:cs="仿宋" w:hint="eastAsia"/>
          <w:kern w:val="0"/>
          <w:sz w:val="32"/>
          <w:szCs w:val="32"/>
        </w:rPr>
        <w:lastRenderedPageBreak/>
        <w:t>小，严格依据法律规定，参照行政处罚裁量标准进行处罚，避免处罚畸轻畸重。</w:t>
      </w:r>
    </w:p>
    <w:p w14:paraId="57D2AE89"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时间节点：2022年12月</w:t>
      </w:r>
    </w:p>
    <w:p w14:paraId="487EA6BE"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牵头单位：区市场监管局、司法局</w:t>
      </w:r>
    </w:p>
    <w:p w14:paraId="3DCFB338"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责任单位：具有行政执法权的相关部门</w:t>
      </w:r>
    </w:p>
    <w:p w14:paraId="641B5045" w14:textId="77777777" w:rsidR="00C97237" w:rsidRDefault="00000000">
      <w:pPr>
        <w:widowControl/>
        <w:autoSpaceDE w:val="0"/>
        <w:autoSpaceDN w:val="0"/>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三、指标对比</w:t>
      </w:r>
    </w:p>
    <w:tbl>
      <w:tblPr>
        <w:tblStyle w:val="ac"/>
        <w:tblpPr w:leftFromText="180" w:rightFromText="180" w:vertAnchor="text" w:horzAnchor="page" w:tblpXSpec="center" w:tblpY="270"/>
        <w:tblOverlap w:val="never"/>
        <w:tblW w:w="8960" w:type="dxa"/>
        <w:jc w:val="center"/>
        <w:tblLayout w:type="fixed"/>
        <w:tblLook w:val="04A0" w:firstRow="1" w:lastRow="0" w:firstColumn="1" w:lastColumn="0" w:noHBand="0" w:noVBand="1"/>
      </w:tblPr>
      <w:tblGrid>
        <w:gridCol w:w="3226"/>
        <w:gridCol w:w="1650"/>
        <w:gridCol w:w="1604"/>
        <w:gridCol w:w="2480"/>
      </w:tblGrid>
      <w:tr w:rsidR="00C97237" w14:paraId="281D10B2" w14:textId="77777777">
        <w:trPr>
          <w:jc w:val="center"/>
        </w:trPr>
        <w:tc>
          <w:tcPr>
            <w:tcW w:w="3226" w:type="dxa"/>
            <w:vAlign w:val="center"/>
          </w:tcPr>
          <w:p w14:paraId="06E35A9C"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kern w:val="0"/>
                <w:sz w:val="32"/>
                <w:szCs w:val="32"/>
              </w:rPr>
              <w:t>指标项目</w:t>
            </w:r>
          </w:p>
        </w:tc>
        <w:tc>
          <w:tcPr>
            <w:tcW w:w="1650" w:type="dxa"/>
            <w:vAlign w:val="center"/>
          </w:tcPr>
          <w:p w14:paraId="5B17C998"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kern w:val="0"/>
                <w:sz w:val="32"/>
                <w:szCs w:val="32"/>
              </w:rPr>
              <w:t>现状水平</w:t>
            </w:r>
          </w:p>
        </w:tc>
        <w:tc>
          <w:tcPr>
            <w:tcW w:w="1604" w:type="dxa"/>
            <w:vAlign w:val="center"/>
          </w:tcPr>
          <w:p w14:paraId="3A9DAB87"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kern w:val="0"/>
                <w:sz w:val="32"/>
                <w:szCs w:val="32"/>
              </w:rPr>
              <w:t>2022 年</w:t>
            </w:r>
          </w:p>
          <w:p w14:paraId="4DCA35AE"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kern w:val="0"/>
                <w:sz w:val="32"/>
                <w:szCs w:val="32"/>
              </w:rPr>
              <w:t>12月目标</w:t>
            </w:r>
          </w:p>
        </w:tc>
        <w:tc>
          <w:tcPr>
            <w:tcW w:w="2480" w:type="dxa"/>
            <w:vAlign w:val="center"/>
          </w:tcPr>
          <w:p w14:paraId="617A33AB"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kern w:val="0"/>
                <w:sz w:val="32"/>
                <w:szCs w:val="32"/>
              </w:rPr>
              <w:t>完成时限</w:t>
            </w:r>
          </w:p>
        </w:tc>
      </w:tr>
      <w:tr w:rsidR="00C97237" w14:paraId="298FF0E9" w14:textId="77777777">
        <w:trPr>
          <w:trHeight w:val="948"/>
          <w:jc w:val="center"/>
        </w:trPr>
        <w:tc>
          <w:tcPr>
            <w:tcW w:w="3226" w:type="dxa"/>
            <w:vAlign w:val="center"/>
          </w:tcPr>
          <w:p w14:paraId="7E1653E1" w14:textId="77777777" w:rsidR="00C97237" w:rsidRDefault="00000000">
            <w:pPr>
              <w:spacing w:before="261" w:line="580" w:lineRule="exact"/>
              <w:ind w:firstLineChars="100" w:firstLine="364"/>
              <w:rPr>
                <w:rFonts w:ascii="仿宋" w:eastAsia="仿宋" w:hAnsi="仿宋" w:cs="仿宋"/>
                <w:sz w:val="32"/>
                <w:szCs w:val="32"/>
              </w:rPr>
            </w:pPr>
            <w:r>
              <w:rPr>
                <w:rFonts w:ascii="仿宋" w:eastAsia="仿宋" w:hAnsi="仿宋" w:cs="仿宋" w:hint="eastAsia"/>
                <w:spacing w:val="22"/>
                <w:position w:val="7"/>
                <w:sz w:val="32"/>
                <w:szCs w:val="32"/>
              </w:rPr>
              <w:t>“</w:t>
            </w:r>
            <w:r>
              <w:rPr>
                <w:rFonts w:ascii="仿宋" w:eastAsia="仿宋" w:hAnsi="仿宋" w:cs="仿宋" w:hint="eastAsia"/>
                <w:spacing w:val="18"/>
                <w:position w:val="7"/>
                <w:sz w:val="32"/>
                <w:szCs w:val="32"/>
              </w:rPr>
              <w:t>双随机一公开”</w:t>
            </w:r>
          </w:p>
          <w:p w14:paraId="399CC910"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spacing w:val="7"/>
                <w:sz w:val="32"/>
                <w:szCs w:val="32"/>
              </w:rPr>
              <w:t>监管覆盖率</w:t>
            </w:r>
            <w:r>
              <w:rPr>
                <w:rFonts w:ascii="仿宋" w:eastAsia="仿宋" w:hAnsi="仿宋" w:cs="仿宋" w:hint="eastAsia"/>
                <w:spacing w:val="6"/>
                <w:sz w:val="32"/>
                <w:szCs w:val="32"/>
              </w:rPr>
              <w:t>*</w:t>
            </w:r>
          </w:p>
        </w:tc>
        <w:tc>
          <w:tcPr>
            <w:tcW w:w="1650" w:type="dxa"/>
            <w:vAlign w:val="center"/>
          </w:tcPr>
          <w:p w14:paraId="4EDA3B0F"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spacing w:val="4"/>
                <w:position w:val="2"/>
                <w:sz w:val="32"/>
                <w:szCs w:val="32"/>
              </w:rPr>
              <w:t>9</w:t>
            </w:r>
            <w:r>
              <w:rPr>
                <w:rFonts w:ascii="仿宋" w:eastAsia="仿宋" w:hAnsi="仿宋" w:cs="仿宋" w:hint="eastAsia"/>
                <w:spacing w:val="3"/>
                <w:position w:val="2"/>
                <w:sz w:val="32"/>
                <w:szCs w:val="32"/>
              </w:rPr>
              <w:t>1%</w:t>
            </w:r>
          </w:p>
        </w:tc>
        <w:tc>
          <w:tcPr>
            <w:tcW w:w="1604" w:type="dxa"/>
            <w:vAlign w:val="center"/>
          </w:tcPr>
          <w:p w14:paraId="25189CE5" w14:textId="77777777" w:rsidR="00C97237" w:rsidRDefault="00000000">
            <w:pPr>
              <w:widowControl/>
              <w:autoSpaceDE w:val="0"/>
              <w:autoSpaceDN w:val="0"/>
              <w:spacing w:line="580" w:lineRule="exact"/>
              <w:ind w:firstLineChars="100" w:firstLine="328"/>
              <w:rPr>
                <w:rFonts w:ascii="仿宋" w:eastAsia="仿宋" w:hAnsi="仿宋" w:cs="仿宋"/>
                <w:kern w:val="0"/>
                <w:sz w:val="32"/>
                <w:szCs w:val="32"/>
              </w:rPr>
            </w:pPr>
            <w:r>
              <w:rPr>
                <w:rFonts w:ascii="仿宋" w:eastAsia="仿宋" w:hAnsi="仿宋" w:cs="仿宋" w:hint="eastAsia"/>
                <w:spacing w:val="4"/>
                <w:position w:val="2"/>
                <w:sz w:val="32"/>
                <w:szCs w:val="32"/>
              </w:rPr>
              <w:t>9</w:t>
            </w:r>
            <w:r>
              <w:rPr>
                <w:rFonts w:ascii="仿宋" w:eastAsia="仿宋" w:hAnsi="仿宋" w:cs="仿宋" w:hint="eastAsia"/>
                <w:spacing w:val="3"/>
                <w:position w:val="2"/>
                <w:sz w:val="32"/>
                <w:szCs w:val="32"/>
              </w:rPr>
              <w:t>5%</w:t>
            </w:r>
          </w:p>
        </w:tc>
        <w:tc>
          <w:tcPr>
            <w:tcW w:w="2480" w:type="dxa"/>
            <w:vAlign w:val="center"/>
          </w:tcPr>
          <w:p w14:paraId="3C47CCFE"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kern w:val="0"/>
                <w:sz w:val="32"/>
                <w:szCs w:val="32"/>
              </w:rPr>
              <w:t>2022年12月</w:t>
            </w:r>
          </w:p>
        </w:tc>
      </w:tr>
      <w:tr w:rsidR="00C97237" w14:paraId="17D8F355" w14:textId="77777777">
        <w:trPr>
          <w:trHeight w:val="948"/>
          <w:jc w:val="center"/>
        </w:trPr>
        <w:tc>
          <w:tcPr>
            <w:tcW w:w="3226" w:type="dxa"/>
            <w:vAlign w:val="center"/>
          </w:tcPr>
          <w:p w14:paraId="1219DCCF"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kern w:val="0"/>
                <w:sz w:val="32"/>
                <w:szCs w:val="32"/>
              </w:rPr>
              <w:t>监管执法信息公开率</w:t>
            </w:r>
          </w:p>
        </w:tc>
        <w:tc>
          <w:tcPr>
            <w:tcW w:w="1650" w:type="dxa"/>
            <w:vAlign w:val="center"/>
          </w:tcPr>
          <w:p w14:paraId="0538B397"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spacing w:val="-1"/>
                <w:position w:val="2"/>
                <w:sz w:val="32"/>
                <w:szCs w:val="32"/>
              </w:rPr>
              <w:t>1</w:t>
            </w:r>
            <w:r>
              <w:rPr>
                <w:rFonts w:ascii="仿宋" w:eastAsia="仿宋" w:hAnsi="仿宋" w:cs="仿宋" w:hint="eastAsia"/>
                <w:position w:val="2"/>
                <w:sz w:val="32"/>
                <w:szCs w:val="32"/>
              </w:rPr>
              <w:t>00%</w:t>
            </w:r>
          </w:p>
        </w:tc>
        <w:tc>
          <w:tcPr>
            <w:tcW w:w="1604" w:type="dxa"/>
            <w:vAlign w:val="center"/>
          </w:tcPr>
          <w:p w14:paraId="6B4E58C8" w14:textId="77777777" w:rsidR="00C97237" w:rsidRDefault="00000000">
            <w:pPr>
              <w:widowControl/>
              <w:autoSpaceDE w:val="0"/>
              <w:autoSpaceDN w:val="0"/>
              <w:spacing w:line="580" w:lineRule="exact"/>
              <w:ind w:firstLineChars="100" w:firstLine="318"/>
              <w:rPr>
                <w:rFonts w:ascii="仿宋" w:eastAsia="仿宋" w:hAnsi="仿宋" w:cs="仿宋"/>
                <w:kern w:val="0"/>
                <w:sz w:val="32"/>
                <w:szCs w:val="32"/>
              </w:rPr>
            </w:pPr>
            <w:r>
              <w:rPr>
                <w:rFonts w:ascii="仿宋" w:eastAsia="仿宋" w:hAnsi="仿宋" w:cs="仿宋" w:hint="eastAsia"/>
                <w:spacing w:val="-1"/>
                <w:position w:val="2"/>
                <w:sz w:val="32"/>
                <w:szCs w:val="32"/>
              </w:rPr>
              <w:t>1</w:t>
            </w:r>
            <w:r>
              <w:rPr>
                <w:rFonts w:ascii="仿宋" w:eastAsia="仿宋" w:hAnsi="仿宋" w:cs="仿宋" w:hint="eastAsia"/>
                <w:position w:val="2"/>
                <w:sz w:val="32"/>
                <w:szCs w:val="32"/>
              </w:rPr>
              <w:t>00%</w:t>
            </w:r>
          </w:p>
        </w:tc>
        <w:tc>
          <w:tcPr>
            <w:tcW w:w="2480" w:type="dxa"/>
            <w:vAlign w:val="center"/>
          </w:tcPr>
          <w:p w14:paraId="37B0E1F3" w14:textId="77777777" w:rsidR="00C97237" w:rsidRDefault="00000000">
            <w:pPr>
              <w:widowControl/>
              <w:autoSpaceDE w:val="0"/>
              <w:autoSpaceDN w:val="0"/>
              <w:spacing w:line="580" w:lineRule="exact"/>
              <w:jc w:val="center"/>
              <w:rPr>
                <w:rFonts w:ascii="仿宋" w:eastAsia="仿宋" w:hAnsi="仿宋" w:cs="仿宋"/>
                <w:kern w:val="0"/>
                <w:sz w:val="32"/>
                <w:szCs w:val="32"/>
              </w:rPr>
            </w:pPr>
            <w:r>
              <w:rPr>
                <w:rFonts w:ascii="仿宋" w:eastAsia="仿宋" w:hAnsi="仿宋" w:cs="仿宋" w:hint="eastAsia"/>
                <w:kern w:val="0"/>
                <w:sz w:val="32"/>
                <w:szCs w:val="32"/>
              </w:rPr>
              <w:t>2022年12月</w:t>
            </w:r>
          </w:p>
        </w:tc>
      </w:tr>
    </w:tbl>
    <w:p w14:paraId="78FBC55D" w14:textId="77777777" w:rsidR="00C97237" w:rsidRDefault="00000000">
      <w:pPr>
        <w:widowControl/>
        <w:kinsoku w:val="0"/>
        <w:autoSpaceDE w:val="0"/>
        <w:autoSpaceDN w:val="0"/>
        <w:adjustRightInd w:val="0"/>
        <w:snapToGrid w:val="0"/>
        <w:spacing w:before="192" w:line="580" w:lineRule="exact"/>
        <w:ind w:firstLine="497"/>
        <w:jc w:val="left"/>
        <w:textAlignment w:val="baseline"/>
        <w:rPr>
          <w:rFonts w:ascii="仿宋" w:eastAsia="仿宋" w:hAnsi="仿宋" w:cs="仿宋"/>
          <w:snapToGrid w:val="0"/>
          <w:color w:val="000000"/>
          <w:spacing w:val="22"/>
          <w:kern w:val="0"/>
          <w:sz w:val="32"/>
          <w:szCs w:val="32"/>
        </w:rPr>
      </w:pPr>
      <w:r>
        <w:rPr>
          <w:rFonts w:ascii="仿宋" w:eastAsia="仿宋" w:hAnsi="仿宋" w:cs="仿宋" w:hint="eastAsia"/>
          <w:b/>
          <w:bCs/>
          <w:kern w:val="0"/>
          <w:sz w:val="32"/>
          <w:szCs w:val="32"/>
        </w:rPr>
        <w:t>*备注：</w:t>
      </w:r>
      <w:r>
        <w:rPr>
          <w:rFonts w:ascii="仿宋" w:eastAsia="仿宋" w:hAnsi="仿宋" w:cs="仿宋" w:hint="eastAsia"/>
          <w:kern w:val="0"/>
          <w:sz w:val="32"/>
          <w:szCs w:val="32"/>
        </w:rPr>
        <w:t>本方案所称“双随机、一公开”监管覆盖率是指：依据《2020年河南省全域营商环境评价报告-市场监管指标报告》中所确定的评价体系，全市、各县 ( 市、区 ) 在“双随机、一公开”检查事项覆盖率、事项清单部门覆盖率、抽查计划部门覆盖率、 检查对象名录库部门建库率等四个考核维度得分表现的平均值。对各类对象的具体考 核，则分别选取了《国务院关于在市场监管领域全面推行部门联合“双随机、一公开” 监管的意见》  ( 国发 ﹝ 2019 ﹞ 5号) 确定的市场监管、发展改革、教育、公安、人力 资源社会保障、生态环境、住房城乡建设、交通运输、农业农村</w:t>
      </w:r>
      <w:r>
        <w:rPr>
          <w:rFonts w:ascii="仿宋" w:eastAsia="仿宋" w:hAnsi="仿宋" w:cs="仿宋" w:hint="eastAsia"/>
          <w:kern w:val="0"/>
          <w:sz w:val="32"/>
          <w:szCs w:val="32"/>
        </w:rPr>
        <w:lastRenderedPageBreak/>
        <w:t>、商务、文化和旅游、 卫生健康、应急、海关、税务、统计等16个市场监管领域相关部门所对应的本级部门。 2022年12月目标仍依照此概念设定。</w:t>
      </w:r>
    </w:p>
    <w:p w14:paraId="6DCF778B" w14:textId="77777777" w:rsidR="00C97237" w:rsidRDefault="00000000">
      <w:pPr>
        <w:widowControl/>
        <w:autoSpaceDE w:val="0"/>
        <w:autoSpaceDN w:val="0"/>
        <w:spacing w:line="58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四、保障措施</w:t>
      </w:r>
    </w:p>
    <w:p w14:paraId="4B2A0BF4"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一）建立健全工作机制。成立市场监管指标提升专项工作领导小组，建立健全协调推进机制，抽调专职工作人员，定期组织各责任落实单位召开碰头会及重点工作推进会，协调破解重点、难点问题，统筹推进全市市场监管指标优化提升工作。</w:t>
      </w:r>
    </w:p>
    <w:p w14:paraId="27195E3E" w14:textId="77777777" w:rsidR="00C97237" w:rsidRDefault="00000000">
      <w:pPr>
        <w:widowControl/>
        <w:autoSpaceDE w:val="0"/>
        <w:autoSpaceDN w:val="0"/>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（二）压实目标责任。针对市场监管专项提升关键指标进一步细化分解，进一步明确各个时间节点具体责任人，提出具体要求，定期开展相关指标推进落实情况通报。</w:t>
      </w:r>
    </w:p>
    <w:p w14:paraId="134138C2" w14:textId="77777777" w:rsidR="00C97237" w:rsidRDefault="00000000">
      <w:pPr>
        <w:widowControl/>
        <w:autoSpaceDE w:val="0"/>
        <w:autoSpaceDN w:val="0"/>
        <w:spacing w:line="580" w:lineRule="exact"/>
        <w:ind w:firstLineChars="200" w:firstLine="640"/>
        <w:rPr>
          <w:rFonts w:ascii="仿宋" w:eastAsia="仿宋" w:hAnsi="仿宋" w:cs="仿宋"/>
          <w:sz w:val="32"/>
          <w:szCs w:val="32"/>
        </w:rPr>
      </w:pPr>
      <w:r>
        <w:rPr>
          <w:rFonts w:ascii="仿宋" w:eastAsia="仿宋" w:hAnsi="仿宋" w:cs="仿宋" w:hint="eastAsia"/>
          <w:kern w:val="0"/>
          <w:sz w:val="32"/>
          <w:szCs w:val="32"/>
        </w:rPr>
        <w:t>（三）加大宣传力度。通过线上线下两种方式，大力宣传在提升市场监管专项提升关键指标提升上面的新做法、新经验，面向企业、群众大力宣传围绕市场监管专项提升方案出台的新举措，形成部门间比学赶超的氛围，推动企业、群众积极参与外部监督</w:t>
      </w:r>
      <w:r>
        <w:rPr>
          <w:rFonts w:ascii="仿宋" w:eastAsia="仿宋" w:hAnsi="仿宋" w:cs="仿宋" w:hint="eastAsia"/>
          <w:sz w:val="32"/>
          <w:szCs w:val="32"/>
        </w:rPr>
        <w:t>。</w:t>
      </w:r>
    </w:p>
    <w:p w14:paraId="482B21D9" w14:textId="77777777" w:rsidR="00C97237" w:rsidRDefault="00C97237">
      <w:pPr>
        <w:ind w:firstLineChars="300" w:firstLine="1084"/>
        <w:rPr>
          <w:b/>
          <w:bCs/>
          <w:sz w:val="36"/>
          <w:szCs w:val="36"/>
        </w:rPr>
      </w:pPr>
    </w:p>
    <w:p w14:paraId="39BE6497" w14:textId="77777777" w:rsidR="00C97237" w:rsidRDefault="00C97237">
      <w:pPr>
        <w:jc w:val="left"/>
        <w:rPr>
          <w:rFonts w:ascii="黑体" w:eastAsia="黑体" w:hAnsi="黑体" w:cs="黑体"/>
          <w:sz w:val="44"/>
          <w:szCs w:val="44"/>
        </w:rPr>
      </w:pPr>
    </w:p>
    <w:p w14:paraId="5825B7C4" w14:textId="77777777" w:rsidR="00C97237" w:rsidRDefault="00C97237">
      <w:pPr>
        <w:jc w:val="left"/>
        <w:rPr>
          <w:rFonts w:ascii="黑体" w:eastAsia="黑体" w:hAnsi="黑体" w:cs="黑体"/>
          <w:sz w:val="44"/>
          <w:szCs w:val="44"/>
        </w:rPr>
      </w:pPr>
    </w:p>
    <w:p w14:paraId="3A07BBE9" w14:textId="77777777" w:rsidR="00C97237" w:rsidRDefault="00C97237">
      <w:pPr>
        <w:jc w:val="left"/>
        <w:rPr>
          <w:rFonts w:ascii="黑体" w:eastAsia="黑体" w:hAnsi="黑体" w:cs="黑体"/>
          <w:sz w:val="44"/>
          <w:szCs w:val="44"/>
        </w:rPr>
      </w:pPr>
    </w:p>
    <w:p w14:paraId="55C0AE16" w14:textId="77777777" w:rsidR="00C97237" w:rsidRDefault="00C97237">
      <w:pPr>
        <w:jc w:val="left"/>
        <w:rPr>
          <w:rFonts w:ascii="黑体" w:eastAsia="黑体" w:hAnsi="黑体" w:cs="黑体"/>
          <w:sz w:val="44"/>
          <w:szCs w:val="44"/>
        </w:rPr>
      </w:pPr>
    </w:p>
    <w:p w14:paraId="5BE37707" w14:textId="77777777" w:rsidR="00C97237" w:rsidRDefault="00C97237">
      <w:pPr>
        <w:jc w:val="left"/>
        <w:rPr>
          <w:rFonts w:ascii="黑体" w:eastAsia="黑体" w:hAnsi="黑体" w:cs="黑体"/>
          <w:sz w:val="44"/>
          <w:szCs w:val="44"/>
        </w:rPr>
      </w:pPr>
    </w:p>
    <w:p w14:paraId="405A3D1B" w14:textId="77777777" w:rsidR="00C97237" w:rsidRDefault="00000000">
      <w:pPr>
        <w:jc w:val="left"/>
        <w:rPr>
          <w:rFonts w:ascii="黑体" w:eastAsia="黑体" w:hAnsi="黑体" w:cs="黑体"/>
          <w:sz w:val="44"/>
          <w:szCs w:val="44"/>
        </w:rPr>
      </w:pPr>
      <w:r>
        <w:rPr>
          <w:rFonts w:ascii="黑体" w:eastAsia="黑体" w:hAnsi="黑体" w:cs="黑体" w:hint="eastAsia"/>
          <w:sz w:val="44"/>
          <w:szCs w:val="44"/>
        </w:rPr>
        <w:lastRenderedPageBreak/>
        <w:t>附件18</w:t>
      </w:r>
    </w:p>
    <w:p w14:paraId="60E70E6C" w14:textId="77777777" w:rsidR="00C97237" w:rsidRDefault="00000000">
      <w:pPr>
        <w:jc w:val="center"/>
        <w:rPr>
          <w:rFonts w:ascii="黑体" w:eastAsia="黑体" w:hAnsi="黑体" w:cs="黑体"/>
          <w:sz w:val="44"/>
          <w:szCs w:val="44"/>
        </w:rPr>
      </w:pPr>
      <w:r>
        <w:rPr>
          <w:rFonts w:ascii="黑体" w:eastAsia="黑体" w:hAnsi="黑体" w:cs="黑体" w:hint="eastAsia"/>
          <w:sz w:val="44"/>
          <w:szCs w:val="44"/>
        </w:rPr>
        <w:t>偃师区2022年知识产权提升专项行动方案</w:t>
      </w:r>
    </w:p>
    <w:p w14:paraId="1B21285E" w14:textId="77777777" w:rsidR="00C97237" w:rsidRDefault="00C97237">
      <w:pPr>
        <w:ind w:firstLineChars="1000" w:firstLine="4400"/>
        <w:rPr>
          <w:rFonts w:ascii="仿宋" w:eastAsia="仿宋" w:hAnsi="仿宋" w:cs="仿宋"/>
          <w:sz w:val="44"/>
          <w:szCs w:val="44"/>
        </w:rPr>
      </w:pPr>
    </w:p>
    <w:p w14:paraId="62165D89"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为进一步提升全市知识产权创造、保护、运用、管理和服务能力，加快知识产权强市建设，按照国家和省、市有关要求，结合我市实际，制定本方案。</w:t>
      </w:r>
    </w:p>
    <w:p w14:paraId="0F0F443D" w14:textId="77777777" w:rsidR="00C97237" w:rsidRDefault="00000000">
      <w:pPr>
        <w:ind w:firstLineChars="200" w:firstLine="640"/>
        <w:rPr>
          <w:rFonts w:ascii="黑体" w:eastAsia="黑体" w:hAnsi="黑体" w:cs="黑体"/>
          <w:sz w:val="32"/>
          <w:szCs w:val="32"/>
        </w:rPr>
      </w:pPr>
      <w:r>
        <w:rPr>
          <w:rFonts w:ascii="黑体" w:eastAsia="黑体" w:hAnsi="黑体" w:cs="黑体" w:hint="eastAsia"/>
          <w:sz w:val="32"/>
          <w:szCs w:val="32"/>
        </w:rPr>
        <w:t>一、总体要求</w:t>
      </w:r>
    </w:p>
    <w:p w14:paraId="57B9881D"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党的十九大和十九届二中、三中、四中、五中全会精神，深入贯彻习近平总书记关于知识产权工作的重要论述，按照市委、市政府决策部署，牢固树立新发展理念，着力推动知识产权高质量发展，深化改革创新，强化知识产权创造、保护、运用，提升公共服务水平，提高知识产权治理能力和治理水平，为促进偃师经济高质量发展提供有力支撑。</w:t>
      </w:r>
    </w:p>
    <w:p w14:paraId="03A7A3F8" w14:textId="77777777" w:rsidR="00C97237" w:rsidRDefault="00000000">
      <w:pPr>
        <w:ind w:firstLineChars="200" w:firstLine="640"/>
        <w:rPr>
          <w:rFonts w:ascii="黑体" w:eastAsia="黑体" w:hAnsi="黑体" w:cs="黑体"/>
          <w:sz w:val="32"/>
          <w:szCs w:val="32"/>
        </w:rPr>
      </w:pPr>
      <w:r>
        <w:rPr>
          <w:rFonts w:ascii="黑体" w:eastAsia="黑体" w:hAnsi="黑体" w:cs="黑体" w:hint="eastAsia"/>
          <w:sz w:val="32"/>
          <w:szCs w:val="32"/>
        </w:rPr>
        <w:t>二、工作目标</w:t>
      </w:r>
    </w:p>
    <w:p w14:paraId="514A15FE"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到2022年底知识产权创造质量逐步提高，万人有效发明专利拥有量达到2件。知识产权运用效益继续提升，万人专利质押融资额达到500万元，万人技术合同交易额达到52万元。</w:t>
      </w:r>
    </w:p>
    <w:p w14:paraId="223A9441" w14:textId="77777777" w:rsidR="00C97237" w:rsidRDefault="00000000">
      <w:pPr>
        <w:ind w:firstLineChars="200" w:firstLine="640"/>
        <w:rPr>
          <w:rFonts w:ascii="黑体" w:eastAsia="黑体" w:hAnsi="黑体" w:cs="黑体"/>
          <w:sz w:val="32"/>
          <w:szCs w:val="32"/>
        </w:rPr>
      </w:pPr>
      <w:r>
        <w:rPr>
          <w:rFonts w:ascii="黑体" w:eastAsia="黑体" w:hAnsi="黑体" w:cs="黑体" w:hint="eastAsia"/>
          <w:sz w:val="32"/>
          <w:szCs w:val="32"/>
        </w:rPr>
        <w:t>三、主要举措</w:t>
      </w:r>
    </w:p>
    <w:p w14:paraId="3C56596E" w14:textId="77777777" w:rsidR="00C97237" w:rsidRDefault="00000000">
      <w:pPr>
        <w:ind w:firstLineChars="100" w:firstLine="320"/>
        <w:rPr>
          <w:rFonts w:ascii="楷体_GB2312" w:eastAsia="楷体_GB2312" w:hAnsi="楷体_GB2312" w:cs="楷体_GB2312"/>
          <w:sz w:val="32"/>
          <w:szCs w:val="32"/>
        </w:rPr>
      </w:pPr>
      <w:r>
        <w:rPr>
          <w:rFonts w:ascii="楷体_GB2312" w:eastAsia="楷体_GB2312" w:hAnsi="楷体_GB2312" w:cs="楷体_GB2312" w:hint="eastAsia"/>
          <w:sz w:val="32"/>
          <w:szCs w:val="32"/>
        </w:rPr>
        <w:t>（一）强化政策导向，提升知识产权创造质量</w:t>
      </w:r>
    </w:p>
    <w:p w14:paraId="57B1A64E" w14:textId="77777777" w:rsidR="00C97237"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1.实施知识产权质量提升工程。</w:t>
      </w:r>
      <w:r>
        <w:rPr>
          <w:rFonts w:ascii="仿宋_GB2312" w:eastAsia="仿宋_GB2312" w:hAnsi="仿宋_GB2312" w:cs="仿宋_GB2312" w:hint="eastAsia"/>
          <w:sz w:val="32"/>
          <w:szCs w:val="32"/>
        </w:rPr>
        <w:t>引导企业增加科技研发</w:t>
      </w:r>
      <w:r>
        <w:rPr>
          <w:rFonts w:ascii="仿宋_GB2312" w:eastAsia="仿宋_GB2312" w:hAnsi="仿宋_GB2312" w:cs="仿宋_GB2312" w:hint="eastAsia"/>
          <w:sz w:val="32"/>
          <w:szCs w:val="32"/>
        </w:rPr>
        <w:lastRenderedPageBreak/>
        <w:t>投入，提高科技创新能力；持续推高价值专利培育工作，提高企业市场竞争力。</w:t>
      </w:r>
    </w:p>
    <w:p w14:paraId="5545D3E7"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时间节点：2022年12月</w:t>
      </w:r>
    </w:p>
    <w:p w14:paraId="72DF2F63"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责任单位：市市场监管局</w:t>
      </w:r>
    </w:p>
    <w:p w14:paraId="7729ED6F" w14:textId="77777777" w:rsidR="00C97237"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2.加强知识产权服务行业监管和行业自律。</w:t>
      </w:r>
      <w:r>
        <w:rPr>
          <w:rFonts w:ascii="仿宋_GB2312" w:eastAsia="仿宋_GB2312" w:hAnsi="仿宋_GB2312" w:cs="仿宋_GB2312" w:hint="eastAsia"/>
          <w:sz w:val="32"/>
          <w:szCs w:val="32"/>
        </w:rPr>
        <w:t>充分发挥市场监管职能，加强主动监管、协同监管、信用监管和智慧监管，强化服务机构信用意识和责任意识；配合国家和省、市开展知识产权代理行业“蓝天”专项整治行动，坚决打击无资质专利代理、恶意商标代理等违规违法行为等；加强行业自律，积极配合支持违法违规案件查办工作，开展规范经营自律倡议活动。</w:t>
      </w:r>
    </w:p>
    <w:p w14:paraId="1E86C0EC"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时间节点：2022年12月</w:t>
      </w:r>
    </w:p>
    <w:p w14:paraId="32A3F27B"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责任单位：市市场监管局</w:t>
      </w:r>
    </w:p>
    <w:p w14:paraId="569A1CDE" w14:textId="77777777" w:rsidR="00C97237" w:rsidRDefault="00000000">
      <w:pPr>
        <w:ind w:firstLineChars="100" w:firstLine="320"/>
        <w:rPr>
          <w:rFonts w:ascii="楷体_GB2312" w:eastAsia="楷体_GB2312" w:hAnsi="楷体_GB2312" w:cs="楷体_GB2312"/>
          <w:sz w:val="32"/>
          <w:szCs w:val="32"/>
        </w:rPr>
      </w:pPr>
      <w:r>
        <w:rPr>
          <w:rFonts w:ascii="楷体_GB2312" w:eastAsia="楷体_GB2312" w:hAnsi="楷体_GB2312" w:cs="楷体_GB2312" w:hint="eastAsia"/>
          <w:sz w:val="32"/>
          <w:szCs w:val="32"/>
        </w:rPr>
        <w:t>（二）健全大保护格局，营造知识产权保护良好氛围</w:t>
      </w:r>
    </w:p>
    <w:p w14:paraId="715255B9" w14:textId="77777777" w:rsidR="00C97237"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3.完善知识产权保护制度。</w:t>
      </w:r>
      <w:r>
        <w:rPr>
          <w:rFonts w:ascii="仿宋_GB2312" w:eastAsia="仿宋_GB2312" w:hAnsi="仿宋_GB2312" w:cs="仿宋_GB2312" w:hint="eastAsia"/>
          <w:sz w:val="32"/>
          <w:szCs w:val="32"/>
        </w:rPr>
        <w:t>严格落实商业标志权益、商业秘密著作权、地理标志、植物新品种等保护制度。加强司法保护，依法严惩恶意侵权、重复侵权及其他严重侵权行为。</w:t>
      </w:r>
    </w:p>
    <w:p w14:paraId="7EAF9BAE"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时间节点：2022年12月</w:t>
      </w:r>
    </w:p>
    <w:p w14:paraId="31F45D9E"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牵头单位：市市场监管局</w:t>
      </w:r>
    </w:p>
    <w:p w14:paraId="06B85689"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责任单位：市委宣传部、法院、检察院、公安局、文化广旅游局、农业农村局、林业局、商务局</w:t>
      </w:r>
    </w:p>
    <w:p w14:paraId="68DC7AF7" w14:textId="77777777" w:rsidR="00C97237"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4.加大知识产权执法力度。</w:t>
      </w:r>
      <w:r>
        <w:rPr>
          <w:rFonts w:ascii="仿宋_GB2312" w:eastAsia="仿宋_GB2312" w:hAnsi="仿宋_GB2312" w:cs="仿宋_GB2312" w:hint="eastAsia"/>
          <w:sz w:val="32"/>
          <w:szCs w:val="32"/>
        </w:rPr>
        <w:t>开展关键领域、重点环节、</w:t>
      </w:r>
      <w:r>
        <w:rPr>
          <w:rFonts w:ascii="仿宋_GB2312" w:eastAsia="仿宋_GB2312" w:hAnsi="仿宋_GB2312" w:cs="仿宋_GB2312" w:hint="eastAsia"/>
          <w:sz w:val="32"/>
          <w:szCs w:val="32"/>
        </w:rPr>
        <w:lastRenderedPageBreak/>
        <w:t>重点市场知识产权执法行动，依法严厉打击侵犯知识产权违法犯罪行为。针对关键领域、重点环节、重点市场对知名企业和品牌的侵权行为进行专项援助与支持，针对中小企业提供必要的知识产权维权法律援助。加强执法协作，健全行政执法部门之间知识产权线索通报、案件协办、联合执法、定期会商等制度，发现犯罪线索的及时移交司法部门处理。集中办理大案要案，形成社会威慑效应，提升知识产权保护效能。</w:t>
      </w:r>
    </w:p>
    <w:p w14:paraId="6D665495"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时间节点：2022年12月</w:t>
      </w:r>
    </w:p>
    <w:p w14:paraId="09C7C5D4"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牵头单位：市市场监管局</w:t>
      </w:r>
    </w:p>
    <w:p w14:paraId="4FFD067E"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责任单位：市委宣传部、法院、检察院、公安局、文化广旅游局、农业农村局、林业局、商务局</w:t>
      </w:r>
    </w:p>
    <w:p w14:paraId="38EEFD9E" w14:textId="77777777" w:rsidR="00C97237"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5.拓宽非诉调解渠道。</w:t>
      </w:r>
      <w:r>
        <w:rPr>
          <w:rFonts w:ascii="仿宋_GB2312" w:eastAsia="仿宋_GB2312" w:hAnsi="仿宋_GB2312" w:cs="仿宋_GB2312" w:hint="eastAsia"/>
          <w:sz w:val="32"/>
          <w:szCs w:val="32"/>
        </w:rPr>
        <w:t>健全完善知识产权多元化纠纷解决机制。充分发挥12315投诉热线作用，依托现有消费者权益渠道和知识产权维权援助工作站，有效调动社会力量和中介组织参与知识产权纠纷解决。指导行业性专业性调解组织开展调解工作，健全知识产权行业调解组织和非诉调解协议的司法确认机制。</w:t>
      </w:r>
    </w:p>
    <w:p w14:paraId="43847B2D"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时间节点：2022年12月</w:t>
      </w:r>
    </w:p>
    <w:p w14:paraId="4C7652F3"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牵头单位：市市场监管局</w:t>
      </w:r>
    </w:p>
    <w:p w14:paraId="725919CD"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责任单位：法院、司法局</w:t>
      </w:r>
    </w:p>
    <w:p w14:paraId="5F3FD265" w14:textId="77777777" w:rsidR="00C97237"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6.加大知识产权金融服务力度。</w:t>
      </w:r>
      <w:r>
        <w:rPr>
          <w:rFonts w:ascii="仿宋_GB2312" w:eastAsia="仿宋_GB2312" w:hAnsi="仿宋_GB2312" w:cs="仿宋_GB2312" w:hint="eastAsia"/>
          <w:sz w:val="32"/>
          <w:szCs w:val="32"/>
        </w:rPr>
        <w:t>强化知识产权质押融资</w:t>
      </w:r>
      <w:r>
        <w:rPr>
          <w:rFonts w:ascii="仿宋_GB2312" w:eastAsia="仿宋_GB2312" w:hAnsi="仿宋_GB2312" w:cs="仿宋_GB2312" w:hint="eastAsia"/>
          <w:sz w:val="32"/>
          <w:szCs w:val="32"/>
        </w:rPr>
        <w:lastRenderedPageBreak/>
        <w:t>奖补政策导向。发挥知识产权增信增贷作用，鼓励商业银行在风险可控的前提下，通过单列信贷计划、专项考核激励等方式支持知识产权质押融资业务发展，力争2022年底技术合同交易额达1亿元，知识产权质押融资金额突破600万元。</w:t>
      </w:r>
    </w:p>
    <w:p w14:paraId="2E774F86"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时间节点：2022年12月</w:t>
      </w:r>
    </w:p>
    <w:p w14:paraId="3232918F"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牵头单位：市市场监管局</w:t>
      </w:r>
    </w:p>
    <w:p w14:paraId="5906F889"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责任单位：财政局、科技局、金融工作局</w:t>
      </w:r>
    </w:p>
    <w:p w14:paraId="7B797496" w14:textId="77777777" w:rsidR="00C97237"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7.充分发挥专利奖励的示范导向作用。</w:t>
      </w:r>
      <w:r>
        <w:rPr>
          <w:rFonts w:ascii="仿宋_GB2312" w:eastAsia="仿宋_GB2312" w:hAnsi="仿宋_GB2312" w:cs="仿宋_GB2312" w:hint="eastAsia"/>
          <w:sz w:val="32"/>
          <w:szCs w:val="32"/>
        </w:rPr>
        <w:t>发挥专利授权奖励资金对提升专利质量、培育高价值专利的引领、导向和示范作用，加大知识产权贯标企业的奖励支持力度，对通过专利奖获奖项目和知识产权质融资先进典型的宣传推广，引导更多企业创新发展。</w:t>
      </w:r>
    </w:p>
    <w:p w14:paraId="7D7A9001"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时间节点：2022年12月</w:t>
      </w:r>
    </w:p>
    <w:p w14:paraId="61F37DC2"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牵头单位：市市场监管局</w:t>
      </w:r>
    </w:p>
    <w:p w14:paraId="552C5E02" w14:textId="77777777" w:rsidR="00C97237"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责任单位：市财政局</w:t>
      </w:r>
    </w:p>
    <w:p w14:paraId="221F4719" w14:textId="77777777" w:rsidR="00C97237"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8.培育创新质量高、运用效益好、示范效应强的专利项目。</w:t>
      </w:r>
      <w:r>
        <w:rPr>
          <w:rFonts w:ascii="仿宋_GB2312" w:eastAsia="仿宋_GB2312" w:hAnsi="仿宋_GB2312" w:cs="仿宋_GB2312" w:hint="eastAsia"/>
          <w:sz w:val="32"/>
          <w:szCs w:val="32"/>
        </w:rPr>
        <w:t>力争我市企业专利获奖数量逐步提升。对于获奖的专利项目，加大宣传力度，进一步引起社会各界的广泛关注和积极参与。</w:t>
      </w:r>
    </w:p>
    <w:p w14:paraId="24F751CA"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时间节点：2022年12月</w:t>
      </w:r>
    </w:p>
    <w:p w14:paraId="3F0985B4" w14:textId="77777777" w:rsidR="00C97237"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责任单位：市市场监管局</w:t>
      </w:r>
    </w:p>
    <w:p w14:paraId="6B5B23A1" w14:textId="77777777" w:rsidR="00C97237" w:rsidRDefault="00000000">
      <w:pPr>
        <w:ind w:firstLineChars="200" w:firstLine="640"/>
        <w:rPr>
          <w:rFonts w:ascii="黑体" w:eastAsia="黑体" w:hAnsi="黑体" w:cs="黑体"/>
          <w:sz w:val="32"/>
          <w:szCs w:val="32"/>
        </w:rPr>
      </w:pPr>
      <w:r>
        <w:rPr>
          <w:rFonts w:ascii="黑体" w:eastAsia="黑体" w:hAnsi="黑体" w:cs="黑体" w:hint="eastAsia"/>
          <w:sz w:val="32"/>
          <w:szCs w:val="32"/>
        </w:rPr>
        <w:t>四、保障措施</w:t>
      </w:r>
    </w:p>
    <w:p w14:paraId="2272BE24" w14:textId="77777777" w:rsidR="00C97237" w:rsidRDefault="00000000">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（一）加强组织领导。</w:t>
      </w:r>
      <w:r>
        <w:rPr>
          <w:rFonts w:ascii="仿宋_GB2312" w:eastAsia="仿宋_GB2312" w:hAnsi="仿宋_GB2312" w:cs="仿宋_GB2312" w:hint="eastAsia"/>
          <w:sz w:val="32"/>
          <w:szCs w:val="32"/>
        </w:rPr>
        <w:t>贯彻落实好中央办公厅、国务院办公厅《关于强化知识产权保护的意见》及省委、省政府《关于强化知识产权保护的实施意见》，完善知识产权工作统筹协调机制，充分发挥宣传（版权）、司法、农业农村、海关等知识产权相关部门作用，形成知识产权工作合力。</w:t>
      </w:r>
    </w:p>
    <w:p w14:paraId="26F53F39" w14:textId="77777777" w:rsidR="00C97237" w:rsidRDefault="00000000">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（二）压实属地责任。</w:t>
      </w:r>
      <w:r>
        <w:rPr>
          <w:rFonts w:ascii="仿宋_GB2312" w:eastAsia="仿宋_GB2312" w:hAnsi="仿宋_GB2312" w:cs="仿宋_GB2312" w:hint="eastAsia"/>
          <w:sz w:val="32"/>
          <w:szCs w:val="32"/>
        </w:rPr>
        <w:t>将知识产权保护工作纳入各级党委政府绩效考核，层层传导压力。以洛阳知识产权运营服务体系重点城市建设为契机，带动全市知识产权创造保护和运用工作水平不断提升。</w:t>
      </w:r>
    </w:p>
    <w:p w14:paraId="298746E0" w14:textId="77777777" w:rsidR="00C97237" w:rsidRDefault="00000000">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（三）加大宣传力度。</w:t>
      </w:r>
      <w:r>
        <w:rPr>
          <w:rFonts w:ascii="仿宋_GB2312" w:eastAsia="仿宋_GB2312" w:hAnsi="仿宋_GB2312" w:cs="仿宋_GB2312" w:hint="eastAsia"/>
          <w:sz w:val="32"/>
          <w:szCs w:val="32"/>
        </w:rPr>
        <w:t>加强对国家、省、市及我市重大决策部署的宣传，提升世界知识产权日、中国品牌日、中国专利周等的影响力。加强公益宣传，开展知识产权进企业、进单位、进社区、进学校、进乡村、进网络等活动，不断提升全社会知识产权意识。</w:t>
      </w:r>
    </w:p>
    <w:p w14:paraId="45B6B8B2" w14:textId="77777777" w:rsidR="00C97237" w:rsidRDefault="00C97237">
      <w:pPr>
        <w:spacing w:line="580" w:lineRule="exact"/>
        <w:jc w:val="center"/>
        <w:rPr>
          <w:rFonts w:ascii="黑体" w:eastAsia="黑体" w:hAnsi="黑体" w:cs="黑体"/>
          <w:bCs/>
          <w:sz w:val="44"/>
          <w:szCs w:val="44"/>
        </w:rPr>
      </w:pPr>
    </w:p>
    <w:p w14:paraId="0DD85CC8" w14:textId="77777777" w:rsidR="00C97237" w:rsidRDefault="00C97237">
      <w:pPr>
        <w:spacing w:line="580" w:lineRule="exact"/>
        <w:jc w:val="left"/>
        <w:rPr>
          <w:rFonts w:ascii="黑体" w:eastAsia="黑体" w:hAnsi="黑体" w:cs="黑体"/>
          <w:bCs/>
          <w:sz w:val="44"/>
          <w:szCs w:val="44"/>
        </w:rPr>
      </w:pPr>
    </w:p>
    <w:p w14:paraId="406C2F83" w14:textId="77777777" w:rsidR="00C97237" w:rsidRDefault="00C97237">
      <w:pPr>
        <w:spacing w:line="580" w:lineRule="exact"/>
        <w:jc w:val="left"/>
        <w:rPr>
          <w:rFonts w:ascii="黑体" w:eastAsia="黑体" w:hAnsi="黑体" w:cs="黑体"/>
          <w:bCs/>
          <w:sz w:val="44"/>
          <w:szCs w:val="44"/>
        </w:rPr>
      </w:pPr>
    </w:p>
    <w:p w14:paraId="116779AD" w14:textId="77777777" w:rsidR="00C97237" w:rsidRDefault="00C97237">
      <w:pPr>
        <w:spacing w:line="580" w:lineRule="exact"/>
        <w:jc w:val="left"/>
        <w:rPr>
          <w:rFonts w:ascii="黑体" w:eastAsia="黑体" w:hAnsi="黑体" w:cs="黑体"/>
          <w:bCs/>
          <w:sz w:val="44"/>
          <w:szCs w:val="44"/>
        </w:rPr>
      </w:pPr>
    </w:p>
    <w:p w14:paraId="49B3A775" w14:textId="77777777" w:rsidR="00C97237" w:rsidRDefault="00C97237">
      <w:pPr>
        <w:spacing w:line="580" w:lineRule="exact"/>
        <w:jc w:val="left"/>
        <w:rPr>
          <w:rFonts w:ascii="黑体" w:eastAsia="黑体" w:hAnsi="黑体" w:cs="黑体"/>
          <w:bCs/>
          <w:sz w:val="44"/>
          <w:szCs w:val="44"/>
        </w:rPr>
      </w:pPr>
    </w:p>
    <w:p w14:paraId="0C2C0388" w14:textId="77777777" w:rsidR="00C97237" w:rsidRDefault="00C97237">
      <w:pPr>
        <w:spacing w:line="580" w:lineRule="exact"/>
        <w:jc w:val="left"/>
        <w:rPr>
          <w:rFonts w:ascii="黑体" w:eastAsia="黑体" w:hAnsi="黑体" w:cs="黑体"/>
          <w:bCs/>
          <w:sz w:val="44"/>
          <w:szCs w:val="44"/>
        </w:rPr>
      </w:pPr>
    </w:p>
    <w:p w14:paraId="0F902B96" w14:textId="77777777" w:rsidR="00C97237" w:rsidRDefault="00C97237">
      <w:pPr>
        <w:spacing w:line="580" w:lineRule="exact"/>
        <w:jc w:val="left"/>
        <w:rPr>
          <w:rFonts w:ascii="黑体" w:eastAsia="黑体" w:hAnsi="黑体" w:cs="黑体"/>
          <w:bCs/>
          <w:sz w:val="44"/>
          <w:szCs w:val="44"/>
        </w:rPr>
      </w:pPr>
    </w:p>
    <w:p w14:paraId="28E4CF4B" w14:textId="77777777" w:rsidR="00C97237" w:rsidRDefault="00C97237">
      <w:pPr>
        <w:spacing w:line="580" w:lineRule="exact"/>
        <w:jc w:val="left"/>
        <w:rPr>
          <w:rFonts w:ascii="黑体" w:eastAsia="黑体" w:hAnsi="黑体" w:cs="黑体"/>
          <w:bCs/>
          <w:sz w:val="44"/>
          <w:szCs w:val="44"/>
        </w:rPr>
      </w:pPr>
    </w:p>
    <w:p w14:paraId="6CF133C1" w14:textId="77777777" w:rsidR="00C97237" w:rsidRDefault="00C97237">
      <w:pPr>
        <w:spacing w:line="580" w:lineRule="exact"/>
        <w:jc w:val="left"/>
        <w:rPr>
          <w:rFonts w:ascii="黑体" w:eastAsia="黑体" w:hAnsi="黑体" w:cs="黑体"/>
          <w:bCs/>
          <w:sz w:val="44"/>
          <w:szCs w:val="44"/>
        </w:rPr>
      </w:pPr>
    </w:p>
    <w:p w14:paraId="7C5B6633" w14:textId="77777777" w:rsidR="00C97237" w:rsidRDefault="00000000">
      <w:pPr>
        <w:spacing w:line="580" w:lineRule="exact"/>
        <w:jc w:val="left"/>
        <w:rPr>
          <w:rFonts w:ascii="黑体" w:eastAsia="黑体" w:hAnsi="黑体" w:cs="黑体"/>
          <w:bCs/>
          <w:sz w:val="44"/>
          <w:szCs w:val="44"/>
        </w:rPr>
      </w:pPr>
      <w:r>
        <w:rPr>
          <w:rFonts w:ascii="黑体" w:eastAsia="黑体" w:hAnsi="黑体" w:cs="黑体" w:hint="eastAsia"/>
          <w:bCs/>
          <w:sz w:val="44"/>
          <w:szCs w:val="44"/>
        </w:rPr>
        <w:lastRenderedPageBreak/>
        <w:t>附件19</w:t>
      </w:r>
    </w:p>
    <w:p w14:paraId="596CB2BA" w14:textId="77777777" w:rsidR="00C97237" w:rsidRDefault="00000000">
      <w:pPr>
        <w:spacing w:line="580" w:lineRule="exact"/>
        <w:jc w:val="center"/>
        <w:rPr>
          <w:rFonts w:ascii="仿宋" w:eastAsia="仿宋" w:hAnsi="仿宋" w:cs="仿宋"/>
          <w:b/>
          <w:sz w:val="32"/>
          <w:szCs w:val="32"/>
        </w:rPr>
      </w:pPr>
      <w:r>
        <w:rPr>
          <w:rFonts w:ascii="黑体" w:eastAsia="黑体" w:hAnsi="黑体" w:cs="黑体" w:hint="eastAsia"/>
          <w:bCs/>
          <w:sz w:val="44"/>
          <w:szCs w:val="44"/>
        </w:rPr>
        <w:t>偃师区信用环境提升专项行动方案</w:t>
      </w:r>
    </w:p>
    <w:p w14:paraId="3A1181AE" w14:textId="77777777" w:rsidR="00C97237" w:rsidRDefault="00C97237">
      <w:pPr>
        <w:spacing w:line="580" w:lineRule="exact"/>
        <w:jc w:val="center"/>
        <w:rPr>
          <w:rFonts w:ascii="仿宋" w:eastAsia="仿宋" w:hAnsi="仿宋" w:cs="仿宋"/>
          <w:b/>
          <w:sz w:val="32"/>
          <w:szCs w:val="32"/>
        </w:rPr>
      </w:pPr>
    </w:p>
    <w:p w14:paraId="4CA8D09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为贯彻落实省第十一次党代会关于“信用河南”建设的部署要求、《河南省 2022 年信用环境提升专项行动方案》和《偃师区信用环境提升专项行动方案》，更高水平构建适应高质量发展要求的社会信用体系，进一步优化我区营商环境，制定偃师区信用环境提升专项行动方案如下。 </w:t>
      </w:r>
    </w:p>
    <w:p w14:paraId="03563B26"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一、指导思想</w:t>
      </w:r>
    </w:p>
    <w:p w14:paraId="1E27C692"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以习近平新时代中国特色社会主义思想为指导，深入贯彻党的十九大和十九届历次全会精神，全面落实习近平总书记视察河南重要讲话和关于信用体系建设的重要指示精神，按照党中央、国务院和省委、省政府关于优化营商环境和信用体系建设的决策部署和工作要求，构建法规制度体系化、基础支撑智慧化、监督管理精准化、创新应用场景化、示范创建长效化、宣传教育常态化的社会信用体系运行机制，营造良好的社会信用环境。 </w:t>
      </w:r>
    </w:p>
    <w:p w14:paraId="76F9977E" w14:textId="77777777" w:rsidR="00C97237" w:rsidRDefault="00000000">
      <w:pPr>
        <w:spacing w:line="580" w:lineRule="exact"/>
        <w:ind w:firstLineChars="200" w:firstLine="643"/>
        <w:rPr>
          <w:rFonts w:ascii="仿宋" w:eastAsia="仿宋" w:hAnsi="仿宋" w:cs="仿宋"/>
          <w:b/>
          <w:sz w:val="32"/>
          <w:szCs w:val="32"/>
        </w:rPr>
      </w:pPr>
      <w:r>
        <w:rPr>
          <w:rFonts w:ascii="仿宋" w:eastAsia="仿宋" w:hAnsi="仿宋" w:cs="仿宋" w:hint="eastAsia"/>
          <w:b/>
          <w:sz w:val="32"/>
          <w:szCs w:val="32"/>
        </w:rPr>
        <w:t xml:space="preserve">二、工作目标 </w:t>
      </w:r>
    </w:p>
    <w:p w14:paraId="6035AF69"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着力加强基础支撑、信用监管、政务诚信、信用惠民等能力建设，通过不断完善信用平台网站功能、持续加强信用信息归集、深入推进信用监管实效、全面开展政务诚信建设、创新推动信用便民惠企应用、广泛开展信用宣传教育等，强化信用服务实体经济效能、提升信用环境感召能力，推动偃师区社会信用环境向善向好并全面达到创建河南省社会信</w:t>
      </w:r>
      <w:r>
        <w:rPr>
          <w:rFonts w:ascii="仿宋" w:eastAsia="仿宋" w:hAnsi="仿宋" w:cs="仿宋" w:hint="eastAsia"/>
          <w:sz w:val="32"/>
          <w:szCs w:val="32"/>
        </w:rPr>
        <w:lastRenderedPageBreak/>
        <w:t xml:space="preserve">用体系建设示范区标准。 </w:t>
      </w:r>
    </w:p>
    <w:p w14:paraId="06974C0E"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三、工作举措</w:t>
      </w:r>
      <w:r>
        <w:rPr>
          <w:rFonts w:ascii="仿宋" w:eastAsia="仿宋" w:hAnsi="仿宋" w:cs="仿宋" w:hint="eastAsia"/>
          <w:sz w:val="32"/>
          <w:szCs w:val="32"/>
        </w:rPr>
        <w:t xml:space="preserve"> </w:t>
      </w:r>
    </w:p>
    <w:p w14:paraId="754D60B1" w14:textId="77777777" w:rsidR="00C97237" w:rsidRDefault="00000000">
      <w:pPr>
        <w:spacing w:line="580" w:lineRule="exact"/>
        <w:ind w:firstLineChars="150" w:firstLine="482"/>
        <w:rPr>
          <w:rFonts w:ascii="仿宋" w:eastAsia="仿宋" w:hAnsi="仿宋" w:cs="仿宋"/>
          <w:b/>
          <w:sz w:val="32"/>
          <w:szCs w:val="32"/>
        </w:rPr>
      </w:pPr>
      <w:r>
        <w:rPr>
          <w:rFonts w:ascii="仿宋" w:eastAsia="仿宋" w:hAnsi="仿宋" w:cs="仿宋" w:hint="eastAsia"/>
          <w:b/>
          <w:sz w:val="32"/>
          <w:szCs w:val="32"/>
        </w:rPr>
        <w:t xml:space="preserve">（一）加强信用制度和基础建设 </w:t>
      </w:r>
    </w:p>
    <w:p w14:paraId="34835B9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1.完善区社会信用体系建设工作组织、领导、协调、推进机制,建立区社会信用体系建设工作联席会议制度，</w:t>
      </w:r>
      <w:r>
        <w:rPr>
          <w:rFonts w:ascii="仿宋" w:eastAsia="仿宋" w:hAnsi="仿宋" w:cs="仿宋" w:hint="eastAsia"/>
          <w:color w:val="000000"/>
          <w:sz w:val="32"/>
          <w:szCs w:val="32"/>
        </w:rPr>
        <w:t>明确各部门责任领导、牵头科室、专人具体负责信用体系建设工作，建立日常联络机制，各部门信用体系建设负责人要加入信用体系建设工作群，</w:t>
      </w:r>
      <w:r>
        <w:rPr>
          <w:rFonts w:ascii="仿宋" w:eastAsia="仿宋" w:hAnsi="仿宋" w:cs="仿宋" w:hint="eastAsia"/>
          <w:sz w:val="32"/>
          <w:szCs w:val="32"/>
        </w:rPr>
        <w:t xml:space="preserve">全面推进信用环境建设重点工作。 </w:t>
      </w:r>
    </w:p>
    <w:p w14:paraId="2E5C877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 年 6 月 </w:t>
      </w:r>
    </w:p>
    <w:p w14:paraId="2EC6C0F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责任单位：区发展和改革委员会，区社会信用体系建设工作领导小组各成员单位</w:t>
      </w:r>
    </w:p>
    <w:p w14:paraId="19E6B069"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围绕政务诚信、数据归集、信用监管、失信治理、守信激励、信用应用等重点工作，持续加强制度建设，推动各项工作依法依规依制开展。完善公共信用目录、信用数据归集共享、公共信用评价、联合奖惩等制度标准。推动市场监管、自然资源、生态环境、住房建设、安全生产、文化旅游、城市管理等重点领域完善行业信用体系建设制度规范。 </w:t>
      </w:r>
    </w:p>
    <w:p w14:paraId="420A615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时间节点：持续推进 </w:t>
      </w:r>
    </w:p>
    <w:p w14:paraId="2345457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责任单位：区发展和改革委员会、市场监管局、自然资源和规划局、生态环境局、住建局、应急管理局、文化广电和旅游局、城市管理局，区直各有关部门 </w:t>
      </w:r>
    </w:p>
    <w:p w14:paraId="3386873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3.持续加强信用信息共享平台、信用偃师网站功能建设，为信用环境建设提供全方位技术保障。严格按照省、市、区公共信用信息目录，实现公共信用信息及时、完整、全量</w:t>
      </w:r>
      <w:r>
        <w:rPr>
          <w:rFonts w:ascii="仿宋" w:eastAsia="仿宋" w:hAnsi="仿宋" w:cs="仿宋" w:hint="eastAsia"/>
          <w:sz w:val="32"/>
          <w:szCs w:val="32"/>
        </w:rPr>
        <w:lastRenderedPageBreak/>
        <w:t>归集共享，加快推进社会保障、医疗卫生、邮政电信、仓储物流、水电气暖、合同履约等信用信息归集。2022年全区人均信用信息数量新增10条以上，建立完善“双公示”日统计、月通报，并将“双公示”工作作为优化营商环境和政务公开的重要指标。确保“双公示”数据合格率100%，迟报率、瞒报率持续降低，努力实现上报率、及时率、准确率100%的目标。</w:t>
      </w:r>
    </w:p>
    <w:p w14:paraId="4AFD865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 年 12 月 </w:t>
      </w:r>
    </w:p>
    <w:p w14:paraId="7B18B1F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责任单位：区发展和改革委员会，偃师区公共信用信息目录所有涉信源单位 </w:t>
      </w:r>
    </w:p>
    <w:p w14:paraId="7D71420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4.持续做好统一社会信用代码存量转换和重错码纠正工作。 </w:t>
      </w:r>
    </w:p>
    <w:p w14:paraId="7CFFD26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 年 12 月 </w:t>
      </w:r>
    </w:p>
    <w:p w14:paraId="7D377F9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责任单位：区委编办、市场监管局、民政局</w:t>
      </w:r>
    </w:p>
    <w:p w14:paraId="5527FE9B" w14:textId="77777777" w:rsidR="00C97237" w:rsidRDefault="00000000">
      <w:pPr>
        <w:pStyle w:val="20"/>
        <w:spacing w:line="580" w:lineRule="exact"/>
        <w:ind w:firstLine="640"/>
        <w:rPr>
          <w:rFonts w:ascii="仿宋" w:eastAsia="仿宋" w:hAnsi="仿宋" w:cs="仿宋"/>
          <w:b w:val="0"/>
          <w:kern w:val="2"/>
          <w:sz w:val="32"/>
          <w:szCs w:val="32"/>
        </w:rPr>
      </w:pPr>
      <w:r>
        <w:rPr>
          <w:rFonts w:ascii="仿宋" w:eastAsia="仿宋" w:hAnsi="仿宋" w:cs="仿宋" w:hint="eastAsia"/>
          <w:b w:val="0"/>
          <w:kern w:val="2"/>
          <w:sz w:val="32"/>
          <w:szCs w:val="32"/>
        </w:rPr>
        <w:t>5. 严格落实信息安全责任。保护各单位报送与“信用偃师”平台信用信息数据的安全性，规范信用信息查询使用权限和程序，加强信用领域信息基础设施安全管理。依法保护国家秘密、商业秘密、个人隐私。依法监管信用信息跨境流动，防止信息外流损害国家安全。</w:t>
      </w:r>
    </w:p>
    <w:p w14:paraId="7A5F664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38E3E087" w14:textId="77777777" w:rsidR="00C97237" w:rsidRDefault="00000000">
      <w:pPr>
        <w:pStyle w:val="20"/>
        <w:spacing w:line="580" w:lineRule="exact"/>
        <w:ind w:firstLine="640"/>
        <w:rPr>
          <w:rFonts w:ascii="仿宋" w:eastAsia="仿宋" w:hAnsi="仿宋" w:cs="仿宋"/>
          <w:sz w:val="32"/>
          <w:szCs w:val="32"/>
        </w:rPr>
      </w:pPr>
      <w:r>
        <w:rPr>
          <w:rFonts w:ascii="仿宋" w:eastAsia="仿宋" w:hAnsi="仿宋" w:cs="仿宋" w:hint="eastAsia"/>
          <w:b w:val="0"/>
          <w:kern w:val="2"/>
          <w:sz w:val="32"/>
          <w:szCs w:val="32"/>
        </w:rPr>
        <w:t>责任单位：区政数局、</w:t>
      </w:r>
      <w:r>
        <w:rPr>
          <w:rFonts w:ascii="仿宋" w:eastAsia="仿宋" w:hAnsi="仿宋" w:cs="仿宋" w:hint="eastAsia"/>
          <w:b w:val="0"/>
          <w:bCs/>
          <w:sz w:val="32"/>
          <w:szCs w:val="32"/>
        </w:rPr>
        <w:t>发展和改革委员会</w:t>
      </w:r>
      <w:r>
        <w:rPr>
          <w:rFonts w:ascii="仿宋" w:eastAsia="仿宋" w:hAnsi="仿宋" w:cs="仿宋" w:hint="eastAsia"/>
          <w:b w:val="0"/>
          <w:kern w:val="2"/>
          <w:sz w:val="32"/>
          <w:szCs w:val="32"/>
        </w:rPr>
        <w:t>，区直各有关部门</w:t>
      </w:r>
    </w:p>
    <w:p w14:paraId="19296500"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（二）加强信用监管</w:t>
      </w:r>
      <w:r>
        <w:rPr>
          <w:rFonts w:ascii="仿宋" w:eastAsia="仿宋" w:hAnsi="仿宋" w:cs="仿宋" w:hint="eastAsia"/>
          <w:sz w:val="32"/>
          <w:szCs w:val="32"/>
        </w:rPr>
        <w:t xml:space="preserve"> </w:t>
      </w:r>
    </w:p>
    <w:p w14:paraId="64146F3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1.在学生资助、道路运输、生态环境服务、建筑市场、</w:t>
      </w:r>
      <w:r>
        <w:rPr>
          <w:rFonts w:ascii="仿宋" w:eastAsia="仿宋" w:hAnsi="仿宋" w:cs="仿宋" w:hint="eastAsia"/>
          <w:sz w:val="32"/>
          <w:szCs w:val="32"/>
        </w:rPr>
        <w:lastRenderedPageBreak/>
        <w:t>建筑工程质量和安全、就业创业、社会保险、劳动关系、电子商务、家政服务、医疗卫生机构、非煤矿山、危化品、金属冶炼、医保基金等重点行业领域率先构建高质量信用监管机制，形成全流程信用监管闭环，有力支撑“放管服效”改革和营商环境优化。</w:t>
      </w:r>
    </w:p>
    <w:p w14:paraId="7EFA7B7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时间节点：2022年12月 </w:t>
      </w:r>
    </w:p>
    <w:p w14:paraId="6A60A90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责任单位：区教育局、交通运输局、生态环境局、住建局、人力资源和社会保障局、商务局、卫健委、应急管理局、医疗保障局，区直各有关部门</w:t>
      </w:r>
    </w:p>
    <w:p w14:paraId="19414EF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2.在市场准入、行政审批、评优评先、政府采购、政策优惠等行政管理事项中加大信用核查力度，推动信用报告查询常态化、多领域开展。 </w:t>
      </w:r>
    </w:p>
    <w:p w14:paraId="797FBA1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时间节点：持续推进 </w:t>
      </w:r>
    </w:p>
    <w:p w14:paraId="3411F192"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责任单位：区直各有关部门 </w:t>
      </w:r>
    </w:p>
    <w:p w14:paraId="2F6D4E5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3.全面动员市场主体、行业组织主动签署并提交信用承诺。 结合证照分离改革、企业投资项目承诺制改革、证明事项告知承诺制改革、政务审批制度改革等，大力推行容缺受理、信用承诺制，以信用承诺替代审批、简化流程。完善信用承诺履约情况监管机制，依据承诺履行情况开展奖惩，构建承诺监管闭环。依托区信用信息共享平台，加大信用承诺及履约践诺信用信息归集力度，信用承诺以及履约情况纳入市场主体信用记录。2022年底，全区信用承诺及践诺信息归集量突破</w:t>
      </w:r>
      <w:r>
        <w:rPr>
          <w:rFonts w:ascii="仿宋" w:eastAsia="仿宋" w:hAnsi="仿宋" w:cs="仿宋" w:hint="eastAsia"/>
          <w:color w:val="FF0000"/>
          <w:sz w:val="32"/>
          <w:szCs w:val="32"/>
        </w:rPr>
        <w:t xml:space="preserve"> </w:t>
      </w:r>
      <w:r>
        <w:rPr>
          <w:rFonts w:ascii="仿宋" w:eastAsia="仿宋" w:hAnsi="仿宋" w:cs="仿宋" w:hint="eastAsia"/>
          <w:sz w:val="32"/>
          <w:szCs w:val="32"/>
        </w:rPr>
        <w:t xml:space="preserve">10万条，审批告知（替代）型、证明事项告知型、信用修复型、行业自律型、主动公示型和容缺受理型等 </w:t>
      </w:r>
      <w:r>
        <w:rPr>
          <w:rFonts w:ascii="仿宋" w:eastAsia="仿宋" w:hAnsi="仿宋" w:cs="仿宋" w:hint="eastAsia"/>
          <w:sz w:val="32"/>
          <w:szCs w:val="32"/>
        </w:rPr>
        <w:lastRenderedPageBreak/>
        <w:t xml:space="preserve">6 类信用承诺全覆盖。 </w:t>
      </w:r>
    </w:p>
    <w:p w14:paraId="0F62894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时间节点：2022年12月 </w:t>
      </w:r>
    </w:p>
    <w:p w14:paraId="5239AC2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水利局、生态环境局、发展和改革委员会、气象局、人防办、住建局、自然资源和规划局、交通运输局、应急管理局、文物局、城市管理局、卫健委、金融工作局、林业局、人力资源和社会保障局、商务局、市场监管局、文化广电和旅游局、医疗保障局 </w:t>
      </w:r>
    </w:p>
    <w:p w14:paraId="098D5C7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4.加强事中信用评价和分级分类监管，以公共信用综合评价、行业信用评价结果为依据，对监管对象进行分级分类管理，根据信用等级高低采取差异化的监管措施。 </w:t>
      </w:r>
    </w:p>
    <w:p w14:paraId="0F1FDE2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时间节点：持续推进 </w:t>
      </w:r>
    </w:p>
    <w:p w14:paraId="54993642"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市场监管局、人力资源和社会保障局、税务局、卫健委、应急管理局、住建局、生态环境局、民政局、医疗保障局、发展和改革委员会、交通运输局、财政局、城市管理局、商务局、文化广电和旅游局、教体局、林业局、烟草局等区直各有关部门 </w:t>
      </w:r>
    </w:p>
    <w:p w14:paraId="14C36A81" w14:textId="77777777" w:rsidR="00C97237" w:rsidRDefault="00000000">
      <w:pPr>
        <w:pStyle w:val="20"/>
        <w:spacing w:line="580" w:lineRule="exact"/>
        <w:ind w:firstLine="640"/>
        <w:rPr>
          <w:rFonts w:ascii="仿宋" w:eastAsia="仿宋" w:hAnsi="仿宋" w:cs="仿宋"/>
          <w:b w:val="0"/>
          <w:kern w:val="2"/>
          <w:sz w:val="32"/>
          <w:szCs w:val="32"/>
        </w:rPr>
      </w:pPr>
      <w:r>
        <w:rPr>
          <w:rFonts w:ascii="仿宋" w:eastAsia="仿宋" w:hAnsi="仿宋" w:cs="仿宋" w:hint="eastAsia"/>
          <w:b w:val="0"/>
          <w:kern w:val="2"/>
          <w:sz w:val="32"/>
          <w:szCs w:val="32"/>
        </w:rPr>
        <w:t>5. 建立完善“红黑名单”管理制度。健全完善定期申报、规范认定、集中公示等工作，根据监管对象的信用记录和信用评价，运用大数据手段，及时准确地将守信者和失信者分别在“诚信红名单”和“失信黑名单”上依法予以公示，形成扬善抑恶的长效工作机制。区直各部门要有针对性的将纳入黑名单主体进行失信修复培训，依法开展信用修复，优化信用修复服务，建立黑名单退出机制。</w:t>
      </w:r>
    </w:p>
    <w:p w14:paraId="27D99940"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 xml:space="preserve">    时间节点：持续推进</w:t>
      </w:r>
    </w:p>
    <w:p w14:paraId="61D9038A" w14:textId="77777777" w:rsidR="00C97237" w:rsidRDefault="00000000">
      <w:pPr>
        <w:pStyle w:val="20"/>
        <w:spacing w:line="580" w:lineRule="exact"/>
        <w:ind w:firstLine="640"/>
        <w:rPr>
          <w:rFonts w:ascii="仿宋" w:eastAsia="仿宋" w:hAnsi="仿宋" w:cs="仿宋"/>
          <w:b w:val="0"/>
          <w:kern w:val="2"/>
          <w:sz w:val="32"/>
          <w:szCs w:val="32"/>
        </w:rPr>
      </w:pPr>
      <w:r>
        <w:rPr>
          <w:rFonts w:ascii="仿宋" w:eastAsia="仿宋" w:hAnsi="仿宋" w:cs="仿宋" w:hint="eastAsia"/>
          <w:b w:val="0"/>
          <w:kern w:val="2"/>
          <w:sz w:val="32"/>
          <w:szCs w:val="32"/>
        </w:rPr>
        <w:lastRenderedPageBreak/>
        <w:t>责任单位：</w:t>
      </w:r>
      <w:r>
        <w:rPr>
          <w:rFonts w:ascii="仿宋" w:eastAsia="仿宋" w:hAnsi="仿宋" w:cs="仿宋" w:hint="eastAsia"/>
          <w:b w:val="0"/>
          <w:bCs/>
          <w:sz w:val="32"/>
          <w:szCs w:val="32"/>
        </w:rPr>
        <w:t>区发展和改革委员会</w:t>
      </w:r>
      <w:r>
        <w:rPr>
          <w:rFonts w:ascii="仿宋" w:eastAsia="仿宋" w:hAnsi="仿宋" w:cs="仿宋" w:hint="eastAsia"/>
          <w:b w:val="0"/>
          <w:kern w:val="2"/>
          <w:sz w:val="32"/>
          <w:szCs w:val="32"/>
        </w:rPr>
        <w:t>、教体局、交通局、生态环境局、住建局、</w:t>
      </w:r>
      <w:r>
        <w:rPr>
          <w:rFonts w:ascii="仿宋" w:eastAsia="仿宋" w:hAnsi="仿宋" w:cs="仿宋" w:hint="eastAsia"/>
          <w:b w:val="0"/>
          <w:bCs/>
          <w:kern w:val="2"/>
          <w:sz w:val="32"/>
          <w:szCs w:val="32"/>
        </w:rPr>
        <w:t>人力资源和社会保障局</w:t>
      </w:r>
      <w:r>
        <w:rPr>
          <w:rFonts w:ascii="仿宋" w:eastAsia="仿宋" w:hAnsi="仿宋" w:cs="仿宋" w:hint="eastAsia"/>
          <w:b w:val="0"/>
          <w:kern w:val="2"/>
          <w:sz w:val="32"/>
          <w:szCs w:val="32"/>
        </w:rPr>
        <w:t>、商务局、卫健委、应急局、市场监管局、科技局、工信局、医疗保障局、公安局、民政局、财政局、自然资源和规划局、税务局、农业局、金融工作局、</w:t>
      </w:r>
      <w:r>
        <w:rPr>
          <w:rFonts w:ascii="仿宋" w:eastAsia="仿宋" w:hAnsi="仿宋" w:cs="仿宋" w:hint="eastAsia"/>
          <w:b w:val="0"/>
          <w:bCs/>
          <w:kern w:val="2"/>
          <w:sz w:val="32"/>
          <w:szCs w:val="32"/>
        </w:rPr>
        <w:t>文化广电和旅游局</w:t>
      </w:r>
      <w:r>
        <w:rPr>
          <w:rFonts w:ascii="仿宋" w:eastAsia="仿宋" w:hAnsi="仿宋" w:cs="仿宋" w:hint="eastAsia"/>
          <w:b w:val="0"/>
          <w:kern w:val="2"/>
          <w:sz w:val="32"/>
          <w:szCs w:val="32"/>
        </w:rPr>
        <w:t>、政数局、人行偃师支行等区直各有关部门</w:t>
      </w:r>
    </w:p>
    <w:p w14:paraId="5D69B66C" w14:textId="77777777" w:rsidR="00C97237" w:rsidRDefault="00000000">
      <w:pPr>
        <w:pStyle w:val="20"/>
        <w:spacing w:line="580" w:lineRule="exact"/>
        <w:ind w:firstLine="640"/>
        <w:rPr>
          <w:rFonts w:ascii="仿宋" w:eastAsia="仿宋" w:hAnsi="仿宋" w:cs="仿宋"/>
          <w:b w:val="0"/>
          <w:kern w:val="2"/>
          <w:sz w:val="32"/>
          <w:szCs w:val="32"/>
        </w:rPr>
      </w:pPr>
      <w:r>
        <w:rPr>
          <w:rFonts w:ascii="仿宋" w:eastAsia="仿宋" w:hAnsi="仿宋" w:cs="仿宋" w:hint="eastAsia"/>
          <w:b w:val="0"/>
          <w:kern w:val="2"/>
          <w:sz w:val="32"/>
          <w:szCs w:val="32"/>
        </w:rPr>
        <w:t>6. 建立守信联合激励机制。通过信息交换共享，联合相关部门，在行政事项中对诚信经营、守信践诺的标杆企业共同施行联合激励，采取政策享受优先、办事“绿色通道”、减少监管频次等方面的激励措施，强化正面激励引导。在行政审批、政策扶持、招标投标、评优评先、资金扶持等方面对诚信企业采取优先选择、优先办理、简化程序。鼓励有关部门在监管和服务中推介无不良信用记录者和诚信典型。</w:t>
      </w:r>
    </w:p>
    <w:p w14:paraId="3B883FA7"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 xml:space="preserve">    时间节点：持续推进</w:t>
      </w:r>
    </w:p>
    <w:p w14:paraId="74FEAB27" w14:textId="77777777" w:rsidR="00C97237" w:rsidRDefault="00000000">
      <w:pPr>
        <w:pStyle w:val="20"/>
        <w:spacing w:line="580" w:lineRule="exact"/>
        <w:ind w:firstLine="640"/>
        <w:rPr>
          <w:rFonts w:ascii="仿宋" w:eastAsia="仿宋" w:hAnsi="仿宋" w:cs="仿宋"/>
          <w:b w:val="0"/>
          <w:kern w:val="2"/>
          <w:sz w:val="32"/>
          <w:szCs w:val="32"/>
        </w:rPr>
      </w:pPr>
      <w:r>
        <w:rPr>
          <w:rFonts w:ascii="仿宋" w:eastAsia="仿宋" w:hAnsi="仿宋" w:cs="仿宋" w:hint="eastAsia"/>
          <w:b w:val="0"/>
          <w:kern w:val="2"/>
          <w:sz w:val="32"/>
          <w:szCs w:val="32"/>
        </w:rPr>
        <w:t>责任单位：</w:t>
      </w:r>
      <w:r>
        <w:rPr>
          <w:rFonts w:ascii="仿宋" w:eastAsia="仿宋" w:hAnsi="仿宋" w:cs="仿宋" w:hint="eastAsia"/>
          <w:b w:val="0"/>
          <w:bCs/>
          <w:sz w:val="32"/>
          <w:szCs w:val="32"/>
        </w:rPr>
        <w:t>区发展和改革委员会</w:t>
      </w:r>
      <w:r>
        <w:rPr>
          <w:rFonts w:ascii="仿宋" w:eastAsia="仿宋" w:hAnsi="仿宋" w:cs="仿宋" w:hint="eastAsia"/>
          <w:b w:val="0"/>
          <w:kern w:val="2"/>
          <w:sz w:val="32"/>
          <w:szCs w:val="32"/>
        </w:rPr>
        <w:t>、教体局、交通局、生态环境局、住建局、人社局、商务局、卫健委、应急管理局、市场监管局、科技局、工信局、医疗保障局、公安局、民政局、财政局、自然资源和规划局、税务局、农业局、金融工作局、</w:t>
      </w:r>
      <w:r>
        <w:rPr>
          <w:rFonts w:ascii="仿宋" w:eastAsia="仿宋" w:hAnsi="仿宋" w:cs="仿宋" w:hint="eastAsia"/>
          <w:b w:val="0"/>
          <w:sz w:val="32"/>
          <w:szCs w:val="32"/>
        </w:rPr>
        <w:t>文</w:t>
      </w:r>
      <w:r>
        <w:rPr>
          <w:rFonts w:ascii="仿宋" w:eastAsia="仿宋" w:hAnsi="仿宋" w:cs="仿宋" w:hint="eastAsia"/>
          <w:b w:val="0"/>
          <w:bCs/>
          <w:sz w:val="32"/>
          <w:szCs w:val="32"/>
        </w:rPr>
        <w:t>化广电和旅游局</w:t>
      </w:r>
      <w:r>
        <w:rPr>
          <w:rFonts w:ascii="仿宋" w:eastAsia="仿宋" w:hAnsi="仿宋" w:cs="仿宋" w:hint="eastAsia"/>
          <w:b w:val="0"/>
          <w:kern w:val="2"/>
          <w:sz w:val="32"/>
          <w:szCs w:val="32"/>
        </w:rPr>
        <w:t>、政数局、银保监组、</w:t>
      </w:r>
      <w:r>
        <w:rPr>
          <w:rFonts w:ascii="仿宋" w:eastAsia="仿宋" w:hAnsi="仿宋" w:cs="仿宋" w:hint="eastAsia"/>
          <w:b w:val="0"/>
          <w:bCs/>
          <w:kern w:val="2"/>
          <w:sz w:val="32"/>
          <w:szCs w:val="32"/>
        </w:rPr>
        <w:t>人行偃师支行</w:t>
      </w:r>
      <w:r>
        <w:rPr>
          <w:rFonts w:ascii="仿宋" w:eastAsia="仿宋" w:hAnsi="仿宋" w:cs="仿宋" w:hint="eastAsia"/>
          <w:b w:val="0"/>
          <w:kern w:val="2"/>
          <w:sz w:val="32"/>
          <w:szCs w:val="32"/>
        </w:rPr>
        <w:t>等区直各有关部门</w:t>
      </w:r>
    </w:p>
    <w:p w14:paraId="68F8EDED" w14:textId="77777777" w:rsidR="00C97237" w:rsidRDefault="00000000">
      <w:pPr>
        <w:pStyle w:val="ab"/>
        <w:shd w:val="clear" w:color="auto" w:fill="FFFFFF"/>
        <w:spacing w:before="0" w:beforeAutospacing="0" w:after="0" w:afterAutospacing="0" w:line="580" w:lineRule="exact"/>
        <w:ind w:firstLineChars="217" w:firstLine="694"/>
        <w:rPr>
          <w:rFonts w:ascii="仿宋" w:eastAsia="仿宋" w:hAnsi="仿宋" w:cs="仿宋"/>
          <w:sz w:val="32"/>
          <w:szCs w:val="32"/>
        </w:rPr>
      </w:pPr>
      <w:r>
        <w:rPr>
          <w:rFonts w:ascii="仿宋" w:eastAsia="仿宋" w:hAnsi="仿宋" w:cs="仿宋" w:hint="eastAsia"/>
          <w:sz w:val="32"/>
          <w:szCs w:val="32"/>
        </w:rPr>
        <w:t>7. 加强事后失信惩戒。严格履行严重失信主体名单认定程序，对严重失信主体依法依规实施惩戒措施.建立失信联合惩戒机制。按照全国统一的公共信用信息基础目录和失信惩戒措施基础清单，开展我区信用信息记录、归集、共享、</w:t>
      </w:r>
      <w:r>
        <w:rPr>
          <w:rFonts w:ascii="仿宋" w:eastAsia="仿宋" w:hAnsi="仿宋" w:cs="仿宋" w:hint="eastAsia"/>
          <w:sz w:val="32"/>
          <w:szCs w:val="32"/>
        </w:rPr>
        <w:lastRenderedPageBreak/>
        <w:t>公开范围和失信惩戒工作。在税收缴纳、市场监管、招标投标、金融信贷、外贸进出口、慈善募捐、安全生产、环境保护、工程建设、劳动保障、城市管理等领域建立并实施失信行为联合惩戒机制，特别对于拖欠农民工工资等严重失信行为，加强对失信主体的约束和惩戒；支持征信机构采集严重失信行为信息，纳入信用记录和信用报告，鼓励行业协会商会与有资质的信用服务机构合作，完善行业内部信用信息采集、共享机制，将严重失信行为记入信用档案并视情节轻重对失信企业实施联合惩戒。严格履行严重失信主体名单认定程序，对严重失信主体依法依规实现惩戒措施。</w:t>
      </w:r>
    </w:p>
    <w:p w14:paraId="30CC998E" w14:textId="77777777" w:rsidR="00C97237" w:rsidRDefault="00000000">
      <w:pPr>
        <w:pStyle w:val="ab"/>
        <w:shd w:val="clear" w:color="auto" w:fill="FFFFFF"/>
        <w:spacing w:before="0" w:beforeAutospacing="0" w:after="0" w:afterAutospacing="0" w:line="580" w:lineRule="exact"/>
        <w:ind w:firstLineChars="217" w:firstLine="694"/>
        <w:rPr>
          <w:rFonts w:ascii="仿宋" w:eastAsia="仿宋" w:hAnsi="仿宋" w:cs="仿宋"/>
          <w:sz w:val="32"/>
          <w:szCs w:val="32"/>
        </w:rPr>
      </w:pPr>
      <w:r>
        <w:rPr>
          <w:rFonts w:ascii="仿宋" w:eastAsia="仿宋" w:hAnsi="仿宋" w:cs="仿宋" w:hint="eastAsia"/>
          <w:sz w:val="32"/>
          <w:szCs w:val="32"/>
        </w:rPr>
        <w:t>时间节点：持续推进</w:t>
      </w:r>
    </w:p>
    <w:p w14:paraId="342BAB1D" w14:textId="77777777" w:rsidR="00C97237" w:rsidRDefault="00000000">
      <w:pPr>
        <w:pStyle w:val="ab"/>
        <w:shd w:val="clear" w:color="auto" w:fill="FFFFFF"/>
        <w:spacing w:before="0" w:beforeAutospacing="0" w:after="0" w:afterAutospacing="0" w:line="580" w:lineRule="exact"/>
        <w:ind w:firstLineChars="217" w:firstLine="694"/>
        <w:rPr>
          <w:rFonts w:ascii="仿宋" w:eastAsia="仿宋" w:hAnsi="仿宋" w:cs="仿宋"/>
          <w:sz w:val="32"/>
          <w:szCs w:val="32"/>
        </w:rPr>
      </w:pPr>
      <w:r>
        <w:rPr>
          <w:rFonts w:ascii="仿宋" w:eastAsia="仿宋" w:hAnsi="仿宋" w:cs="仿宋" w:hint="eastAsia"/>
          <w:sz w:val="32"/>
          <w:szCs w:val="32"/>
        </w:rPr>
        <w:t>责任单位：区发展和改革委员会、教体局、交通局、生态环境局、住建局、人力资源和社会保障局、商务局、卫健委、应急局、市场监管局、科技局、工信局、医疗保障局、公安局、民政局、财政局、自然资源和规划局、税务局、农业局、金融工作局、文旅局、政数局、银保监组、人行偃师支行等区直有关部门</w:t>
      </w:r>
    </w:p>
    <w:p w14:paraId="0A5038C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8. 建立信用修复机制，对于信用记录出现瑕疵的企业和个人，通过实施主动纠正违法失信行为、消除不良影响等措施，恢复企业信用或个人信用，通过规定的信用修复程序后，根据实际情况获准提前修复失信行为公示和市场禁入等限制，打造诚实守信营商环境。加强信用修复宣传培训，优化信用修复服务，保障失信主体权益，举办信用修复培训班，对黑名单、重点关注名单等失信主体法人代表进行信用修复</w:t>
      </w:r>
      <w:r>
        <w:rPr>
          <w:rFonts w:ascii="仿宋" w:eastAsia="仿宋" w:hAnsi="仿宋" w:cs="仿宋" w:hint="eastAsia"/>
          <w:sz w:val="32"/>
          <w:szCs w:val="32"/>
        </w:rPr>
        <w:lastRenderedPageBreak/>
        <w:t>培训，辖区内的黑名单、重点关注名单等失信主体培训比倒要达到100%以上，激发失信主体守信意愿，帮助失信主体重塑信用。</w:t>
      </w:r>
    </w:p>
    <w:p w14:paraId="429FCBF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0760A51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展和改革委员会、教体局、生态环境局、住建局、人力资源和社会保障局、商务局、卫健委、应急管理局、市场监管局、科技局、工信局、医疗保障局、公安局、民政局、财政局、自然资源和规划局、税务局、农业农村局、金融工作局、文化广电和旅游局、政数局，人行偃师支行等区直各有关部门</w:t>
      </w:r>
    </w:p>
    <w:p w14:paraId="21AB0FF8"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（三）加强政务诚信建设</w:t>
      </w:r>
      <w:r>
        <w:rPr>
          <w:rFonts w:ascii="仿宋" w:eastAsia="仿宋" w:hAnsi="仿宋" w:cs="仿宋" w:hint="eastAsia"/>
          <w:sz w:val="32"/>
          <w:szCs w:val="32"/>
        </w:rPr>
        <w:t xml:space="preserve"> </w:t>
      </w:r>
    </w:p>
    <w:p w14:paraId="3A906D0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1.开展政务诚信监测，及时发现政务诚信建设突出问题并开展专项治理，全面提升我区政务诚信水平。 </w:t>
      </w:r>
    </w:p>
    <w:p w14:paraId="51B4119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时间节点：持续推进 </w:t>
      </w:r>
    </w:p>
    <w:p w14:paraId="0412C7F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责任单位：区发展和改革委员会，区直各有关部门</w:t>
      </w:r>
    </w:p>
    <w:p w14:paraId="5F8DEB8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2.全面开展依法依规兑现承诺专项行动，推动政务信息公开、惠企政策落实、政务失信治理，优化政务环境。 </w:t>
      </w:r>
    </w:p>
    <w:p w14:paraId="6290841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时间节点：2022年12月 </w:t>
      </w:r>
    </w:p>
    <w:p w14:paraId="5D29149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责任单位：区发展和改革委员会，区直各有关部门</w:t>
      </w:r>
    </w:p>
    <w:p w14:paraId="0C08C13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3.围绕招商引资、政府采购、招标投标、政府和社会资本合作、政府投资、政府债务重点领域，深入推进政府失信专项治理， 防范并化解政府失信行为，树立良好政府形象。 </w:t>
      </w:r>
    </w:p>
    <w:p w14:paraId="46E88629"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时间节点：2022年12月 </w:t>
      </w:r>
    </w:p>
    <w:p w14:paraId="616FBB6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责任单位：区投促中心、商务局、财政局、发展和改革</w:t>
      </w:r>
      <w:r>
        <w:rPr>
          <w:rFonts w:ascii="仿宋" w:eastAsia="仿宋" w:hAnsi="仿宋" w:cs="仿宋" w:hint="eastAsia"/>
          <w:sz w:val="32"/>
          <w:szCs w:val="32"/>
        </w:rPr>
        <w:lastRenderedPageBreak/>
        <w:t xml:space="preserve">委员会、住建局、交通运输局、水利局、城市管理局、公共资源交易中心、人力资源和社会保障局，区直各有关部门 </w:t>
      </w:r>
    </w:p>
    <w:p w14:paraId="1675E0A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kern w:val="0"/>
          <w:sz w:val="32"/>
          <w:szCs w:val="32"/>
        </w:rPr>
        <w:t xml:space="preserve"> </w:t>
      </w:r>
      <w:r>
        <w:rPr>
          <w:rFonts w:ascii="仿宋" w:eastAsia="仿宋" w:hAnsi="仿宋" w:cs="仿宋" w:hint="eastAsia"/>
          <w:sz w:val="32"/>
          <w:szCs w:val="32"/>
        </w:rPr>
        <w:t>加强信用培训。将信用建设纳入公务员培训和领导干部培训内容，建立信用承诺制度，加强公务员诚信管理教育，加大公务员和事业单位工作人员的信用知识教育和信用工作业务培训，提高信用工作人员的业务能力和水平。</w:t>
      </w:r>
    </w:p>
    <w:p w14:paraId="43370B0E"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时间节点：2022年 12 月 </w:t>
      </w:r>
    </w:p>
    <w:p w14:paraId="31AFE30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责任单位：区委组织部，发展和改革委员会</w:t>
      </w:r>
    </w:p>
    <w:p w14:paraId="43A4DC8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5.以河洛传统文化和诚信人物为核心内容，大力开展我区诚信文化挖掘与宣传，推动区市场化开发诚信文化产品，厚植诚信文化的渗透力和影响力。 </w:t>
      </w:r>
    </w:p>
    <w:p w14:paraId="26AC28B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时间节点：持续推进 </w:t>
      </w:r>
    </w:p>
    <w:p w14:paraId="35A2C4E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责任单位：区委宣传部、文化广电和旅游局</w:t>
      </w:r>
    </w:p>
    <w:p w14:paraId="4067C1C2"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弘扬社会主义核心价值观，加强诚信宣传教育。结合“3·15”国际消费权益保护日、“4·26”世界知识产权日、“6·14”信用记录关爱日、“11·22”诚信日、“12·4”国家宪法日暨全国法制宣传日，食品安全宣传周、国庆节等重要时间节点和法定节假日宣传信用知识，在全区范围内开展形式多样的诚信宣传活动，在全社会营造诚实守信的氛围。按照中央宣传部部署，持续开展“诚信建设万里行”宣传教育活动。提高社会主体信用意识，并向“信用偃师”网站推送宣传资料、照片等活动信息。</w:t>
      </w:r>
    </w:p>
    <w:p w14:paraId="6780F70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时间节点：持续推进 </w:t>
      </w:r>
    </w:p>
    <w:p w14:paraId="5991D9A7"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责任单位：区直各有关部门 </w:t>
      </w:r>
    </w:p>
    <w:p w14:paraId="4B57BD26"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（四）加强信用服务实体经济和信用应用</w:t>
      </w:r>
      <w:r>
        <w:rPr>
          <w:rFonts w:ascii="仿宋" w:eastAsia="仿宋" w:hAnsi="仿宋" w:cs="仿宋" w:hint="eastAsia"/>
          <w:sz w:val="32"/>
          <w:szCs w:val="32"/>
        </w:rPr>
        <w:t xml:space="preserve"> </w:t>
      </w:r>
    </w:p>
    <w:p w14:paraId="000040B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1.依托各类金融服务平台，加大宣传推介力度，开展线上常态化银企对接活动。提升政务数据归集共享质效，创新研发专属信贷产品，完善线上金融超区，推动首贷户比重和信用贷款比重明显提高。全面动员金融机构入驻金融服务平台，推动金融服务和产品创新。 </w:t>
      </w:r>
    </w:p>
    <w:p w14:paraId="24BF3AC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时间节点：持续推进 </w:t>
      </w:r>
    </w:p>
    <w:p w14:paraId="573F4BD2" w14:textId="77777777" w:rsidR="00C97237" w:rsidRDefault="00000000">
      <w:pPr>
        <w:spacing w:line="580" w:lineRule="exact"/>
        <w:ind w:leftChars="50" w:left="105" w:firstLineChars="150" w:firstLine="480"/>
        <w:rPr>
          <w:rFonts w:ascii="仿宋" w:eastAsia="仿宋" w:hAnsi="仿宋" w:cs="仿宋"/>
          <w:sz w:val="32"/>
          <w:szCs w:val="32"/>
        </w:rPr>
      </w:pPr>
      <w:r>
        <w:rPr>
          <w:rFonts w:ascii="仿宋" w:eastAsia="仿宋" w:hAnsi="仿宋" w:cs="仿宋" w:hint="eastAsia"/>
          <w:sz w:val="32"/>
          <w:szCs w:val="32"/>
        </w:rPr>
        <w:t>责任单位：区金融工作局、发展和改革委员会、银保监组</w:t>
      </w:r>
    </w:p>
    <w:p w14:paraId="324CA942" w14:textId="77777777" w:rsidR="00C97237" w:rsidRDefault="00000000">
      <w:pPr>
        <w:spacing w:line="580" w:lineRule="exact"/>
        <w:ind w:leftChars="50" w:left="105" w:firstLineChars="150" w:firstLine="480"/>
        <w:rPr>
          <w:rFonts w:ascii="仿宋" w:eastAsia="仿宋" w:hAnsi="仿宋" w:cs="仿宋"/>
          <w:sz w:val="32"/>
          <w:szCs w:val="32"/>
        </w:rPr>
      </w:pPr>
      <w:r>
        <w:rPr>
          <w:rFonts w:ascii="仿宋" w:eastAsia="仿宋" w:hAnsi="仿宋" w:cs="仿宋" w:hint="eastAsia"/>
          <w:sz w:val="32"/>
          <w:szCs w:val="32"/>
        </w:rPr>
        <w:t>2.依托河南省“信易贷”平台，开展银、企对接融资服务，向信用状况良好的企业提供便利优惠的融资服务，支持金融机构和征信、评级等机构运用大数据等技术产品加强跟踪检测预警，降低融资风险，共同破解中小微企业融资难、融资贵等问题，大力促进我区信用建设水平和金融服务效率双提升。</w:t>
      </w:r>
    </w:p>
    <w:p w14:paraId="4206070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时间节点：持续推进</w:t>
      </w:r>
    </w:p>
    <w:p w14:paraId="7C480D93"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责任单位：区金融工作局、发展和改革委员会、人行偃师支行、银保监组、各镇（街道）</w:t>
      </w:r>
    </w:p>
    <w:p w14:paraId="733DBA8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加强教育、公共交通、医疗健康、养老服务、家政服务、食品餐饮、房地产、劳动用工、旅游等重点民生领域社会信用体系建设。加快“信易租”“信易行”“信易游”“信易批”“信易阅”“信易医”等“信易+”项目落地见效，为信用良好的个人和企业，提供更多的便利、更好的服务，切实增进群众福祉。2022年，偃师区特色化“信易+”应用</w:t>
      </w:r>
      <w:r>
        <w:rPr>
          <w:rFonts w:ascii="仿宋" w:eastAsia="仿宋" w:hAnsi="仿宋" w:cs="仿宋" w:hint="eastAsia"/>
          <w:sz w:val="32"/>
          <w:szCs w:val="32"/>
        </w:rPr>
        <w:lastRenderedPageBreak/>
        <w:t>场景应用数量不少于 10 个，特色信用应用场景不少于 5 个。</w:t>
      </w:r>
    </w:p>
    <w:p w14:paraId="2229F69C"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时间节点：2022年12 月 </w:t>
      </w:r>
    </w:p>
    <w:p w14:paraId="3EE6743F"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责任单位：区发展和改革委员会、市场监管局、住建局、文化广电和旅游局、卫健委、商务局、财政局、交通运输局、教体局、自然资源和规划局、民政局、城市管理局、 政数局，区直有关部门</w:t>
      </w:r>
    </w:p>
    <w:p w14:paraId="2A0669DB"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4.加快推行信用报告应用。在招标投标、财政性资金使用、政府采购、行政审批、企业融资等领域加快推进使用信用报告，鼓励相关单位结合工作实际，创新管理方式，提高工作效率，改进服务水平。</w:t>
      </w:r>
    </w:p>
    <w:p w14:paraId="5317CFA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时间节点：2022 年 12 月 </w:t>
      </w:r>
    </w:p>
    <w:p w14:paraId="5385EC05"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责任单位：区发展和改革委员会、财政局、公共资源交易中心、金融工作局、银保监组、人行偃师支行等区直有关部门</w:t>
      </w:r>
    </w:p>
    <w:p w14:paraId="53BC580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（五）加强示范试点创建基础建设。</w:t>
      </w:r>
      <w:r>
        <w:rPr>
          <w:rFonts w:ascii="仿宋" w:eastAsia="仿宋" w:hAnsi="仿宋" w:cs="仿宋" w:hint="eastAsia"/>
          <w:sz w:val="32"/>
          <w:szCs w:val="32"/>
        </w:rPr>
        <w:t xml:space="preserve"> </w:t>
      </w:r>
    </w:p>
    <w:p w14:paraId="7B8ADB9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1.夯实区信用建设基础，在信用支撑服务基层社会治理、县域经济高质量发展探索新路径、新模式。</w:t>
      </w:r>
      <w:r>
        <w:rPr>
          <w:rFonts w:ascii="仿宋" w:eastAsia="仿宋" w:hAnsi="仿宋" w:cs="仿宋" w:hint="eastAsia"/>
          <w:color w:val="000000"/>
          <w:sz w:val="32"/>
          <w:szCs w:val="32"/>
        </w:rPr>
        <w:t>力</w:t>
      </w:r>
      <w:r>
        <w:rPr>
          <w:rFonts w:ascii="仿宋" w:eastAsia="仿宋" w:hAnsi="仿宋" w:cs="仿宋" w:hint="eastAsia"/>
          <w:sz w:val="32"/>
          <w:szCs w:val="32"/>
        </w:rPr>
        <w:t>争达到河南省信用体系建设示范县（市、区）创建标准。</w:t>
      </w:r>
    </w:p>
    <w:p w14:paraId="19161249"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时间节点：持续推进 </w:t>
      </w:r>
    </w:p>
    <w:p w14:paraId="7EC82E7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责任单位：区发展和改革委员会，区直各有关部门 </w:t>
      </w:r>
    </w:p>
    <w:p w14:paraId="60AAA088"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3.探索信用园区试点创建，推动信用体系纳入先进制造业开发区发展规划和考核评价指标体系，支持探索信用招商、信用融资、信用监管等与园区发展水平相适应的社会信</w:t>
      </w:r>
      <w:r>
        <w:rPr>
          <w:rFonts w:ascii="仿宋" w:eastAsia="仿宋" w:hAnsi="仿宋" w:cs="仿宋" w:hint="eastAsia"/>
          <w:sz w:val="32"/>
          <w:szCs w:val="32"/>
        </w:rPr>
        <w:lastRenderedPageBreak/>
        <w:t xml:space="preserve">用体系运行机制，优化提升营商环境。 </w:t>
      </w:r>
    </w:p>
    <w:p w14:paraId="0CDD6870"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时间节点：持续推进 </w:t>
      </w:r>
    </w:p>
    <w:p w14:paraId="24FC3ACD"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责任单位：区发展和改革委员会，区直各有关部门，各镇（街道）</w:t>
      </w:r>
    </w:p>
    <w:p w14:paraId="7B688118" w14:textId="77777777" w:rsidR="00C97237" w:rsidRDefault="00000000">
      <w:pPr>
        <w:spacing w:line="580" w:lineRule="exact"/>
        <w:ind w:firstLineChars="200" w:firstLine="640"/>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 xml:space="preserve">五、完善保障措施 </w:t>
      </w:r>
    </w:p>
    <w:p w14:paraId="732D5F84" w14:textId="77777777" w:rsidR="00C97237" w:rsidRDefault="00000000">
      <w:pPr>
        <w:spacing w:line="580" w:lineRule="exact"/>
        <w:ind w:firstLineChars="200" w:firstLine="643"/>
        <w:rPr>
          <w:rFonts w:ascii="仿宋" w:eastAsia="仿宋" w:hAnsi="仿宋" w:cs="仿宋"/>
          <w:color w:val="000000"/>
          <w:sz w:val="32"/>
          <w:szCs w:val="32"/>
        </w:rPr>
      </w:pPr>
      <w:r>
        <w:rPr>
          <w:rFonts w:ascii="仿宋" w:eastAsia="仿宋" w:hAnsi="仿宋" w:cs="仿宋" w:hint="eastAsia"/>
          <w:b/>
          <w:sz w:val="32"/>
          <w:szCs w:val="32"/>
        </w:rPr>
        <w:t>（一）加强组织领导。</w:t>
      </w:r>
      <w:r>
        <w:rPr>
          <w:rFonts w:ascii="仿宋" w:eastAsia="仿宋" w:hAnsi="仿宋" w:cs="仿宋" w:hint="eastAsia"/>
          <w:color w:val="000000"/>
          <w:sz w:val="32"/>
          <w:szCs w:val="32"/>
        </w:rPr>
        <w:t>区社会信用体系建设领导小组发挥统筹协调作用，建立完善联席会议制度，研究解决工作推进过程中的重大问题，将年度工作经费纳入财政预算；区发改委发挥社会信用体系建设牵头职能，负责具体协调、任务落实；区财政要加大对信用信息基础设施、信用产品研发应用、重点领域创新示范工程等方面的资金支持力度；区直各有关部门要健全工作机制、明确责任、协同配合，加强政策和资金保障，确保各项任务落实。</w:t>
      </w:r>
    </w:p>
    <w:p w14:paraId="2EB63713" w14:textId="77777777" w:rsidR="00C97237" w:rsidRDefault="00000000">
      <w:pPr>
        <w:spacing w:line="580" w:lineRule="exact"/>
        <w:ind w:firstLineChars="200" w:firstLine="643"/>
        <w:rPr>
          <w:rFonts w:ascii="仿宋" w:eastAsia="仿宋" w:hAnsi="仿宋" w:cs="仿宋"/>
          <w:color w:val="000000"/>
          <w:sz w:val="32"/>
          <w:szCs w:val="32"/>
        </w:rPr>
      </w:pPr>
      <w:r>
        <w:rPr>
          <w:rFonts w:ascii="仿宋" w:eastAsia="仿宋" w:hAnsi="仿宋" w:cs="仿宋" w:hint="eastAsia"/>
          <w:b/>
          <w:sz w:val="32"/>
          <w:szCs w:val="32"/>
        </w:rPr>
        <w:t>（二）做好宣传引导。</w:t>
      </w:r>
      <w:r>
        <w:rPr>
          <w:rFonts w:ascii="仿宋" w:eastAsia="仿宋" w:hAnsi="仿宋" w:cs="仿宋" w:hint="eastAsia"/>
          <w:color w:val="000000"/>
          <w:sz w:val="32"/>
          <w:szCs w:val="32"/>
        </w:rPr>
        <w:t>区发改委会同有关单位加大社会信用体系建设的宣传力度，依托各类媒体资源和“信用偃师”网站广泛宣传报道我区信用体系建设成效，及时总结并推广信用建设先进经验和创新做法，加大信用惠民便企政策的宣传力度，引导企业和群众更充分享受守信红利。</w:t>
      </w:r>
    </w:p>
    <w:p w14:paraId="1F6BB1F1" w14:textId="77777777" w:rsidR="00C97237" w:rsidRDefault="00000000">
      <w:pPr>
        <w:spacing w:line="580" w:lineRule="exact"/>
        <w:ind w:firstLineChars="200" w:firstLine="643"/>
        <w:rPr>
          <w:rFonts w:ascii="仿宋" w:eastAsia="仿宋" w:hAnsi="仿宋" w:cs="仿宋"/>
          <w:color w:val="000000"/>
          <w:sz w:val="32"/>
          <w:szCs w:val="32"/>
        </w:rPr>
      </w:pPr>
      <w:bookmarkStart w:id="0" w:name="_Toc23896"/>
      <w:bookmarkStart w:id="1" w:name="_Toc33133368"/>
      <w:bookmarkStart w:id="2" w:name="_Toc32586"/>
      <w:bookmarkStart w:id="3" w:name="_Toc17079"/>
      <w:bookmarkStart w:id="4" w:name="_Toc9661"/>
      <w:bookmarkStart w:id="5" w:name="_Toc67207735"/>
      <w:r>
        <w:rPr>
          <w:rFonts w:ascii="仿宋" w:eastAsia="仿宋" w:hAnsi="仿宋" w:cs="仿宋" w:hint="eastAsia"/>
          <w:b/>
          <w:sz w:val="32"/>
          <w:szCs w:val="32"/>
        </w:rPr>
        <w:t>（三）</w:t>
      </w:r>
      <w:r>
        <w:rPr>
          <w:rFonts w:ascii="仿宋" w:eastAsia="仿宋" w:hAnsi="仿宋" w:cs="仿宋" w:hint="eastAsia"/>
          <w:b/>
          <w:bCs/>
          <w:color w:val="000000"/>
          <w:sz w:val="32"/>
          <w:szCs w:val="32"/>
        </w:rPr>
        <w:t>坚持依法依规。</w:t>
      </w:r>
      <w:r>
        <w:rPr>
          <w:rFonts w:ascii="仿宋" w:eastAsia="仿宋" w:hAnsi="仿宋" w:cs="仿宋" w:hint="eastAsia"/>
          <w:color w:val="000000"/>
          <w:sz w:val="32"/>
          <w:szCs w:val="32"/>
        </w:rPr>
        <w:t>严格按照党中央国务院政策文件、法律法规和《河南省社会信用条例》审慎认定失信行为、实施失信惩戒措施和开展信用修复，严格依据《偃师区公共信用信息目录》规范信用信息记录、归集、共享的范围和程序，不得擅自扩大失信行为认定范围，不得随意增加失信惩戒措施力度，避免信用手段泛化、滥用，依法依规保护信用主体</w:t>
      </w:r>
      <w:r>
        <w:rPr>
          <w:rFonts w:ascii="仿宋" w:eastAsia="仿宋" w:hAnsi="仿宋" w:cs="仿宋" w:hint="eastAsia"/>
          <w:color w:val="000000"/>
          <w:sz w:val="32"/>
          <w:szCs w:val="32"/>
        </w:rPr>
        <w:lastRenderedPageBreak/>
        <w:t>合法权益。</w:t>
      </w:r>
    </w:p>
    <w:p w14:paraId="01961C75" w14:textId="77777777" w:rsidR="00C97237" w:rsidRDefault="00000000">
      <w:pPr>
        <w:spacing w:line="580" w:lineRule="exact"/>
        <w:ind w:firstLineChars="200" w:firstLine="643"/>
        <w:rPr>
          <w:rFonts w:ascii="仿宋" w:eastAsia="仿宋" w:hAnsi="仿宋" w:cs="仿宋"/>
          <w:color w:val="000000"/>
          <w:sz w:val="32"/>
          <w:szCs w:val="32"/>
        </w:rPr>
      </w:pPr>
      <w:r>
        <w:rPr>
          <w:rFonts w:ascii="仿宋" w:eastAsia="仿宋" w:hAnsi="仿宋" w:cs="仿宋" w:hint="eastAsia"/>
          <w:b/>
          <w:bCs/>
          <w:color w:val="000000"/>
          <w:sz w:val="32"/>
          <w:szCs w:val="32"/>
        </w:rPr>
        <w:t>（四）保障信息安全</w:t>
      </w:r>
      <w:bookmarkEnd w:id="0"/>
      <w:bookmarkEnd w:id="1"/>
      <w:bookmarkEnd w:id="2"/>
      <w:bookmarkEnd w:id="3"/>
      <w:bookmarkEnd w:id="4"/>
      <w:bookmarkEnd w:id="5"/>
      <w:r>
        <w:rPr>
          <w:rFonts w:ascii="仿宋" w:eastAsia="仿宋" w:hAnsi="仿宋" w:cs="仿宋" w:hint="eastAsia"/>
          <w:b/>
          <w:bCs/>
          <w:color w:val="000000"/>
          <w:sz w:val="32"/>
          <w:szCs w:val="32"/>
        </w:rPr>
        <w:t>。</w:t>
      </w:r>
      <w:r>
        <w:rPr>
          <w:rFonts w:ascii="仿宋" w:eastAsia="仿宋" w:hAnsi="仿宋" w:cs="仿宋" w:hint="eastAsia"/>
          <w:color w:val="000000"/>
          <w:sz w:val="32"/>
          <w:szCs w:val="32"/>
        </w:rPr>
        <w:t>建立完善信用信息安全管理制度，规范信息使用权限和程序，健全信用信息分级分类管理和安全防范、监测、通报、响应和处置机制，落实等级保护测评、密码保护测评等要求，防止信息泄露和非法使用，保护商业秘密和个人隐私，坚决守住信息安全底线。</w:t>
      </w:r>
    </w:p>
    <w:p w14:paraId="76CE66ED" w14:textId="77777777" w:rsidR="00C97237" w:rsidRDefault="00C97237">
      <w:pPr>
        <w:spacing w:line="580" w:lineRule="exact"/>
        <w:ind w:firstLineChars="200" w:firstLine="643"/>
        <w:rPr>
          <w:rFonts w:ascii="仿宋" w:eastAsia="仿宋" w:hAnsi="仿宋" w:cs="仿宋"/>
          <w:b/>
          <w:sz w:val="32"/>
          <w:szCs w:val="32"/>
        </w:rPr>
      </w:pPr>
    </w:p>
    <w:p w14:paraId="674F9BAA" w14:textId="77777777" w:rsidR="00C97237" w:rsidRDefault="00C97237">
      <w:pPr>
        <w:pStyle w:val="Default"/>
        <w:rPr>
          <w:rFonts w:ascii="仿宋" w:eastAsia="仿宋" w:hAnsi="仿宋" w:cs="仿宋"/>
          <w:b/>
          <w:sz w:val="32"/>
          <w:szCs w:val="32"/>
        </w:rPr>
      </w:pPr>
    </w:p>
    <w:p w14:paraId="7413C104" w14:textId="77777777" w:rsidR="00C97237" w:rsidRDefault="00C97237">
      <w:pPr>
        <w:pStyle w:val="a9"/>
        <w:rPr>
          <w:rFonts w:ascii="仿宋" w:eastAsia="仿宋" w:hAnsi="仿宋" w:cs="仿宋"/>
          <w:b/>
          <w:sz w:val="32"/>
          <w:szCs w:val="32"/>
        </w:rPr>
      </w:pPr>
    </w:p>
    <w:p w14:paraId="34E0A4C0" w14:textId="77777777" w:rsidR="00C97237" w:rsidRDefault="00C97237">
      <w:pPr>
        <w:rPr>
          <w:rFonts w:ascii="仿宋" w:eastAsia="仿宋" w:hAnsi="仿宋" w:cs="仿宋"/>
          <w:b/>
          <w:sz w:val="32"/>
          <w:szCs w:val="32"/>
        </w:rPr>
      </w:pPr>
    </w:p>
    <w:p w14:paraId="291D1B9D" w14:textId="77777777" w:rsidR="00C97237" w:rsidRDefault="00C97237">
      <w:pPr>
        <w:pStyle w:val="Default"/>
        <w:rPr>
          <w:rFonts w:ascii="仿宋" w:eastAsia="仿宋" w:hAnsi="仿宋" w:cs="仿宋"/>
          <w:b/>
          <w:sz w:val="32"/>
          <w:szCs w:val="32"/>
        </w:rPr>
      </w:pPr>
    </w:p>
    <w:p w14:paraId="5CB922E9" w14:textId="77777777" w:rsidR="00C97237" w:rsidRDefault="00C97237">
      <w:pPr>
        <w:pStyle w:val="a9"/>
        <w:rPr>
          <w:rFonts w:ascii="仿宋" w:eastAsia="仿宋" w:hAnsi="仿宋" w:cs="仿宋"/>
          <w:b/>
          <w:sz w:val="32"/>
          <w:szCs w:val="32"/>
        </w:rPr>
      </w:pPr>
    </w:p>
    <w:p w14:paraId="457D2C6C" w14:textId="77777777" w:rsidR="00C97237" w:rsidRDefault="00C97237">
      <w:pPr>
        <w:rPr>
          <w:rFonts w:ascii="仿宋" w:eastAsia="仿宋" w:hAnsi="仿宋" w:cs="仿宋"/>
          <w:b/>
          <w:sz w:val="32"/>
          <w:szCs w:val="32"/>
        </w:rPr>
      </w:pPr>
    </w:p>
    <w:p w14:paraId="6E1DF4A9" w14:textId="77777777" w:rsidR="00C97237" w:rsidRDefault="00C97237">
      <w:pPr>
        <w:pStyle w:val="Default"/>
        <w:rPr>
          <w:rFonts w:ascii="仿宋" w:eastAsia="仿宋" w:hAnsi="仿宋" w:cs="仿宋"/>
          <w:b/>
          <w:sz w:val="32"/>
          <w:szCs w:val="32"/>
        </w:rPr>
      </w:pPr>
    </w:p>
    <w:p w14:paraId="0E3FF7E6" w14:textId="77777777" w:rsidR="00C97237" w:rsidRDefault="00C97237">
      <w:pPr>
        <w:pStyle w:val="a9"/>
        <w:rPr>
          <w:rFonts w:ascii="仿宋" w:eastAsia="仿宋" w:hAnsi="仿宋" w:cs="仿宋"/>
          <w:b/>
          <w:sz w:val="32"/>
          <w:szCs w:val="32"/>
        </w:rPr>
      </w:pPr>
    </w:p>
    <w:p w14:paraId="4715F9D0" w14:textId="77777777" w:rsidR="00C97237" w:rsidRDefault="00C97237">
      <w:pPr>
        <w:rPr>
          <w:rFonts w:ascii="仿宋" w:eastAsia="仿宋" w:hAnsi="仿宋" w:cs="仿宋"/>
          <w:b/>
          <w:sz w:val="32"/>
          <w:szCs w:val="32"/>
        </w:rPr>
      </w:pPr>
    </w:p>
    <w:p w14:paraId="311D7070" w14:textId="77777777" w:rsidR="00C97237" w:rsidRDefault="00C97237">
      <w:pPr>
        <w:pStyle w:val="Default"/>
        <w:rPr>
          <w:rFonts w:ascii="仿宋" w:eastAsia="仿宋" w:hAnsi="仿宋" w:cs="仿宋"/>
          <w:b/>
          <w:sz w:val="32"/>
          <w:szCs w:val="32"/>
        </w:rPr>
      </w:pPr>
    </w:p>
    <w:p w14:paraId="516F444A" w14:textId="77777777" w:rsidR="00C97237" w:rsidRDefault="00C97237">
      <w:pPr>
        <w:pStyle w:val="a9"/>
        <w:rPr>
          <w:rFonts w:ascii="仿宋" w:eastAsia="仿宋" w:hAnsi="仿宋" w:cs="仿宋"/>
          <w:b/>
          <w:sz w:val="32"/>
          <w:szCs w:val="32"/>
        </w:rPr>
      </w:pPr>
    </w:p>
    <w:p w14:paraId="349BAF4A" w14:textId="77777777" w:rsidR="00C97237" w:rsidRDefault="00C97237">
      <w:pPr>
        <w:rPr>
          <w:rFonts w:ascii="仿宋" w:eastAsia="仿宋" w:hAnsi="仿宋" w:cs="仿宋"/>
          <w:b/>
          <w:sz w:val="32"/>
          <w:szCs w:val="32"/>
        </w:rPr>
      </w:pPr>
    </w:p>
    <w:p w14:paraId="53A06CA5" w14:textId="77777777" w:rsidR="00C97237" w:rsidRDefault="00C97237">
      <w:pPr>
        <w:pStyle w:val="Default"/>
        <w:rPr>
          <w:rFonts w:ascii="仿宋" w:eastAsia="仿宋" w:hAnsi="仿宋" w:cs="仿宋"/>
          <w:b/>
          <w:sz w:val="32"/>
          <w:szCs w:val="32"/>
        </w:rPr>
      </w:pPr>
    </w:p>
    <w:p w14:paraId="4C74C9B6" w14:textId="77777777" w:rsidR="00C97237" w:rsidRDefault="00C97237">
      <w:pPr>
        <w:pStyle w:val="a9"/>
        <w:rPr>
          <w:rFonts w:ascii="仿宋" w:eastAsia="仿宋" w:hAnsi="仿宋" w:cs="仿宋"/>
          <w:b/>
          <w:sz w:val="32"/>
          <w:szCs w:val="32"/>
        </w:rPr>
      </w:pPr>
    </w:p>
    <w:p w14:paraId="376B27CE" w14:textId="77777777" w:rsidR="00C97237" w:rsidRDefault="00C97237"/>
    <w:p w14:paraId="24E2D7C3" w14:textId="77777777" w:rsidR="00C97237" w:rsidRDefault="00000000">
      <w:pPr>
        <w:widowControl/>
        <w:spacing w:line="580" w:lineRule="exact"/>
        <w:rPr>
          <w:rFonts w:ascii="黑体" w:eastAsia="黑体" w:hAnsi="黑体" w:cs="黑体"/>
          <w:color w:val="000000"/>
          <w:sz w:val="44"/>
          <w:szCs w:val="44"/>
        </w:rPr>
      </w:pPr>
      <w:r>
        <w:rPr>
          <w:rFonts w:ascii="黑体" w:eastAsia="黑体" w:hAnsi="黑体" w:cs="黑体" w:hint="eastAsia"/>
          <w:color w:val="000000"/>
          <w:sz w:val="44"/>
          <w:szCs w:val="44"/>
        </w:rPr>
        <w:lastRenderedPageBreak/>
        <w:t>附件20</w:t>
      </w:r>
    </w:p>
    <w:p w14:paraId="2D7C2A15" w14:textId="77777777" w:rsidR="00C97237" w:rsidRDefault="00000000">
      <w:pPr>
        <w:widowControl/>
        <w:spacing w:line="600" w:lineRule="exact"/>
        <w:jc w:val="center"/>
      </w:pPr>
      <w:r>
        <w:rPr>
          <w:rFonts w:ascii="方正小标宋简体" w:eastAsia="方正小标宋简体" w:hAnsi="方正小标宋简体" w:cs="方正小标宋简体" w:hint="eastAsia"/>
          <w:color w:val="000000"/>
          <w:kern w:val="0"/>
          <w:sz w:val="44"/>
          <w:szCs w:val="44"/>
          <w:lang w:bidi="ar"/>
        </w:rPr>
        <w:t>偃师区</w:t>
      </w:r>
      <w:r>
        <w:rPr>
          <w:rFonts w:ascii="方正小标宋简体" w:eastAsia="方正小标宋简体" w:hAnsi="方正小标宋简体" w:cs="方正小标宋简体"/>
          <w:color w:val="000000"/>
          <w:kern w:val="0"/>
          <w:sz w:val="44"/>
          <w:szCs w:val="44"/>
          <w:lang w:bidi="ar"/>
        </w:rPr>
        <w:t>劳动力市场监管提升专项行动方案</w:t>
      </w:r>
    </w:p>
    <w:p w14:paraId="0F674418" w14:textId="77777777" w:rsidR="00C97237" w:rsidRDefault="00C97237">
      <w:pPr>
        <w:widowControl/>
        <w:spacing w:line="600" w:lineRule="exact"/>
        <w:ind w:firstLineChars="200" w:firstLine="620"/>
        <w:rPr>
          <w:rFonts w:ascii="仿宋_GB2312" w:eastAsia="仿宋_GB2312" w:hAnsi="仿宋_GB2312" w:cs="仿宋_GB2312"/>
          <w:color w:val="000000"/>
          <w:kern w:val="0"/>
          <w:sz w:val="31"/>
          <w:szCs w:val="31"/>
          <w:lang w:bidi="ar"/>
        </w:rPr>
      </w:pPr>
    </w:p>
    <w:p w14:paraId="07AC05BE" w14:textId="77777777" w:rsidR="00C97237" w:rsidRDefault="00000000">
      <w:pPr>
        <w:widowControl/>
        <w:spacing w:line="600" w:lineRule="exact"/>
        <w:ind w:firstLineChars="200" w:firstLine="640"/>
      </w:pPr>
      <w:r>
        <w:rPr>
          <w:rFonts w:ascii="仿宋" w:eastAsia="仿宋" w:hAnsi="仿宋" w:cs="仿宋" w:hint="eastAsia"/>
          <w:color w:val="000000"/>
          <w:kern w:val="0"/>
          <w:sz w:val="32"/>
          <w:szCs w:val="32"/>
          <w:lang w:bidi="ar"/>
        </w:rPr>
        <w:t>为深入贯彻优化营商环境工作要求，进一步做好政策衔接，提升全区劳动力市场监管水平，现结合《洛阳市营商环境优化提升行动方案（2022版）》，制定本方案。</w:t>
      </w:r>
      <w:r>
        <w:rPr>
          <w:rFonts w:ascii="仿宋_GB2312" w:eastAsia="仿宋_GB2312" w:hAnsi="仿宋_GB2312" w:cs="仿宋_GB2312"/>
          <w:color w:val="000000"/>
          <w:kern w:val="0"/>
          <w:sz w:val="31"/>
          <w:szCs w:val="31"/>
          <w:lang w:bidi="ar"/>
        </w:rPr>
        <w:t xml:space="preserve"> </w:t>
      </w:r>
    </w:p>
    <w:p w14:paraId="6D650643" w14:textId="77777777" w:rsidR="00C97237" w:rsidRDefault="00000000">
      <w:pPr>
        <w:widowControl/>
        <w:spacing w:line="600" w:lineRule="exact"/>
        <w:ind w:firstLineChars="200" w:firstLine="640"/>
        <w:rPr>
          <w:rFonts w:ascii="黑体" w:eastAsia="黑体" w:hAnsi="黑体" w:cs="黑体"/>
          <w:sz w:val="32"/>
          <w:szCs w:val="32"/>
        </w:rPr>
      </w:pPr>
      <w:r>
        <w:rPr>
          <w:rFonts w:ascii="黑体" w:eastAsia="黑体" w:hAnsi="黑体" w:cs="黑体" w:hint="eastAsia"/>
          <w:color w:val="000000"/>
          <w:kern w:val="0"/>
          <w:sz w:val="32"/>
          <w:szCs w:val="32"/>
          <w:lang w:bidi="ar"/>
        </w:rPr>
        <w:t xml:space="preserve">一、总体要求 </w:t>
      </w:r>
    </w:p>
    <w:p w14:paraId="57AE3A0A"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以习近平新时代中国特色社会主义思想为指导，全面贯彻党的十九大和十九届二中、三中、四中、五中、六中全会精神，落实省第十一次党代会和省委、市委、区委工作会议要求，坚持问题导向、目标导向，对标一流，大幅提升劳动力市场监管水平，切实提升企业和群众满意度，激发市场活力，构建良好的营商环境。 </w:t>
      </w:r>
    </w:p>
    <w:p w14:paraId="51F57BA8" w14:textId="77777777" w:rsidR="00C97237" w:rsidRDefault="00000000">
      <w:pPr>
        <w:widowControl/>
        <w:spacing w:line="60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二、工作目标 </w:t>
      </w:r>
    </w:p>
    <w:p w14:paraId="5195B6B2"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以市场主体需求和社会公众满意度为导向，完善公共就业服务体系、规范劳动力市场秩序、构建和谐劳动关系。</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年，实现城镇新增就业人数7476人以上，失业人员再就业1500人，完成各类职业技能培训14000人次，劳动人事争议仲裁结案率</w:t>
      </w:r>
      <w:r>
        <w:rPr>
          <w:rFonts w:ascii="仿宋" w:eastAsia="仿宋" w:hAnsi="仿宋" w:cs="仿宋"/>
          <w:color w:val="000000"/>
          <w:kern w:val="0"/>
          <w:sz w:val="32"/>
          <w:szCs w:val="32"/>
          <w:lang w:bidi="ar"/>
        </w:rPr>
        <w:t>92%</w:t>
      </w:r>
      <w:r>
        <w:rPr>
          <w:rFonts w:ascii="仿宋" w:eastAsia="仿宋" w:hAnsi="仿宋" w:cs="仿宋" w:hint="eastAsia"/>
          <w:color w:val="000000"/>
          <w:kern w:val="0"/>
          <w:sz w:val="32"/>
          <w:szCs w:val="32"/>
          <w:lang w:bidi="ar"/>
        </w:rPr>
        <w:t>以上，劳动人事争议调解成功率</w:t>
      </w:r>
      <w:r>
        <w:rPr>
          <w:rFonts w:ascii="仿宋" w:eastAsia="仿宋" w:hAnsi="仿宋" w:cs="仿宋"/>
          <w:color w:val="000000"/>
          <w:kern w:val="0"/>
          <w:sz w:val="32"/>
          <w:szCs w:val="32"/>
          <w:lang w:bidi="ar"/>
        </w:rPr>
        <w:t>62%</w:t>
      </w:r>
      <w:r>
        <w:rPr>
          <w:rFonts w:ascii="仿宋" w:eastAsia="仿宋" w:hAnsi="仿宋" w:cs="仿宋" w:hint="eastAsia"/>
          <w:color w:val="000000"/>
          <w:kern w:val="0"/>
          <w:sz w:val="32"/>
          <w:szCs w:val="32"/>
          <w:lang w:bidi="ar"/>
        </w:rPr>
        <w:t>以上，劳动保障监察举报投诉案件结案率100</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w:t>
      </w:r>
    </w:p>
    <w:p w14:paraId="778E9C42" w14:textId="77777777" w:rsidR="00C97237" w:rsidRDefault="00000000">
      <w:pPr>
        <w:widowControl/>
        <w:spacing w:line="600" w:lineRule="exact"/>
        <w:ind w:firstLineChars="200" w:firstLine="640"/>
      </w:pPr>
      <w:r>
        <w:rPr>
          <w:rFonts w:ascii="黑体" w:eastAsia="黑体" w:hAnsi="黑体" w:cs="黑体" w:hint="eastAsia"/>
          <w:color w:val="000000"/>
          <w:kern w:val="0"/>
          <w:sz w:val="32"/>
          <w:szCs w:val="32"/>
          <w:lang w:bidi="ar"/>
        </w:rPr>
        <w:t xml:space="preserve">三、主要措施 </w:t>
      </w:r>
    </w:p>
    <w:p w14:paraId="350D88C3" w14:textId="77777777" w:rsidR="00C97237" w:rsidRDefault="00000000">
      <w:pPr>
        <w:widowControl/>
        <w:spacing w:line="600" w:lineRule="exact"/>
        <w:ind w:firstLineChars="200" w:firstLine="640"/>
      </w:pPr>
      <w:r>
        <w:rPr>
          <w:rFonts w:ascii="楷体" w:eastAsia="楷体" w:hAnsi="楷体" w:cs="楷体" w:hint="eastAsia"/>
          <w:color w:val="000000"/>
          <w:kern w:val="0"/>
          <w:sz w:val="32"/>
          <w:szCs w:val="32"/>
          <w:lang w:bidi="ar"/>
        </w:rPr>
        <w:t>（一）推动更加充分更高质量就业。</w:t>
      </w:r>
    </w:p>
    <w:p w14:paraId="6344732F"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lastRenderedPageBreak/>
        <w:t>1.</w:t>
      </w:r>
      <w:r>
        <w:rPr>
          <w:rFonts w:ascii="仿宋" w:eastAsia="仿宋" w:hAnsi="仿宋" w:cs="仿宋" w:hint="eastAsia"/>
          <w:b/>
          <w:bCs/>
          <w:color w:val="000000"/>
          <w:kern w:val="0"/>
          <w:sz w:val="32"/>
          <w:szCs w:val="32"/>
          <w:lang w:bidi="ar"/>
        </w:rPr>
        <w:t>强化就业优先导向。</w:t>
      </w:r>
      <w:r>
        <w:rPr>
          <w:rFonts w:ascii="仿宋" w:eastAsia="仿宋" w:hAnsi="仿宋" w:cs="仿宋" w:hint="eastAsia"/>
          <w:color w:val="000000"/>
          <w:kern w:val="0"/>
          <w:sz w:val="32"/>
          <w:szCs w:val="32"/>
          <w:lang w:bidi="ar"/>
        </w:rPr>
        <w:t xml:space="preserve">围绕惠企政策精准落地，强化政策宣传解读，帮助企业稳定现有岗位，不断扩大就业容量。建立健全区域间和城际劳务协作机制，做好高校毕业生、下岗失业人员、农民工、城镇困难人员等重点人群就业工作。强化失业人员帮扶，建立帮扶台账，推动失业登记、职业指导、职业介绍、培训推介、生活保障联动。 </w:t>
      </w:r>
    </w:p>
    <w:p w14:paraId="5403C3D1"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2F7BF86D"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41F63CB9"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责任单位：区发展改革委、商务局、民政局、退役军人事务局、妇联、残联 </w:t>
      </w:r>
    </w:p>
    <w:p w14:paraId="1E8457DB"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2.</w:t>
      </w:r>
      <w:r>
        <w:rPr>
          <w:rFonts w:ascii="仿宋" w:eastAsia="仿宋" w:hAnsi="仿宋" w:cs="仿宋" w:hint="eastAsia"/>
          <w:b/>
          <w:bCs/>
          <w:color w:val="000000"/>
          <w:kern w:val="0"/>
          <w:sz w:val="32"/>
          <w:szCs w:val="32"/>
          <w:lang w:bidi="ar"/>
        </w:rPr>
        <w:t>促进创业带动就业。</w:t>
      </w:r>
      <w:r>
        <w:rPr>
          <w:rFonts w:ascii="仿宋" w:eastAsia="仿宋" w:hAnsi="仿宋" w:cs="仿宋" w:hint="eastAsia"/>
          <w:color w:val="000000"/>
          <w:kern w:val="0"/>
          <w:sz w:val="32"/>
          <w:szCs w:val="32"/>
          <w:lang w:bidi="ar"/>
        </w:rPr>
        <w:t>持续发挥创业培训、创业担保贷款、创业孵化、创业服务“四位一体”创业体系作用。加大创业培训力度，完成全年540人次创业培训任务。做好创业担保贷款精准帮扶，力争全年发放创业担保贷款1.2亿元。加强创业孵化载体建设，组织参加第五届“中国创翼</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豫创天下</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凤归中原</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创业大赛洛阳分区赛暨</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创响河洛</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 xml:space="preserve">创业创新大赛，不断提升创业服务质量。畅通劳动力和人才社会性流动渠道，促进多渠道灵活就业，实现就业规模不断扩大。 </w:t>
      </w:r>
    </w:p>
    <w:p w14:paraId="562B2D72"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517B53CB"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034A635F"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责任单位：区发展改革委、科技局、财政局、市场监管局、商务局、城市管理局</w:t>
      </w:r>
    </w:p>
    <w:p w14:paraId="57D2F812"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lastRenderedPageBreak/>
        <w:t>3.</w:t>
      </w:r>
      <w:r>
        <w:rPr>
          <w:rFonts w:ascii="仿宋" w:eastAsia="仿宋" w:hAnsi="仿宋" w:cs="仿宋" w:hint="eastAsia"/>
          <w:b/>
          <w:bCs/>
          <w:color w:val="000000"/>
          <w:kern w:val="0"/>
          <w:sz w:val="32"/>
          <w:szCs w:val="32"/>
          <w:lang w:bidi="ar"/>
        </w:rPr>
        <w:t>加强公共就业服务。</w:t>
      </w:r>
      <w:r>
        <w:rPr>
          <w:rFonts w:ascii="仿宋" w:eastAsia="仿宋" w:hAnsi="仿宋" w:cs="仿宋" w:hint="eastAsia"/>
          <w:color w:val="000000"/>
          <w:kern w:val="0"/>
          <w:sz w:val="32"/>
          <w:szCs w:val="32"/>
          <w:lang w:bidi="ar"/>
        </w:rPr>
        <w:t xml:space="preserve">充分利用基层公共就业服务平台，健全完善各项配套制度，加大人、财、物力投入，组织开展公共就业专项服务系列活动，保持网络招聘热度不减、线下招聘有序开展，不断促进市场供需匹配。组织开展“春风行动”等专项招聘活动，为农村劳动力提供职业指导、职业介绍和技能培训等就业服务，为农民工和用人单位搭建用工对接平台。 </w:t>
      </w:r>
    </w:p>
    <w:p w14:paraId="5383AC19"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7D6E1897"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03B24D13"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责任单位：区财政局、农业农村局 </w:t>
      </w:r>
    </w:p>
    <w:p w14:paraId="6A437AE3"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4.</w:t>
      </w:r>
      <w:r>
        <w:rPr>
          <w:rFonts w:ascii="仿宋" w:eastAsia="仿宋" w:hAnsi="仿宋" w:cs="仿宋" w:hint="eastAsia"/>
          <w:b/>
          <w:bCs/>
          <w:color w:val="000000"/>
          <w:kern w:val="0"/>
          <w:sz w:val="32"/>
          <w:szCs w:val="32"/>
          <w:lang w:bidi="ar"/>
        </w:rPr>
        <w:t>高质量开展职业技能培训。</w:t>
      </w:r>
      <w:r>
        <w:rPr>
          <w:rFonts w:ascii="仿宋" w:eastAsia="仿宋" w:hAnsi="仿宋" w:cs="仿宋" w:hint="eastAsia"/>
          <w:color w:val="000000"/>
          <w:kern w:val="0"/>
          <w:sz w:val="32"/>
          <w:szCs w:val="32"/>
          <w:lang w:bidi="ar"/>
        </w:rPr>
        <w:t>高质量推进“人人持证、技能洛阳”工作，支持企业开展职工岗前培训、岗位技能提升培训、企业新型学徒制培训，引导社会培训机构加大人才培训力度，完成职业培训14000人次。</w:t>
      </w:r>
    </w:p>
    <w:p w14:paraId="39CE3E04"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382DFA58"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56E9C21B"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委组织部、宣传部、区发展改革委、教育体育局、科技局、工信局、公安局、民政局、司法局、财政局、自然资源和规划局、住建局、交通运输局、农业农村局、商务局、文化广电和旅游局、卫健委、退役军人事务局、应急管理局、审计局、国资委、市场监管局、政务服务和大数据管理局、林业局，区总工会、团区委、区妇联、区残联，区供销社 </w:t>
      </w:r>
    </w:p>
    <w:p w14:paraId="60C8723A" w14:textId="77777777" w:rsidR="00C97237" w:rsidRDefault="00000000">
      <w:pPr>
        <w:widowControl/>
        <w:spacing w:line="600" w:lineRule="exact"/>
        <w:ind w:firstLineChars="200" w:firstLine="640"/>
        <w:rPr>
          <w:rFonts w:ascii="楷体" w:eastAsia="楷体" w:hAnsi="楷体" w:cs="楷体"/>
          <w:color w:val="000000"/>
          <w:kern w:val="0"/>
          <w:sz w:val="32"/>
          <w:szCs w:val="32"/>
          <w:lang w:bidi="ar"/>
        </w:rPr>
      </w:pPr>
      <w:r>
        <w:rPr>
          <w:rFonts w:ascii="楷体" w:eastAsia="楷体" w:hAnsi="楷体" w:cs="楷体" w:hint="eastAsia"/>
          <w:color w:val="000000"/>
          <w:kern w:val="0"/>
          <w:sz w:val="32"/>
          <w:szCs w:val="32"/>
          <w:lang w:bidi="ar"/>
        </w:rPr>
        <w:lastRenderedPageBreak/>
        <w:t xml:space="preserve">（二）加大劳动保障监察执法力度。 </w:t>
      </w:r>
    </w:p>
    <w:p w14:paraId="04D314E8"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1.</w:t>
      </w:r>
      <w:r>
        <w:rPr>
          <w:rFonts w:ascii="仿宋" w:eastAsia="仿宋" w:hAnsi="仿宋" w:cs="仿宋" w:hint="eastAsia"/>
          <w:b/>
          <w:bCs/>
          <w:color w:val="000000"/>
          <w:kern w:val="0"/>
          <w:sz w:val="32"/>
          <w:szCs w:val="32"/>
          <w:lang w:bidi="ar"/>
        </w:rPr>
        <w:t>开展专项检查。</w:t>
      </w:r>
      <w:r>
        <w:rPr>
          <w:rFonts w:ascii="仿宋" w:eastAsia="仿宋" w:hAnsi="仿宋" w:cs="仿宋" w:hint="eastAsia"/>
          <w:color w:val="000000"/>
          <w:kern w:val="0"/>
          <w:sz w:val="32"/>
          <w:szCs w:val="32"/>
          <w:lang w:bidi="ar"/>
        </w:rPr>
        <w:t xml:space="preserve">会同市场监督管理部门开展清理整顿人力资源市场秩序专项行动，严格审查人力资源服务机构行政许可申请。加强劳动力市场巡查，督促用人单位依法招用职工，取缔非法职业中介活动，进一步规范人力资源市场秩序，为劳动者就业创业营造良好市场环境。 </w:t>
      </w:r>
    </w:p>
    <w:p w14:paraId="30D5C918"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14907C22"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05F6D2BC"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责任单位：区市场监管局 </w:t>
      </w:r>
    </w:p>
    <w:p w14:paraId="68FF3A7B"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hint="eastAsia"/>
          <w:b/>
          <w:bCs/>
          <w:color w:val="000000"/>
          <w:kern w:val="0"/>
          <w:sz w:val="32"/>
          <w:szCs w:val="32"/>
          <w:lang w:bidi="ar"/>
        </w:rPr>
        <w:t>2.开展“双随机、一公开”抽查。</w:t>
      </w:r>
      <w:r>
        <w:rPr>
          <w:rFonts w:ascii="仿宋" w:eastAsia="仿宋" w:hAnsi="仿宋" w:cs="仿宋" w:hint="eastAsia"/>
          <w:color w:val="000000"/>
          <w:kern w:val="0"/>
          <w:sz w:val="32"/>
          <w:szCs w:val="32"/>
          <w:lang w:bidi="ar"/>
        </w:rPr>
        <w:t xml:space="preserve">按照“放管服”改革有关要求，依据人社部门“双随机、一公开”检查事项清单开展“双随机、一公开”检查，做到监管效能最大化、监管成本最优化、对市场主体干扰最小化，着力提升监管公平性、规范性和有效性，营造良好营商环境、有序竞争环境。 </w:t>
      </w:r>
    </w:p>
    <w:p w14:paraId="227365C4"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4013C4F4"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517799AF"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3.</w:t>
      </w:r>
      <w:r>
        <w:rPr>
          <w:rFonts w:ascii="仿宋" w:eastAsia="仿宋" w:hAnsi="仿宋" w:cs="仿宋" w:hint="eastAsia"/>
          <w:b/>
          <w:bCs/>
          <w:color w:val="000000"/>
          <w:kern w:val="0"/>
          <w:sz w:val="32"/>
          <w:szCs w:val="32"/>
          <w:lang w:bidi="ar"/>
        </w:rPr>
        <w:t>实施信用监管。</w:t>
      </w:r>
      <w:r>
        <w:rPr>
          <w:rFonts w:ascii="仿宋" w:eastAsia="仿宋" w:hAnsi="仿宋" w:cs="仿宋" w:hint="eastAsia"/>
          <w:color w:val="000000"/>
          <w:kern w:val="0"/>
          <w:sz w:val="32"/>
          <w:szCs w:val="32"/>
          <w:lang w:bidi="ar"/>
        </w:rPr>
        <w:t xml:space="preserve">开展企业劳动保障诚信等级评价，落实违法失信人名单管理制度，重大劳动保障违法行为及时向社会公布，推进联合惩戒，促进企业守法诚信自律。 </w:t>
      </w:r>
    </w:p>
    <w:p w14:paraId="744FAEA1"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2FEB5172"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71A05F19" w14:textId="77777777" w:rsidR="00C97237" w:rsidRDefault="00000000">
      <w:pPr>
        <w:widowControl/>
        <w:spacing w:line="600" w:lineRule="exact"/>
        <w:ind w:firstLineChars="200" w:firstLine="640"/>
      </w:pPr>
      <w:r>
        <w:rPr>
          <w:rFonts w:ascii="楷体" w:eastAsia="楷体" w:hAnsi="楷体" w:cs="楷体" w:hint="eastAsia"/>
          <w:color w:val="000000"/>
          <w:kern w:val="0"/>
          <w:sz w:val="32"/>
          <w:szCs w:val="32"/>
          <w:lang w:bidi="ar"/>
        </w:rPr>
        <w:t>（三）完善劳动争议调解机制。</w:t>
      </w:r>
      <w:r>
        <w:rPr>
          <w:rFonts w:ascii="楷体_GB2312" w:eastAsia="楷体_GB2312" w:hAnsi="楷体_GB2312" w:cs="楷体_GB2312"/>
          <w:b/>
          <w:bCs/>
          <w:color w:val="000000"/>
          <w:kern w:val="0"/>
          <w:sz w:val="31"/>
          <w:szCs w:val="31"/>
          <w:lang w:bidi="ar"/>
        </w:rPr>
        <w:t xml:space="preserve"> </w:t>
      </w:r>
    </w:p>
    <w:p w14:paraId="306D365F"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lastRenderedPageBreak/>
        <w:t>1.</w:t>
      </w:r>
      <w:r>
        <w:rPr>
          <w:rFonts w:ascii="仿宋" w:eastAsia="仿宋" w:hAnsi="仿宋" w:cs="仿宋" w:hint="eastAsia"/>
          <w:b/>
          <w:bCs/>
          <w:color w:val="000000"/>
          <w:kern w:val="0"/>
          <w:sz w:val="32"/>
          <w:szCs w:val="32"/>
          <w:lang w:bidi="ar"/>
        </w:rPr>
        <w:t>建立多元处理机制。</w:t>
      </w:r>
      <w:r>
        <w:rPr>
          <w:rFonts w:ascii="仿宋" w:eastAsia="仿宋" w:hAnsi="仿宋" w:cs="仿宋" w:hint="eastAsia"/>
          <w:color w:val="000000"/>
          <w:kern w:val="0"/>
          <w:sz w:val="32"/>
          <w:szCs w:val="32"/>
          <w:lang w:bidi="ar"/>
        </w:rPr>
        <w:t>组织开展劳动争议预防调解工作，推动建立健全用人单位和劳动者内部协商解决机制，加强与人民法院、总工会等部门在处理劳动争议方面的协调配合，发挥多元机制作用，提升综合处理效能。到</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年底，劳动人事争议仲裁结案率达到</w:t>
      </w:r>
      <w:r>
        <w:rPr>
          <w:rFonts w:ascii="仿宋" w:eastAsia="仿宋" w:hAnsi="仿宋" w:cs="仿宋"/>
          <w:color w:val="000000"/>
          <w:kern w:val="0"/>
          <w:sz w:val="32"/>
          <w:szCs w:val="32"/>
          <w:lang w:bidi="ar"/>
        </w:rPr>
        <w:t>92%</w:t>
      </w:r>
      <w:r>
        <w:rPr>
          <w:rFonts w:ascii="仿宋" w:eastAsia="仿宋" w:hAnsi="仿宋" w:cs="仿宋" w:hint="eastAsia"/>
          <w:color w:val="000000"/>
          <w:kern w:val="0"/>
          <w:sz w:val="32"/>
          <w:szCs w:val="32"/>
          <w:lang w:bidi="ar"/>
        </w:rPr>
        <w:t>以上，调解成功率达到</w:t>
      </w:r>
      <w:r>
        <w:rPr>
          <w:rFonts w:ascii="仿宋" w:eastAsia="仿宋" w:hAnsi="仿宋" w:cs="仿宋"/>
          <w:color w:val="000000"/>
          <w:kern w:val="0"/>
          <w:sz w:val="32"/>
          <w:szCs w:val="32"/>
          <w:lang w:bidi="ar"/>
        </w:rPr>
        <w:t>62%</w:t>
      </w:r>
      <w:r>
        <w:rPr>
          <w:rFonts w:ascii="仿宋" w:eastAsia="仿宋" w:hAnsi="仿宋" w:cs="仿宋" w:hint="eastAsia"/>
          <w:color w:val="000000"/>
          <w:kern w:val="0"/>
          <w:sz w:val="32"/>
          <w:szCs w:val="32"/>
          <w:lang w:bidi="ar"/>
        </w:rPr>
        <w:t>以上。</w:t>
      </w:r>
    </w:p>
    <w:p w14:paraId="68CBB0C1"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6948B893"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25DDBECA"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责任单位：区中级法院，区总工会、区工商联 </w:t>
      </w:r>
    </w:p>
    <w:p w14:paraId="46ED07A0"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2.</w:t>
      </w:r>
      <w:r>
        <w:rPr>
          <w:rFonts w:ascii="仿宋" w:eastAsia="仿宋" w:hAnsi="仿宋" w:cs="仿宋" w:hint="eastAsia"/>
          <w:b/>
          <w:bCs/>
          <w:color w:val="000000"/>
          <w:kern w:val="0"/>
          <w:sz w:val="32"/>
          <w:szCs w:val="32"/>
          <w:lang w:bidi="ar"/>
        </w:rPr>
        <w:t>畅通仲裁绿色通道。</w:t>
      </w:r>
      <w:r>
        <w:rPr>
          <w:rFonts w:ascii="仿宋" w:eastAsia="仿宋" w:hAnsi="仿宋" w:cs="仿宋" w:hint="eastAsia"/>
          <w:color w:val="000000"/>
          <w:kern w:val="0"/>
          <w:sz w:val="32"/>
          <w:szCs w:val="32"/>
          <w:lang w:bidi="ar"/>
        </w:rPr>
        <w:t xml:space="preserve">建立案件繁简分流制度，简单案件适用简易程序，当场办理相关立案手续，当即组织双方调解，并在自愿协商的基础上，当场制作、送达调解书，为群众维权提供便捷服务。建立农民工争议案件、重大集体争议案件月报告制度。建立妇女、伤残人员、农民工等弱势群体绿色通道制度。对低收入群众全面实行免费法律援助制度。 </w:t>
      </w:r>
    </w:p>
    <w:p w14:paraId="0E4A6077"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566378D1"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411EBD9F"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责任单位：区司法局 </w:t>
      </w:r>
    </w:p>
    <w:p w14:paraId="535D527B"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3.</w:t>
      </w:r>
      <w:r>
        <w:rPr>
          <w:rFonts w:ascii="仿宋" w:eastAsia="仿宋" w:hAnsi="仿宋" w:cs="仿宋" w:hint="eastAsia"/>
          <w:b/>
          <w:bCs/>
          <w:color w:val="000000"/>
          <w:kern w:val="0"/>
          <w:sz w:val="32"/>
          <w:szCs w:val="32"/>
          <w:lang w:bidi="ar"/>
        </w:rPr>
        <w:t>探索调解仲裁信息化建设。</w:t>
      </w:r>
      <w:r>
        <w:rPr>
          <w:rFonts w:ascii="仿宋" w:eastAsia="仿宋" w:hAnsi="仿宋" w:cs="仿宋" w:hint="eastAsia"/>
          <w:color w:val="000000"/>
          <w:kern w:val="0"/>
          <w:sz w:val="32"/>
          <w:szCs w:val="32"/>
          <w:lang w:bidi="ar"/>
        </w:rPr>
        <w:t>充分发挥“互联网</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调解”服务平台开展网上调解，加大省、市、县（区）三级仲裁信息化办案系统推广应用，实现仲裁线上办案率达到</w:t>
      </w:r>
      <w:r>
        <w:rPr>
          <w:rFonts w:ascii="仿宋" w:eastAsia="仿宋" w:hAnsi="仿宋" w:cs="仿宋"/>
          <w:color w:val="000000"/>
          <w:kern w:val="0"/>
          <w:sz w:val="32"/>
          <w:szCs w:val="32"/>
          <w:lang w:bidi="ar"/>
        </w:rPr>
        <w:t>85%</w:t>
      </w:r>
      <w:r>
        <w:rPr>
          <w:rFonts w:ascii="仿宋" w:eastAsia="仿宋" w:hAnsi="仿宋" w:cs="仿宋" w:hint="eastAsia"/>
          <w:color w:val="000000"/>
          <w:kern w:val="0"/>
          <w:sz w:val="32"/>
          <w:szCs w:val="32"/>
          <w:lang w:bidi="ar"/>
        </w:rPr>
        <w:t>。规范在线调解流程，建立调解名册制度，开展“网上调解”，让数据多跑路、群众少跑腿。</w:t>
      </w:r>
    </w:p>
    <w:p w14:paraId="3E320ABB"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20D27DCE"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46310175"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（四）构建和谐劳动关系。</w:t>
      </w:r>
      <w:r>
        <w:rPr>
          <w:rFonts w:ascii="仿宋" w:eastAsia="仿宋" w:hAnsi="仿宋" w:cs="仿宋" w:hint="eastAsia"/>
          <w:color w:val="000000"/>
          <w:kern w:val="0"/>
          <w:sz w:val="32"/>
          <w:szCs w:val="32"/>
          <w:lang w:bidi="ar"/>
        </w:rPr>
        <w:t xml:space="preserve"> </w:t>
      </w:r>
    </w:p>
    <w:p w14:paraId="6111B321"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1.</w:t>
      </w:r>
      <w:r>
        <w:rPr>
          <w:rFonts w:ascii="仿宋" w:eastAsia="仿宋" w:hAnsi="仿宋" w:cs="仿宋" w:hint="eastAsia"/>
          <w:b/>
          <w:bCs/>
          <w:color w:val="000000"/>
          <w:kern w:val="0"/>
          <w:sz w:val="32"/>
          <w:szCs w:val="32"/>
          <w:lang w:bidi="ar"/>
        </w:rPr>
        <w:t>提高队伍建设能力。</w:t>
      </w:r>
      <w:r>
        <w:rPr>
          <w:rFonts w:ascii="仿宋" w:eastAsia="仿宋" w:hAnsi="仿宋" w:cs="仿宋" w:hint="eastAsia"/>
          <w:color w:val="000000"/>
          <w:kern w:val="0"/>
          <w:sz w:val="32"/>
          <w:szCs w:val="32"/>
          <w:lang w:bidi="ar"/>
        </w:rPr>
        <w:t xml:space="preserve">深入推进劳动关系“和谐同行”能力提升三年行动计划，加强劳动关系协调员队伍建设，培育协调劳动关系社会组织，巩固基层劳动人事争议调解组织示范单位建设，选树金牌劳动关系协调员、社会组织和劳动人事争议调解组织。 </w:t>
      </w:r>
    </w:p>
    <w:p w14:paraId="7F11D9B8"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6ADA54CA"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54F3A76B"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责任单位：区总工会、区工商联 </w:t>
      </w:r>
    </w:p>
    <w:p w14:paraId="226A8C37"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2.</w:t>
      </w:r>
      <w:r>
        <w:rPr>
          <w:rFonts w:ascii="仿宋" w:eastAsia="仿宋" w:hAnsi="仿宋" w:cs="仿宋" w:hint="eastAsia"/>
          <w:b/>
          <w:bCs/>
          <w:color w:val="000000"/>
          <w:kern w:val="0"/>
          <w:sz w:val="32"/>
          <w:szCs w:val="32"/>
          <w:lang w:bidi="ar"/>
        </w:rPr>
        <w:t>加强企业工资宏观调控指导。</w:t>
      </w:r>
      <w:r>
        <w:rPr>
          <w:rFonts w:ascii="仿宋" w:eastAsia="仿宋" w:hAnsi="仿宋" w:cs="仿宋" w:hint="eastAsia"/>
          <w:color w:val="000000"/>
          <w:kern w:val="0"/>
          <w:sz w:val="32"/>
          <w:szCs w:val="32"/>
          <w:lang w:bidi="ar"/>
        </w:rPr>
        <w:t xml:space="preserve">加强薪酬信息服务体系建设，健全完善企业薪酬调查和信息发布制度。优化企业工资收入分配指导服务，建立健全符合企业实际的职工工资增长机制和工资决策机制。完善国有企业市场化薪酬分配机制，制定国有企业工资内外收入监督管理办法和福利管理办法，开展国有企业工资内外收入监督检查。 </w:t>
      </w:r>
    </w:p>
    <w:p w14:paraId="6C91D360"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3166E8F6"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5403EC2C"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3.</w:t>
      </w:r>
      <w:r>
        <w:rPr>
          <w:rFonts w:ascii="仿宋" w:eastAsia="仿宋" w:hAnsi="仿宋" w:cs="仿宋" w:hint="eastAsia"/>
          <w:b/>
          <w:bCs/>
          <w:color w:val="000000"/>
          <w:kern w:val="0"/>
          <w:sz w:val="32"/>
          <w:szCs w:val="32"/>
          <w:lang w:bidi="ar"/>
        </w:rPr>
        <w:t>防范化解劳动关系风险。</w:t>
      </w:r>
      <w:r>
        <w:rPr>
          <w:rFonts w:ascii="仿宋" w:eastAsia="仿宋" w:hAnsi="仿宋" w:cs="仿宋" w:hint="eastAsia"/>
          <w:color w:val="000000"/>
          <w:kern w:val="0"/>
          <w:sz w:val="32"/>
          <w:szCs w:val="32"/>
          <w:lang w:bidi="ar"/>
        </w:rPr>
        <w:t>推动企业建立健全集体协商制度，鼓励企业与职工通过协商确定工资待遇、工作时间、工作方式等。规范企业裁员行为，指导确需裁员企业严格按法律法规实施裁员，规模性裁员要按规定逐级上报，引导生</w:t>
      </w:r>
      <w:r>
        <w:rPr>
          <w:rFonts w:ascii="仿宋" w:eastAsia="仿宋" w:hAnsi="仿宋" w:cs="仿宋" w:hint="eastAsia"/>
          <w:color w:val="000000"/>
          <w:kern w:val="0"/>
          <w:sz w:val="32"/>
          <w:szCs w:val="32"/>
          <w:lang w:bidi="ar"/>
        </w:rPr>
        <w:lastRenderedPageBreak/>
        <w:t xml:space="preserve">产经营困难的企业通过协商薪酬、轮岗轮休、缩短工时等措施尽量不裁员、少裁员。为企业提供劳动用工政策咨询、劳动合同示范文本等服务，帮助企业和劳动者维护合法权益。 </w:t>
      </w:r>
    </w:p>
    <w:p w14:paraId="358846C7"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月底前</w:t>
      </w:r>
    </w:p>
    <w:p w14:paraId="480FFE42"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289A0C22"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责任单位：区总工会、区工商联 </w:t>
      </w:r>
    </w:p>
    <w:p w14:paraId="38D04C3E"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（五）加强企业用工指导服务。</w:t>
      </w:r>
      <w:r>
        <w:rPr>
          <w:rFonts w:ascii="仿宋" w:eastAsia="仿宋" w:hAnsi="仿宋" w:cs="仿宋" w:hint="eastAsia"/>
          <w:color w:val="000000"/>
          <w:kern w:val="0"/>
          <w:sz w:val="32"/>
          <w:szCs w:val="32"/>
          <w:lang w:bidi="ar"/>
        </w:rPr>
        <w:t xml:space="preserve"> </w:t>
      </w:r>
    </w:p>
    <w:p w14:paraId="2A09C2D6"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1.</w:t>
      </w:r>
      <w:r>
        <w:rPr>
          <w:rFonts w:ascii="仿宋" w:eastAsia="仿宋" w:hAnsi="仿宋" w:cs="仿宋" w:hint="eastAsia"/>
          <w:b/>
          <w:bCs/>
          <w:color w:val="000000"/>
          <w:kern w:val="0"/>
          <w:sz w:val="32"/>
          <w:szCs w:val="32"/>
          <w:lang w:bidi="ar"/>
        </w:rPr>
        <w:t>强化企业用工保障服务。</w:t>
      </w:r>
      <w:r>
        <w:rPr>
          <w:rFonts w:ascii="仿宋" w:eastAsia="仿宋" w:hAnsi="仿宋" w:cs="仿宋" w:hint="eastAsia"/>
          <w:color w:val="000000"/>
          <w:kern w:val="0"/>
          <w:sz w:val="32"/>
          <w:szCs w:val="32"/>
          <w:lang w:bidi="ar"/>
        </w:rPr>
        <w:t>落实《洛阳市</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 xml:space="preserve">年度重点企业用工保障服务专项行动实施方案》，深入开展企业用工保障服务专项行动，组织用工企业采取进校园、入乡村等多种形式进行招工，组织行业性、专业性、急需紧缺工种等专场招聘。明确重点服务对象，提供定点招聘、定点输送等服务，满足特定时期的用工需求。 </w:t>
      </w:r>
    </w:p>
    <w:p w14:paraId="53845D30"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17F7E54A"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1C23FC1C"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责任单位：区发展改革委、工信局、教育体育局</w:t>
      </w:r>
    </w:p>
    <w:p w14:paraId="2B8B88CD"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t>2.</w:t>
      </w:r>
      <w:r>
        <w:rPr>
          <w:rFonts w:ascii="仿宋" w:eastAsia="仿宋" w:hAnsi="仿宋" w:cs="仿宋" w:hint="eastAsia"/>
          <w:b/>
          <w:bCs/>
          <w:color w:val="000000"/>
          <w:kern w:val="0"/>
          <w:sz w:val="32"/>
          <w:szCs w:val="32"/>
          <w:lang w:bidi="ar"/>
        </w:rPr>
        <w:t>加强企业用工指导。</w:t>
      </w:r>
      <w:r>
        <w:rPr>
          <w:rFonts w:ascii="仿宋" w:eastAsia="仿宋" w:hAnsi="仿宋" w:cs="仿宋" w:hint="eastAsia"/>
          <w:color w:val="000000"/>
          <w:kern w:val="0"/>
          <w:sz w:val="32"/>
          <w:szCs w:val="32"/>
          <w:lang w:bidi="ar"/>
        </w:rPr>
        <w:t xml:space="preserve">加强对企业用工指导服务，帮助企业有效防范用工风险，提高用工管理水平，从源头上预防化解劳动关系矛盾纠纷。 </w:t>
      </w:r>
    </w:p>
    <w:p w14:paraId="230BF704"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1D10266D"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0F9EF280"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责任单位：区总工会、区工商联 </w:t>
      </w:r>
    </w:p>
    <w:p w14:paraId="5FC9D63D" w14:textId="77777777" w:rsidR="00C97237" w:rsidRDefault="00000000">
      <w:pPr>
        <w:widowControl/>
        <w:spacing w:line="600" w:lineRule="exact"/>
        <w:ind w:firstLineChars="200" w:firstLine="643"/>
        <w:rPr>
          <w:rFonts w:ascii="仿宋" w:eastAsia="仿宋" w:hAnsi="仿宋" w:cs="仿宋"/>
          <w:color w:val="000000"/>
          <w:kern w:val="0"/>
          <w:sz w:val="32"/>
          <w:szCs w:val="32"/>
          <w:lang w:bidi="ar"/>
        </w:rPr>
      </w:pPr>
      <w:r>
        <w:rPr>
          <w:rFonts w:ascii="仿宋" w:eastAsia="仿宋" w:hAnsi="仿宋" w:cs="仿宋"/>
          <w:b/>
          <w:bCs/>
          <w:color w:val="000000"/>
          <w:kern w:val="0"/>
          <w:sz w:val="32"/>
          <w:szCs w:val="32"/>
          <w:lang w:bidi="ar"/>
        </w:rPr>
        <w:lastRenderedPageBreak/>
        <w:t>3.</w:t>
      </w:r>
      <w:r>
        <w:rPr>
          <w:rFonts w:ascii="仿宋" w:eastAsia="仿宋" w:hAnsi="仿宋" w:cs="仿宋" w:hint="eastAsia"/>
          <w:b/>
          <w:bCs/>
          <w:color w:val="000000"/>
          <w:kern w:val="0"/>
          <w:sz w:val="32"/>
          <w:szCs w:val="32"/>
          <w:lang w:bidi="ar"/>
        </w:rPr>
        <w:t>加大政策扶持力度。</w:t>
      </w:r>
      <w:r>
        <w:rPr>
          <w:rFonts w:ascii="仿宋" w:eastAsia="仿宋" w:hAnsi="仿宋" w:cs="仿宋" w:hint="eastAsia"/>
          <w:color w:val="000000"/>
          <w:kern w:val="0"/>
          <w:sz w:val="32"/>
          <w:szCs w:val="32"/>
          <w:lang w:bidi="ar"/>
        </w:rPr>
        <w:t>对符合规定条件的企业给予吸纳就业补贴、就业见习补贴、稳岗补贴、招用就业困难人员社保补贴、创业担保贷款贴息等政策，全面落实支持企业用工的就业扶持政策。继续阶段性降低失业保险费费率，将原定执行至</w:t>
      </w:r>
      <w:r>
        <w:rPr>
          <w:rFonts w:ascii="仿宋" w:eastAsia="仿宋" w:hAnsi="仿宋" w:cs="仿宋"/>
          <w:color w:val="000000"/>
          <w:kern w:val="0"/>
          <w:sz w:val="32"/>
          <w:szCs w:val="32"/>
          <w:lang w:bidi="ar"/>
        </w:rPr>
        <w:t>2021</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4</w:t>
      </w:r>
      <w:r>
        <w:rPr>
          <w:rFonts w:ascii="仿宋" w:eastAsia="仿宋" w:hAnsi="仿宋" w:cs="仿宋" w:hint="eastAsia"/>
          <w:color w:val="000000"/>
          <w:kern w:val="0"/>
          <w:sz w:val="32"/>
          <w:szCs w:val="32"/>
          <w:lang w:bidi="ar"/>
        </w:rPr>
        <w:t>月</w:t>
      </w:r>
      <w:r>
        <w:rPr>
          <w:rFonts w:ascii="仿宋" w:eastAsia="仿宋" w:hAnsi="仿宋" w:cs="仿宋"/>
          <w:color w:val="000000"/>
          <w:kern w:val="0"/>
          <w:sz w:val="32"/>
          <w:szCs w:val="32"/>
          <w:lang w:bidi="ar"/>
        </w:rPr>
        <w:t>30</w:t>
      </w:r>
      <w:r>
        <w:rPr>
          <w:rFonts w:ascii="仿宋" w:eastAsia="仿宋" w:hAnsi="仿宋" w:cs="仿宋" w:hint="eastAsia"/>
          <w:color w:val="000000"/>
          <w:kern w:val="0"/>
          <w:sz w:val="32"/>
          <w:szCs w:val="32"/>
          <w:lang w:bidi="ar"/>
        </w:rPr>
        <w:t>日的失业保险总费率</w:t>
      </w:r>
      <w:r>
        <w:rPr>
          <w:rFonts w:ascii="仿宋" w:eastAsia="仿宋" w:hAnsi="仿宋" w:cs="仿宋"/>
          <w:color w:val="000000"/>
          <w:kern w:val="0"/>
          <w:sz w:val="32"/>
          <w:szCs w:val="32"/>
          <w:lang w:bidi="ar"/>
        </w:rPr>
        <w:t>1%</w:t>
      </w:r>
      <w:r>
        <w:rPr>
          <w:rFonts w:ascii="仿宋" w:eastAsia="仿宋" w:hAnsi="仿宋" w:cs="仿宋" w:hint="eastAsia"/>
          <w:color w:val="000000"/>
          <w:kern w:val="0"/>
          <w:sz w:val="32"/>
          <w:szCs w:val="32"/>
          <w:lang w:bidi="ar"/>
        </w:rPr>
        <w:t xml:space="preserve">的政策延长期限至 </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4</w:t>
      </w:r>
      <w:r>
        <w:rPr>
          <w:rFonts w:ascii="仿宋" w:eastAsia="仿宋" w:hAnsi="仿宋" w:cs="仿宋" w:hint="eastAsia"/>
          <w:color w:val="000000"/>
          <w:kern w:val="0"/>
          <w:sz w:val="32"/>
          <w:szCs w:val="32"/>
          <w:lang w:bidi="ar"/>
        </w:rPr>
        <w:t>月</w:t>
      </w:r>
      <w:r>
        <w:rPr>
          <w:rFonts w:ascii="仿宋" w:eastAsia="仿宋" w:hAnsi="仿宋" w:cs="仿宋"/>
          <w:color w:val="000000"/>
          <w:kern w:val="0"/>
          <w:sz w:val="32"/>
          <w:szCs w:val="32"/>
          <w:lang w:bidi="ar"/>
        </w:rPr>
        <w:t>30</w:t>
      </w:r>
      <w:r>
        <w:rPr>
          <w:rFonts w:ascii="仿宋" w:eastAsia="仿宋" w:hAnsi="仿宋" w:cs="仿宋" w:hint="eastAsia"/>
          <w:color w:val="000000"/>
          <w:kern w:val="0"/>
          <w:sz w:val="32"/>
          <w:szCs w:val="32"/>
          <w:lang w:bidi="ar"/>
        </w:rPr>
        <w:t>日。</w:t>
      </w:r>
    </w:p>
    <w:p w14:paraId="5D2CD5C6"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w:t>
      </w:r>
      <w:r>
        <w:rPr>
          <w:rFonts w:ascii="仿宋" w:eastAsia="仿宋" w:hAnsi="仿宋" w:cs="仿宋"/>
          <w:color w:val="000000"/>
          <w:kern w:val="0"/>
          <w:sz w:val="32"/>
          <w:szCs w:val="32"/>
          <w:lang w:bidi="ar"/>
        </w:rPr>
        <w:t>2022</w:t>
      </w:r>
      <w:r>
        <w:rPr>
          <w:rFonts w:ascii="仿宋" w:eastAsia="仿宋" w:hAnsi="仿宋" w:cs="仿宋" w:hint="eastAsia"/>
          <w:color w:val="000000"/>
          <w:kern w:val="0"/>
          <w:sz w:val="32"/>
          <w:szCs w:val="32"/>
          <w:lang w:bidi="ar"/>
        </w:rPr>
        <w:t>年</w:t>
      </w:r>
      <w:r>
        <w:rPr>
          <w:rFonts w:ascii="仿宋" w:eastAsia="仿宋" w:hAnsi="仿宋" w:cs="仿宋"/>
          <w:color w:val="000000"/>
          <w:kern w:val="0"/>
          <w:sz w:val="32"/>
          <w:szCs w:val="32"/>
          <w:lang w:bidi="ar"/>
        </w:rPr>
        <w:t>12</w:t>
      </w:r>
      <w:r>
        <w:rPr>
          <w:rFonts w:ascii="仿宋" w:eastAsia="仿宋" w:hAnsi="仿宋" w:cs="仿宋" w:hint="eastAsia"/>
          <w:color w:val="000000"/>
          <w:kern w:val="0"/>
          <w:sz w:val="32"/>
          <w:szCs w:val="32"/>
          <w:lang w:bidi="ar"/>
        </w:rPr>
        <w:t xml:space="preserve">月底前 </w:t>
      </w:r>
    </w:p>
    <w:p w14:paraId="1C11F130"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775E7342"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责任单位：区财政局 </w:t>
      </w:r>
    </w:p>
    <w:p w14:paraId="7D78AD59" w14:textId="77777777" w:rsidR="00C97237" w:rsidRDefault="00000000">
      <w:pPr>
        <w:widowControl/>
        <w:spacing w:line="60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四、指标对比</w:t>
      </w:r>
    </w:p>
    <w:tbl>
      <w:tblPr>
        <w:tblStyle w:val="ac"/>
        <w:tblW w:w="8518" w:type="dxa"/>
        <w:tblLayout w:type="fixed"/>
        <w:tblLook w:val="04A0" w:firstRow="1" w:lastRow="0" w:firstColumn="1" w:lastColumn="0" w:noHBand="0" w:noVBand="1"/>
      </w:tblPr>
      <w:tblGrid>
        <w:gridCol w:w="1703"/>
        <w:gridCol w:w="1703"/>
        <w:gridCol w:w="1703"/>
        <w:gridCol w:w="1703"/>
        <w:gridCol w:w="1706"/>
      </w:tblGrid>
      <w:tr w:rsidR="00C97237" w14:paraId="0691BB97" w14:textId="77777777">
        <w:tc>
          <w:tcPr>
            <w:tcW w:w="1703" w:type="dxa"/>
            <w:vAlign w:val="center"/>
          </w:tcPr>
          <w:p w14:paraId="199F31A3" w14:textId="77777777" w:rsidR="00C97237" w:rsidRDefault="00000000">
            <w:pPr>
              <w:widowControl/>
              <w:spacing w:line="600" w:lineRule="exact"/>
              <w:jc w:val="center"/>
              <w:rPr>
                <w:rFonts w:ascii="黑体" w:eastAsia="黑体" w:hAnsi="宋体" w:cs="黑体"/>
                <w:color w:val="000000"/>
                <w:kern w:val="0"/>
                <w:sz w:val="30"/>
                <w:szCs w:val="30"/>
                <w:lang w:bidi="ar"/>
              </w:rPr>
            </w:pPr>
            <w:r>
              <w:rPr>
                <w:rFonts w:ascii="黑体" w:eastAsia="黑体" w:hAnsi="宋体" w:cs="黑体" w:hint="eastAsia"/>
                <w:color w:val="000000"/>
                <w:kern w:val="0"/>
                <w:sz w:val="30"/>
                <w:szCs w:val="30"/>
                <w:lang w:bidi="ar"/>
              </w:rPr>
              <w:t>指标</w:t>
            </w:r>
          </w:p>
        </w:tc>
        <w:tc>
          <w:tcPr>
            <w:tcW w:w="1703" w:type="dxa"/>
            <w:vAlign w:val="center"/>
          </w:tcPr>
          <w:p w14:paraId="0B3FE8E6" w14:textId="77777777" w:rsidR="00C97237" w:rsidRDefault="00000000">
            <w:pPr>
              <w:widowControl/>
              <w:spacing w:line="600" w:lineRule="exact"/>
              <w:jc w:val="center"/>
              <w:rPr>
                <w:rFonts w:ascii="黑体" w:eastAsia="黑体" w:hAnsi="宋体" w:cs="黑体"/>
                <w:color w:val="000000"/>
                <w:kern w:val="0"/>
                <w:sz w:val="30"/>
                <w:szCs w:val="30"/>
                <w:lang w:bidi="ar"/>
              </w:rPr>
            </w:pPr>
            <w:r>
              <w:rPr>
                <w:rFonts w:ascii="黑体" w:eastAsia="黑体" w:hAnsi="宋体" w:cs="黑体" w:hint="eastAsia"/>
                <w:color w:val="000000"/>
                <w:kern w:val="0"/>
                <w:sz w:val="30"/>
                <w:szCs w:val="30"/>
                <w:lang w:bidi="ar"/>
              </w:rPr>
              <w:t>现状水平</w:t>
            </w:r>
          </w:p>
        </w:tc>
        <w:tc>
          <w:tcPr>
            <w:tcW w:w="1703" w:type="dxa"/>
            <w:vAlign w:val="center"/>
          </w:tcPr>
          <w:p w14:paraId="2DD67940" w14:textId="77777777" w:rsidR="00C97237" w:rsidRDefault="00000000">
            <w:pPr>
              <w:widowControl/>
              <w:spacing w:line="600" w:lineRule="exact"/>
              <w:jc w:val="center"/>
              <w:rPr>
                <w:rFonts w:ascii="黑体" w:eastAsia="黑体" w:hAnsi="宋体" w:cs="黑体"/>
                <w:color w:val="000000"/>
                <w:kern w:val="0"/>
                <w:sz w:val="30"/>
                <w:szCs w:val="30"/>
                <w:lang w:bidi="ar"/>
              </w:rPr>
            </w:pPr>
            <w:r>
              <w:rPr>
                <w:rFonts w:ascii="黑体" w:eastAsia="黑体" w:hAnsi="宋体" w:cs="黑体" w:hint="eastAsia"/>
                <w:color w:val="000000"/>
                <w:kern w:val="0"/>
                <w:sz w:val="30"/>
                <w:szCs w:val="30"/>
                <w:lang w:bidi="ar"/>
              </w:rPr>
              <w:t>省目标</w:t>
            </w:r>
          </w:p>
        </w:tc>
        <w:tc>
          <w:tcPr>
            <w:tcW w:w="1703" w:type="dxa"/>
            <w:vAlign w:val="center"/>
          </w:tcPr>
          <w:p w14:paraId="17F660D9" w14:textId="77777777" w:rsidR="00C97237" w:rsidRDefault="00000000">
            <w:pPr>
              <w:widowControl/>
              <w:spacing w:line="600" w:lineRule="exact"/>
              <w:jc w:val="center"/>
              <w:rPr>
                <w:rFonts w:ascii="黑体" w:eastAsia="黑体" w:hAnsi="宋体" w:cs="黑体"/>
                <w:color w:val="000000"/>
                <w:kern w:val="0"/>
                <w:sz w:val="30"/>
                <w:szCs w:val="30"/>
                <w:lang w:bidi="ar"/>
              </w:rPr>
            </w:pPr>
            <w:r>
              <w:rPr>
                <w:rFonts w:ascii="黑体" w:eastAsia="黑体" w:hAnsi="宋体" w:cs="黑体" w:hint="eastAsia"/>
                <w:color w:val="000000"/>
                <w:kern w:val="0"/>
                <w:sz w:val="30"/>
                <w:szCs w:val="30"/>
                <w:lang w:bidi="ar"/>
              </w:rPr>
              <w:t>市目标</w:t>
            </w:r>
          </w:p>
        </w:tc>
        <w:tc>
          <w:tcPr>
            <w:tcW w:w="1706" w:type="dxa"/>
            <w:vAlign w:val="center"/>
          </w:tcPr>
          <w:p w14:paraId="61EE1B14" w14:textId="77777777" w:rsidR="00C97237" w:rsidRDefault="00000000">
            <w:pPr>
              <w:widowControl/>
              <w:spacing w:line="600" w:lineRule="exact"/>
              <w:jc w:val="center"/>
              <w:rPr>
                <w:rFonts w:ascii="黑体" w:eastAsia="黑体" w:hAnsi="宋体" w:cs="黑体"/>
                <w:color w:val="000000"/>
                <w:kern w:val="0"/>
                <w:sz w:val="30"/>
                <w:szCs w:val="30"/>
                <w:lang w:bidi="ar"/>
              </w:rPr>
            </w:pPr>
            <w:r>
              <w:rPr>
                <w:rFonts w:ascii="黑体" w:eastAsia="黑体" w:hAnsi="宋体" w:cs="黑体" w:hint="eastAsia"/>
                <w:color w:val="000000"/>
                <w:kern w:val="0"/>
                <w:sz w:val="30"/>
                <w:szCs w:val="30"/>
                <w:lang w:bidi="ar"/>
              </w:rPr>
              <w:t>区目标</w:t>
            </w:r>
          </w:p>
        </w:tc>
      </w:tr>
      <w:tr w:rsidR="00C97237" w14:paraId="03BF6AFE" w14:textId="77777777">
        <w:tc>
          <w:tcPr>
            <w:tcW w:w="1703" w:type="dxa"/>
            <w:vAlign w:val="center"/>
          </w:tcPr>
          <w:p w14:paraId="1FD643DC"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劳动人事争议仲裁结案率</w:t>
            </w:r>
          </w:p>
        </w:tc>
        <w:tc>
          <w:tcPr>
            <w:tcW w:w="1703" w:type="dxa"/>
            <w:vAlign w:val="center"/>
          </w:tcPr>
          <w:p w14:paraId="79F604A4"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92%</w:t>
            </w:r>
          </w:p>
        </w:tc>
        <w:tc>
          <w:tcPr>
            <w:tcW w:w="1703" w:type="dxa"/>
            <w:vAlign w:val="center"/>
          </w:tcPr>
          <w:p w14:paraId="6E1D10D8"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92%</w:t>
            </w:r>
          </w:p>
        </w:tc>
        <w:tc>
          <w:tcPr>
            <w:tcW w:w="1703" w:type="dxa"/>
            <w:vAlign w:val="center"/>
          </w:tcPr>
          <w:p w14:paraId="6C1C25AD"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92%</w:t>
            </w:r>
          </w:p>
        </w:tc>
        <w:tc>
          <w:tcPr>
            <w:tcW w:w="1706" w:type="dxa"/>
            <w:vAlign w:val="center"/>
          </w:tcPr>
          <w:p w14:paraId="0EDE5DC1"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92%</w:t>
            </w:r>
          </w:p>
        </w:tc>
      </w:tr>
      <w:tr w:rsidR="00C97237" w14:paraId="1B89F3F0" w14:textId="77777777">
        <w:tc>
          <w:tcPr>
            <w:tcW w:w="1703" w:type="dxa"/>
            <w:vAlign w:val="center"/>
          </w:tcPr>
          <w:p w14:paraId="61783663"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劳动保障监察举报投诉案件结案率</w:t>
            </w:r>
          </w:p>
        </w:tc>
        <w:tc>
          <w:tcPr>
            <w:tcW w:w="1703" w:type="dxa"/>
            <w:vAlign w:val="center"/>
          </w:tcPr>
          <w:p w14:paraId="5BCB62EF"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100%</w:t>
            </w:r>
          </w:p>
        </w:tc>
        <w:tc>
          <w:tcPr>
            <w:tcW w:w="1703" w:type="dxa"/>
            <w:vAlign w:val="center"/>
          </w:tcPr>
          <w:p w14:paraId="249F450A"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98%</w:t>
            </w:r>
          </w:p>
        </w:tc>
        <w:tc>
          <w:tcPr>
            <w:tcW w:w="1703" w:type="dxa"/>
            <w:vAlign w:val="center"/>
          </w:tcPr>
          <w:p w14:paraId="0D285EC9"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100%</w:t>
            </w:r>
          </w:p>
        </w:tc>
        <w:tc>
          <w:tcPr>
            <w:tcW w:w="1706" w:type="dxa"/>
            <w:vAlign w:val="center"/>
          </w:tcPr>
          <w:p w14:paraId="60C909CD" w14:textId="77777777" w:rsidR="00C97237" w:rsidRDefault="00000000">
            <w:pPr>
              <w:widowControl/>
              <w:jc w:val="center"/>
              <w:rPr>
                <w:rFonts w:ascii="仿宋" w:eastAsia="仿宋" w:hAnsi="仿宋" w:cs="仿宋"/>
                <w:color w:val="000000"/>
                <w:kern w:val="0"/>
                <w:sz w:val="24"/>
                <w:lang w:bidi="ar"/>
              </w:rPr>
            </w:pPr>
            <w:r>
              <w:rPr>
                <w:rFonts w:ascii="仿宋" w:eastAsia="仿宋" w:hAnsi="仿宋" w:cs="仿宋" w:hint="eastAsia"/>
                <w:color w:val="000000"/>
                <w:kern w:val="0"/>
                <w:sz w:val="24"/>
                <w:lang w:bidi="ar"/>
              </w:rPr>
              <w:t>100%</w:t>
            </w:r>
          </w:p>
        </w:tc>
      </w:tr>
    </w:tbl>
    <w:p w14:paraId="165FF856" w14:textId="77777777" w:rsidR="00C97237" w:rsidRDefault="00000000">
      <w:pPr>
        <w:widowControl/>
        <w:spacing w:line="600" w:lineRule="exact"/>
        <w:ind w:firstLineChars="200" w:firstLine="640"/>
        <w:rPr>
          <w:rFonts w:ascii="黑体" w:eastAsia="黑体" w:hAnsi="黑体" w:cs="黑体"/>
          <w:sz w:val="32"/>
          <w:szCs w:val="32"/>
        </w:rPr>
      </w:pPr>
      <w:r>
        <w:rPr>
          <w:rFonts w:ascii="黑体" w:eastAsia="黑体" w:hAnsi="黑体" w:cs="黑体" w:hint="eastAsia"/>
          <w:color w:val="000000"/>
          <w:kern w:val="0"/>
          <w:sz w:val="32"/>
          <w:szCs w:val="32"/>
          <w:lang w:bidi="ar"/>
        </w:rPr>
        <w:t xml:space="preserve">五、工作要求 </w:t>
      </w:r>
    </w:p>
    <w:p w14:paraId="7AC6ACEB"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 xml:space="preserve">（一）加强组织领导。完善工作推进机制，凝聚工作力量，精准施策，持续提升劳动力市场监管水平，定期研究工作推进中的重大问题，做好政策措施细化、任务推进等工作，打通堵点难点，抓好各项工作落地落实。 </w:t>
      </w:r>
    </w:p>
    <w:p w14:paraId="32E49D9F"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t>（二）强化工作职责。要围绕方案明确的目标任务，聚焦实际问题，列出清单、挂账推进，明确具体责任人，层层压实责任。要加强督导检查，及时跟踪问效，确保各项任务有序推进、按时完成。</w:t>
      </w:r>
    </w:p>
    <w:p w14:paraId="077FA61F"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color w:val="000000"/>
          <w:kern w:val="0"/>
          <w:sz w:val="32"/>
          <w:szCs w:val="32"/>
          <w:lang w:bidi="ar"/>
        </w:rPr>
        <w:lastRenderedPageBreak/>
        <w:t>（三）注重宣传引导。要注重听取企业及群众的意见建议，通过政策宣讲、专题培训及新闻媒体、网站、微信等，加大政策解读，宣传典型经验和创新做法，营造优化营商环境的良好氛围。</w:t>
      </w:r>
    </w:p>
    <w:p w14:paraId="4714A012" w14:textId="77777777" w:rsidR="00C97237" w:rsidRDefault="00C97237">
      <w:pPr>
        <w:widowControl/>
        <w:spacing w:line="600" w:lineRule="exact"/>
        <w:ind w:firstLineChars="200" w:firstLine="640"/>
        <w:rPr>
          <w:rFonts w:ascii="仿宋" w:eastAsia="仿宋" w:hAnsi="仿宋" w:cs="仿宋"/>
          <w:color w:val="000000"/>
          <w:kern w:val="0"/>
          <w:sz w:val="32"/>
          <w:szCs w:val="32"/>
          <w:lang w:bidi="ar"/>
        </w:rPr>
      </w:pPr>
    </w:p>
    <w:p w14:paraId="7D4D9DD7" w14:textId="77777777" w:rsidR="00C97237" w:rsidRDefault="00C97237">
      <w:pPr>
        <w:widowControl/>
        <w:spacing w:line="580" w:lineRule="exact"/>
        <w:rPr>
          <w:rFonts w:ascii="黑体" w:eastAsia="黑体" w:hAnsi="黑体" w:cs="黑体"/>
          <w:color w:val="000000"/>
          <w:sz w:val="44"/>
          <w:szCs w:val="44"/>
        </w:rPr>
      </w:pPr>
    </w:p>
    <w:p w14:paraId="25AD3000" w14:textId="77777777" w:rsidR="00C97237" w:rsidRDefault="00C97237">
      <w:pPr>
        <w:widowControl/>
        <w:spacing w:line="580" w:lineRule="exact"/>
        <w:rPr>
          <w:rFonts w:ascii="黑体" w:eastAsia="黑体" w:hAnsi="黑体" w:cs="黑体"/>
          <w:color w:val="000000"/>
          <w:sz w:val="44"/>
          <w:szCs w:val="44"/>
        </w:rPr>
      </w:pPr>
    </w:p>
    <w:p w14:paraId="00174340" w14:textId="77777777" w:rsidR="00C97237" w:rsidRDefault="00C97237">
      <w:pPr>
        <w:widowControl/>
        <w:spacing w:line="580" w:lineRule="exact"/>
        <w:rPr>
          <w:rFonts w:ascii="黑体" w:eastAsia="黑体" w:hAnsi="黑体" w:cs="黑体"/>
          <w:color w:val="000000"/>
          <w:sz w:val="44"/>
          <w:szCs w:val="44"/>
        </w:rPr>
      </w:pPr>
    </w:p>
    <w:p w14:paraId="177B9A29" w14:textId="77777777" w:rsidR="00C97237" w:rsidRDefault="00C97237">
      <w:pPr>
        <w:widowControl/>
        <w:spacing w:line="580" w:lineRule="exact"/>
        <w:rPr>
          <w:rFonts w:ascii="黑体" w:eastAsia="黑体" w:hAnsi="黑体" w:cs="黑体"/>
          <w:color w:val="000000"/>
          <w:sz w:val="44"/>
          <w:szCs w:val="44"/>
        </w:rPr>
      </w:pPr>
    </w:p>
    <w:p w14:paraId="7BD5DB4D" w14:textId="77777777" w:rsidR="00C97237" w:rsidRDefault="00C97237">
      <w:pPr>
        <w:widowControl/>
        <w:spacing w:line="580" w:lineRule="exact"/>
        <w:rPr>
          <w:rFonts w:ascii="黑体" w:eastAsia="黑体" w:hAnsi="黑体" w:cs="黑体"/>
          <w:color w:val="000000"/>
          <w:sz w:val="44"/>
          <w:szCs w:val="44"/>
        </w:rPr>
      </w:pPr>
    </w:p>
    <w:p w14:paraId="564B209C" w14:textId="77777777" w:rsidR="00C97237" w:rsidRDefault="00C97237">
      <w:pPr>
        <w:widowControl/>
        <w:spacing w:line="580" w:lineRule="exact"/>
        <w:rPr>
          <w:rFonts w:ascii="黑体" w:eastAsia="黑体" w:hAnsi="黑体" w:cs="黑体"/>
          <w:color w:val="000000"/>
          <w:sz w:val="44"/>
          <w:szCs w:val="44"/>
        </w:rPr>
      </w:pPr>
    </w:p>
    <w:p w14:paraId="1B2EF03E" w14:textId="77777777" w:rsidR="00C97237" w:rsidRDefault="00C97237">
      <w:pPr>
        <w:widowControl/>
        <w:spacing w:line="580" w:lineRule="exact"/>
        <w:rPr>
          <w:rFonts w:ascii="黑体" w:eastAsia="黑体" w:hAnsi="黑体" w:cs="黑体"/>
          <w:color w:val="000000"/>
          <w:sz w:val="44"/>
          <w:szCs w:val="44"/>
        </w:rPr>
      </w:pPr>
    </w:p>
    <w:p w14:paraId="72C33FC1" w14:textId="77777777" w:rsidR="00C97237" w:rsidRDefault="00C97237">
      <w:pPr>
        <w:widowControl/>
        <w:spacing w:line="580" w:lineRule="exact"/>
        <w:rPr>
          <w:rFonts w:ascii="黑体" w:eastAsia="黑体" w:hAnsi="黑体" w:cs="黑体"/>
          <w:color w:val="000000"/>
          <w:sz w:val="44"/>
          <w:szCs w:val="44"/>
        </w:rPr>
      </w:pPr>
    </w:p>
    <w:p w14:paraId="4771C906" w14:textId="77777777" w:rsidR="00C97237" w:rsidRDefault="00C97237">
      <w:pPr>
        <w:widowControl/>
        <w:spacing w:line="580" w:lineRule="exact"/>
        <w:rPr>
          <w:rFonts w:ascii="黑体" w:eastAsia="黑体" w:hAnsi="黑体" w:cs="黑体"/>
          <w:color w:val="000000"/>
          <w:sz w:val="44"/>
          <w:szCs w:val="44"/>
        </w:rPr>
      </w:pPr>
    </w:p>
    <w:p w14:paraId="7339B308" w14:textId="77777777" w:rsidR="00C97237" w:rsidRDefault="00C97237">
      <w:pPr>
        <w:widowControl/>
        <w:spacing w:line="580" w:lineRule="exact"/>
        <w:rPr>
          <w:rFonts w:ascii="黑体" w:eastAsia="黑体" w:hAnsi="黑体" w:cs="黑体"/>
          <w:color w:val="000000"/>
          <w:sz w:val="44"/>
          <w:szCs w:val="44"/>
        </w:rPr>
      </w:pPr>
    </w:p>
    <w:p w14:paraId="07964188" w14:textId="77777777" w:rsidR="00C97237" w:rsidRDefault="00C97237">
      <w:pPr>
        <w:widowControl/>
        <w:spacing w:line="580" w:lineRule="exact"/>
        <w:rPr>
          <w:rFonts w:ascii="黑体" w:eastAsia="黑体" w:hAnsi="黑体" w:cs="黑体"/>
          <w:color w:val="000000"/>
          <w:sz w:val="44"/>
          <w:szCs w:val="44"/>
        </w:rPr>
      </w:pPr>
    </w:p>
    <w:p w14:paraId="2A5CA931" w14:textId="77777777" w:rsidR="00C97237" w:rsidRDefault="00C97237">
      <w:pPr>
        <w:widowControl/>
        <w:spacing w:line="580" w:lineRule="exact"/>
        <w:rPr>
          <w:rFonts w:ascii="黑体" w:eastAsia="黑体" w:hAnsi="黑体" w:cs="黑体"/>
          <w:color w:val="000000"/>
          <w:sz w:val="44"/>
          <w:szCs w:val="44"/>
        </w:rPr>
      </w:pPr>
    </w:p>
    <w:p w14:paraId="3FD38BC7" w14:textId="77777777" w:rsidR="00C97237" w:rsidRDefault="00C97237">
      <w:pPr>
        <w:widowControl/>
        <w:spacing w:line="580" w:lineRule="exact"/>
        <w:rPr>
          <w:rFonts w:ascii="黑体" w:eastAsia="黑体" w:hAnsi="黑体" w:cs="黑体"/>
          <w:color w:val="000000"/>
          <w:sz w:val="44"/>
          <w:szCs w:val="44"/>
        </w:rPr>
      </w:pPr>
    </w:p>
    <w:p w14:paraId="31A61601" w14:textId="77777777" w:rsidR="00C97237" w:rsidRDefault="00C97237">
      <w:pPr>
        <w:widowControl/>
        <w:spacing w:line="580" w:lineRule="exact"/>
        <w:rPr>
          <w:rFonts w:ascii="黑体" w:eastAsia="黑体" w:hAnsi="黑体" w:cs="黑体"/>
          <w:color w:val="000000"/>
          <w:sz w:val="44"/>
          <w:szCs w:val="44"/>
        </w:rPr>
      </w:pPr>
    </w:p>
    <w:p w14:paraId="4BA6ED7E" w14:textId="77777777" w:rsidR="00C97237" w:rsidRDefault="00C97237">
      <w:pPr>
        <w:widowControl/>
        <w:spacing w:line="580" w:lineRule="exact"/>
        <w:rPr>
          <w:rFonts w:ascii="黑体" w:eastAsia="黑体" w:hAnsi="黑体" w:cs="黑体"/>
          <w:color w:val="000000"/>
          <w:sz w:val="44"/>
          <w:szCs w:val="44"/>
        </w:rPr>
      </w:pPr>
    </w:p>
    <w:p w14:paraId="5DF1DF67" w14:textId="77777777" w:rsidR="00C97237" w:rsidRDefault="00C97237">
      <w:pPr>
        <w:widowControl/>
        <w:spacing w:line="580" w:lineRule="exact"/>
        <w:rPr>
          <w:rFonts w:ascii="黑体" w:eastAsia="黑体" w:hAnsi="黑体" w:cs="黑体"/>
          <w:color w:val="000000"/>
          <w:sz w:val="44"/>
          <w:szCs w:val="44"/>
        </w:rPr>
      </w:pPr>
    </w:p>
    <w:p w14:paraId="23144A16" w14:textId="77777777" w:rsidR="00C97237" w:rsidRDefault="00C97237">
      <w:pPr>
        <w:widowControl/>
        <w:spacing w:line="580" w:lineRule="exact"/>
        <w:rPr>
          <w:rFonts w:ascii="黑体" w:eastAsia="黑体" w:hAnsi="黑体" w:cs="黑体"/>
          <w:color w:val="000000"/>
          <w:sz w:val="44"/>
          <w:szCs w:val="44"/>
        </w:rPr>
      </w:pPr>
    </w:p>
    <w:p w14:paraId="5C6AF566" w14:textId="77777777" w:rsidR="00C97237" w:rsidRDefault="00C97237">
      <w:pPr>
        <w:widowControl/>
        <w:spacing w:line="580" w:lineRule="exact"/>
        <w:rPr>
          <w:rFonts w:ascii="黑体" w:eastAsia="黑体" w:hAnsi="黑体" w:cs="黑体"/>
          <w:color w:val="000000"/>
          <w:sz w:val="44"/>
          <w:szCs w:val="44"/>
        </w:rPr>
      </w:pPr>
    </w:p>
    <w:p w14:paraId="0E5527DE" w14:textId="77777777" w:rsidR="00C97237" w:rsidRDefault="00000000">
      <w:pPr>
        <w:widowControl/>
        <w:spacing w:line="580" w:lineRule="exact"/>
        <w:jc w:val="left"/>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lastRenderedPageBreak/>
        <w:t>附件21</w:t>
      </w:r>
    </w:p>
    <w:p w14:paraId="73E73302" w14:textId="77777777" w:rsidR="00C97237" w:rsidRDefault="00000000">
      <w:pPr>
        <w:widowControl/>
        <w:spacing w:line="58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t>偃师区企业权益保护提升专项</w:t>
      </w:r>
    </w:p>
    <w:p w14:paraId="079CB8E2" w14:textId="77777777" w:rsidR="00C97237" w:rsidRDefault="00000000">
      <w:pPr>
        <w:widowControl/>
        <w:spacing w:line="580" w:lineRule="exact"/>
        <w:jc w:val="center"/>
        <w:rPr>
          <w:rFonts w:ascii="黑体" w:eastAsia="黑体" w:hAnsi="黑体" w:cs="黑体"/>
          <w:color w:val="000000"/>
          <w:kern w:val="0"/>
          <w:sz w:val="44"/>
          <w:szCs w:val="44"/>
          <w:lang w:bidi="ar"/>
        </w:rPr>
      </w:pPr>
      <w:r>
        <w:rPr>
          <w:rFonts w:ascii="黑体" w:eastAsia="黑体" w:hAnsi="黑体" w:cs="黑体" w:hint="eastAsia"/>
          <w:color w:val="000000"/>
          <w:kern w:val="0"/>
          <w:sz w:val="44"/>
          <w:szCs w:val="44"/>
          <w:lang w:bidi="ar"/>
        </w:rPr>
        <w:t>行动方案</w:t>
      </w:r>
    </w:p>
    <w:p w14:paraId="226D71F9" w14:textId="77777777" w:rsidR="00C97237" w:rsidRDefault="00C97237">
      <w:pPr>
        <w:pStyle w:val="Default"/>
        <w:spacing w:line="580" w:lineRule="exact"/>
        <w:rPr>
          <w:rFonts w:ascii="仿宋" w:eastAsia="仿宋" w:hAnsi="仿宋" w:cs="仿宋"/>
          <w:sz w:val="32"/>
          <w:szCs w:val="32"/>
        </w:rPr>
      </w:pPr>
    </w:p>
    <w:p w14:paraId="5BBA15F4"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为持续优化营商环境，进一步提升我区法治化营商环境，结合《河南省营商环境优化提升行动方案（2022版）》（豫营商〔2022〕1号）及偃师区有关文件精神，制定本方案。 </w:t>
      </w:r>
    </w:p>
    <w:p w14:paraId="0CE909D6"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 xml:space="preserve">一、总体要求 </w:t>
      </w:r>
    </w:p>
    <w:p w14:paraId="632B0233"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坚持以习近平新时代中国特色社会主义思想为引领，全面贯彻《河南省优化营商环境条例》，把提升“企业权益”指标作为一项政治任务，作为服务大局的重要抓手，对标先进，聚焦市场化、法治化、国际化，切实提升市场主体和群众满意度，推动我区法治化营商环境提升工作。 </w:t>
      </w:r>
    </w:p>
    <w:p w14:paraId="040045DC"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二、工作目标 </w:t>
      </w:r>
    </w:p>
    <w:p w14:paraId="1984A88B"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影响营商环境的执法司法突出问题得到有效解决，对市场主体的司法保障有效增强，执法司法质效得到有效提升，服务企业发展的工作机制进一步完善，法治化营商环境评价相关指标进一步提高，人民群众安全感和满意度进一步提升。 </w:t>
      </w:r>
    </w:p>
    <w:p w14:paraId="1142A900"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三、工作举措 </w:t>
      </w:r>
    </w:p>
    <w:p w14:paraId="455A29EF" w14:textId="77777777" w:rsidR="00C97237" w:rsidRDefault="00000000">
      <w:pPr>
        <w:widowControl/>
        <w:spacing w:line="580" w:lineRule="exact"/>
        <w:ind w:firstLineChars="200" w:firstLine="640"/>
        <w:jc w:val="left"/>
        <w:rPr>
          <w:rFonts w:ascii="仿宋" w:eastAsia="仿宋" w:hAnsi="仿宋" w:cs="仿宋"/>
          <w:b/>
          <w:bCs/>
          <w:color w:val="000000"/>
          <w:kern w:val="0"/>
          <w:sz w:val="32"/>
          <w:szCs w:val="32"/>
          <w:lang w:bidi="ar"/>
        </w:rPr>
      </w:pPr>
      <w:r>
        <w:rPr>
          <w:rFonts w:ascii="仿宋" w:eastAsia="仿宋" w:hAnsi="仿宋" w:cs="仿宋" w:hint="eastAsia"/>
          <w:color w:val="000000"/>
          <w:kern w:val="0"/>
          <w:sz w:val="32"/>
          <w:szCs w:val="32"/>
          <w:lang w:bidi="ar"/>
        </w:rPr>
        <w:t>（一）推进科学立法、民主立法、依法立法，进一步提高立法质量和效率。</w:t>
      </w:r>
    </w:p>
    <w:p w14:paraId="2F0793DC"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lastRenderedPageBreak/>
        <w:t xml:space="preserve">不断拓宽社会公众有序参与立法的途径，在立法联系点试点工作基础上持续推进，完成基层立法联系点的发文公布和授牌工作。加快推进基层立法联系点建设工作，充分发挥基层立法点立足基层的优势，倾听群众诉求，收集群众、企业和其他组织关于立法工作的意见和建议，保障重大决策的民主性与科学性，为优化营商环境工作提供法治基础。 </w:t>
      </w:r>
    </w:p>
    <w:p w14:paraId="50C03730"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79120539" w14:textId="77777777" w:rsidR="00C97237" w:rsidRDefault="00000000">
      <w:pPr>
        <w:spacing w:line="580" w:lineRule="exact"/>
        <w:textAlignment w:val="baseline"/>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责任单位：区委政法委、区人大办公室</w:t>
      </w:r>
    </w:p>
    <w:p w14:paraId="435F6547" w14:textId="77777777" w:rsidR="00C97237" w:rsidRDefault="00000000">
      <w:pPr>
        <w:numPr>
          <w:ilvl w:val="0"/>
          <w:numId w:val="9"/>
        </w:numPr>
        <w:spacing w:line="580" w:lineRule="exact"/>
        <w:ind w:left="-13" w:firstLine="643"/>
        <w:textAlignment w:val="baseline"/>
        <w:rPr>
          <w:rFonts w:ascii="仿宋" w:eastAsia="仿宋" w:hAnsi="仿宋" w:cs="仿宋"/>
          <w:sz w:val="32"/>
          <w:szCs w:val="32"/>
        </w:rPr>
      </w:pPr>
      <w:r>
        <w:rPr>
          <w:rFonts w:ascii="仿宋" w:eastAsia="仿宋" w:hAnsi="仿宋" w:cs="仿宋" w:hint="eastAsia"/>
          <w:sz w:val="32"/>
          <w:szCs w:val="32"/>
        </w:rPr>
        <w:t>加强法制宣传，畅通涉民营企业案件线上线下受理渠道，全面提升办案质效。</w:t>
      </w:r>
    </w:p>
    <w:p w14:paraId="3DBD1B27" w14:textId="77777777" w:rsidR="00C97237" w:rsidRDefault="00000000">
      <w:pPr>
        <w:numPr>
          <w:ilvl w:val="0"/>
          <w:numId w:val="10"/>
        </w:numPr>
        <w:spacing w:line="580" w:lineRule="exact"/>
        <w:ind w:firstLineChars="200" w:firstLine="643"/>
        <w:textAlignment w:val="baseline"/>
        <w:rPr>
          <w:rFonts w:ascii="仿宋" w:eastAsia="仿宋" w:hAnsi="仿宋" w:cs="仿宋"/>
          <w:b/>
          <w:bCs/>
          <w:sz w:val="32"/>
          <w:szCs w:val="32"/>
        </w:rPr>
      </w:pPr>
      <w:r>
        <w:rPr>
          <w:rFonts w:ascii="仿宋" w:eastAsia="仿宋" w:hAnsi="仿宋" w:cs="仿宋" w:hint="eastAsia"/>
          <w:b/>
          <w:bCs/>
          <w:sz w:val="32"/>
          <w:szCs w:val="32"/>
        </w:rPr>
        <w:t>加强涉企法制宣传。</w:t>
      </w:r>
      <w:r>
        <w:rPr>
          <w:rFonts w:ascii="仿宋" w:eastAsia="仿宋" w:hAnsi="仿宋" w:cs="仿宋" w:hint="eastAsia"/>
          <w:color w:val="000000"/>
          <w:kern w:val="0"/>
          <w:sz w:val="32"/>
          <w:szCs w:val="32"/>
          <w:lang w:bidi="ar"/>
        </w:rPr>
        <w:t>将法律进企业作为“八五”普法重点内容，统筹协调推进，组建普法宣传队伍，结合“四官”服务基层活动，每月定期开展以“送法进万企，普法助发展”为主题的涉企法治宣传活动，持续加大对“两条例”等法律法规的宣传力度，促进企业培育法治文化，提升企业经营管理人员和职工的依法治企能力和依法经营水平。</w:t>
      </w:r>
    </w:p>
    <w:p w14:paraId="1AC77027" w14:textId="77777777" w:rsidR="00C97237" w:rsidRDefault="00000000">
      <w:pPr>
        <w:numPr>
          <w:ilvl w:val="0"/>
          <w:numId w:val="10"/>
        </w:numPr>
        <w:spacing w:line="580" w:lineRule="exact"/>
        <w:ind w:firstLineChars="200" w:firstLine="643"/>
        <w:textAlignment w:val="baseline"/>
        <w:rPr>
          <w:rFonts w:ascii="仿宋" w:eastAsia="仿宋" w:hAnsi="仿宋" w:cs="仿宋"/>
          <w:sz w:val="32"/>
          <w:szCs w:val="32"/>
        </w:rPr>
      </w:pPr>
      <w:r>
        <w:rPr>
          <w:rFonts w:ascii="仿宋" w:eastAsia="仿宋" w:hAnsi="仿宋" w:cs="仿宋" w:hint="eastAsia"/>
          <w:b/>
          <w:bCs/>
          <w:sz w:val="32"/>
          <w:szCs w:val="32"/>
        </w:rPr>
        <w:t>畅通涉民营企业案件线上受理渠道。</w:t>
      </w:r>
      <w:r>
        <w:rPr>
          <w:rFonts w:ascii="仿宋" w:eastAsia="仿宋" w:hAnsi="仿宋" w:cs="仿宋" w:hint="eastAsia"/>
          <w:sz w:val="32"/>
          <w:szCs w:val="32"/>
        </w:rPr>
        <w:t>聚合“两网一微”媒介资源，保障12309中国检察网、全国检察机关网上信访2.0信息系统、偃师检察微信公众号24小时自助检察服务系统畅通，24小时受理涉民营企业权益案件。</w:t>
      </w:r>
    </w:p>
    <w:p w14:paraId="7026387E" w14:textId="77777777" w:rsidR="00C97237" w:rsidRDefault="00000000">
      <w:pPr>
        <w:numPr>
          <w:ilvl w:val="0"/>
          <w:numId w:val="10"/>
        </w:numPr>
        <w:spacing w:line="580" w:lineRule="exact"/>
        <w:ind w:firstLineChars="200" w:firstLine="643"/>
        <w:textAlignment w:val="baseline"/>
        <w:rPr>
          <w:rFonts w:ascii="仿宋" w:eastAsia="仿宋" w:hAnsi="仿宋" w:cs="仿宋"/>
          <w:sz w:val="32"/>
          <w:szCs w:val="32"/>
        </w:rPr>
      </w:pPr>
      <w:r>
        <w:rPr>
          <w:rFonts w:ascii="仿宋" w:eastAsia="仿宋" w:hAnsi="仿宋" w:cs="仿宋" w:hint="eastAsia"/>
          <w:b/>
          <w:bCs/>
          <w:sz w:val="32"/>
          <w:szCs w:val="32"/>
        </w:rPr>
        <w:t>设立涉民营企业案件线下受理专门通道。</w:t>
      </w:r>
      <w:r>
        <w:rPr>
          <w:rFonts w:ascii="仿宋" w:eastAsia="仿宋" w:hAnsi="仿宋" w:cs="仿宋" w:hint="eastAsia"/>
          <w:sz w:val="32"/>
          <w:szCs w:val="32"/>
        </w:rPr>
        <w:t>（1）在12309检察服务中心设立民营企业保护办公室和民营企业接待窗口。对损害民营企业及民营经济人士合法权益的控告、申诉，实行快速流转、专人负责、移送转办，为企业寻求法</w:t>
      </w:r>
      <w:r>
        <w:rPr>
          <w:rFonts w:ascii="仿宋" w:eastAsia="仿宋" w:hAnsi="仿宋" w:cs="仿宋" w:hint="eastAsia"/>
          <w:sz w:val="32"/>
          <w:szCs w:val="32"/>
        </w:rPr>
        <w:lastRenderedPageBreak/>
        <w:t>律咨询、权利救济提供更为便捷高效的服务。民营企业对办理结果不满意的，民营企业接待窗口督促内设机构跟踪办理。（2）承办部门应当自收到控申部门移送的涉民营企业信访事项1个工作日内完成二次程序性告知，并在1个月内答复办理程序或者办理结果，延长办案期间最多不得超过1个月，保证案件办理“三个一”。（3）同时利用网上办信2.0系统短信推送及“偃师检察”微信公众号、远程视频接访等“互联网+”的方式及时快速答复民营企业信访人，让信息多走路、让企业少跑腿。 对于涉企案件的辩护律师、诉讼代理人的接待事项，实行“优先接待、优先办理”。</w:t>
      </w:r>
    </w:p>
    <w:p w14:paraId="0552400D" w14:textId="77777777" w:rsidR="00C97237" w:rsidRDefault="00000000">
      <w:pPr>
        <w:widowControl/>
        <w:numPr>
          <w:ilvl w:val="0"/>
          <w:numId w:val="10"/>
        </w:numPr>
        <w:spacing w:line="580" w:lineRule="exact"/>
        <w:ind w:firstLineChars="200" w:firstLine="643"/>
        <w:jc w:val="left"/>
        <w:rPr>
          <w:rFonts w:ascii="仿宋" w:eastAsia="仿宋" w:hAnsi="仿宋" w:cs="仿宋"/>
          <w:bCs/>
          <w:spacing w:val="15"/>
          <w:sz w:val="32"/>
          <w:szCs w:val="32"/>
        </w:rPr>
      </w:pPr>
      <w:r>
        <w:rPr>
          <w:rFonts w:ascii="仿宋" w:eastAsia="仿宋" w:hAnsi="仿宋" w:cs="仿宋" w:hint="eastAsia"/>
          <w:b/>
          <w:bCs/>
          <w:sz w:val="32"/>
          <w:szCs w:val="32"/>
        </w:rPr>
        <w:t>强化民营企业案件办案力量和听证力度。</w:t>
      </w:r>
      <w:r>
        <w:rPr>
          <w:rFonts w:ascii="仿宋" w:eastAsia="仿宋" w:hAnsi="仿宋" w:cs="仿宋" w:hint="eastAsia"/>
          <w:bCs/>
          <w:sz w:val="32"/>
          <w:szCs w:val="32"/>
        </w:rPr>
        <w:t>整合优质资源，成立“护航民营经济发展办案团队”，围绕“四大检察”的办案特点，</w:t>
      </w:r>
      <w:r>
        <w:rPr>
          <w:rFonts w:ascii="仿宋" w:eastAsia="仿宋" w:hAnsi="仿宋" w:cs="仿宋" w:hint="eastAsia"/>
          <w:bCs/>
          <w:spacing w:val="15"/>
          <w:sz w:val="32"/>
          <w:szCs w:val="32"/>
        </w:rPr>
        <w:t>按照“能听证、尽听证”的原则，</w:t>
      </w:r>
      <w:r>
        <w:rPr>
          <w:rFonts w:ascii="仿宋" w:eastAsia="仿宋" w:hAnsi="仿宋" w:cs="仿宋" w:hint="eastAsia"/>
          <w:bCs/>
          <w:sz w:val="32"/>
          <w:szCs w:val="32"/>
        </w:rPr>
        <w:t>采取“听证+护企”、“听证+救助”等方式，</w:t>
      </w:r>
      <w:r>
        <w:rPr>
          <w:rFonts w:ascii="仿宋" w:eastAsia="仿宋" w:hAnsi="仿宋" w:cs="仿宋" w:hint="eastAsia"/>
          <w:bCs/>
          <w:spacing w:val="15"/>
          <w:sz w:val="32"/>
          <w:szCs w:val="32"/>
        </w:rPr>
        <w:t>将公开听证作为常态化办案机制在办理民营企业案件中推进落实，努力化解矛盾，</w:t>
      </w:r>
      <w:r>
        <w:rPr>
          <w:rFonts w:ascii="仿宋" w:eastAsia="仿宋" w:hAnsi="仿宋" w:cs="仿宋" w:hint="eastAsia"/>
          <w:bCs/>
          <w:sz w:val="32"/>
          <w:szCs w:val="32"/>
        </w:rPr>
        <w:t>保证办案质量，</w:t>
      </w:r>
      <w:r>
        <w:rPr>
          <w:rFonts w:ascii="仿宋" w:eastAsia="仿宋" w:hAnsi="仿宋" w:cs="仿宋" w:hint="eastAsia"/>
          <w:bCs/>
          <w:spacing w:val="15"/>
          <w:sz w:val="32"/>
          <w:szCs w:val="32"/>
        </w:rPr>
        <w:t>全面提升保护民营企业的效果。</w:t>
      </w:r>
    </w:p>
    <w:p w14:paraId="3F6FD304"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3FFF254F" w14:textId="77777777" w:rsidR="00C97237" w:rsidRDefault="00000000">
      <w:pPr>
        <w:spacing w:line="580" w:lineRule="exact"/>
        <w:textAlignment w:val="baseline"/>
        <w:rPr>
          <w:rFonts w:ascii="仿宋" w:eastAsia="仿宋" w:hAnsi="仿宋" w:cs="仿宋"/>
          <w:color w:val="000000"/>
          <w:sz w:val="32"/>
          <w:szCs w:val="32"/>
        </w:rPr>
      </w:pPr>
      <w:r>
        <w:rPr>
          <w:rFonts w:ascii="仿宋" w:eastAsia="仿宋" w:hAnsi="仿宋" w:cs="仿宋" w:hint="eastAsia"/>
          <w:color w:val="000000"/>
          <w:sz w:val="32"/>
          <w:szCs w:val="32"/>
        </w:rPr>
        <w:t>责任部门</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区人民检察院、区司法局</w:t>
      </w:r>
    </w:p>
    <w:p w14:paraId="3A470DE8" w14:textId="77777777" w:rsidR="00C97237" w:rsidRDefault="00000000">
      <w:pPr>
        <w:widowControl/>
        <w:spacing w:line="580" w:lineRule="exact"/>
        <w:jc w:val="left"/>
        <w:rPr>
          <w:rFonts w:ascii="仿宋" w:eastAsia="仿宋" w:hAnsi="仿宋" w:cs="仿宋"/>
          <w:b/>
          <w:bCs/>
          <w:color w:val="000000"/>
          <w:kern w:val="0"/>
          <w:sz w:val="32"/>
          <w:szCs w:val="32"/>
          <w:lang w:bidi="ar"/>
        </w:rPr>
      </w:pPr>
      <w:r>
        <w:rPr>
          <w:rFonts w:ascii="仿宋" w:eastAsia="仿宋" w:hAnsi="仿宋" w:cs="仿宋" w:hint="eastAsia"/>
          <w:b/>
          <w:bCs/>
          <w:color w:val="000000"/>
          <w:kern w:val="0"/>
          <w:sz w:val="32"/>
          <w:szCs w:val="32"/>
          <w:lang w:bidi="ar"/>
        </w:rPr>
        <w:t xml:space="preserve">   </w:t>
      </w:r>
      <w:r>
        <w:rPr>
          <w:rFonts w:ascii="仿宋" w:eastAsia="仿宋" w:hAnsi="仿宋" w:cs="仿宋" w:hint="eastAsia"/>
          <w:color w:val="000000"/>
          <w:kern w:val="0"/>
          <w:sz w:val="32"/>
          <w:szCs w:val="32"/>
          <w:lang w:bidi="ar"/>
        </w:rPr>
        <w:t>（三）严厉打击影响企业生产经营的犯罪行为。</w:t>
      </w:r>
    </w:p>
    <w:p w14:paraId="52ED5EB0"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强化挂牌督办、依法快捕快诉等措施，重点打击黑社会性质组织和恶势力犯罪团伙以暴力、胁迫等方式向企业收取“保护费”，欺行霸市、强揽工程、强迫交易、哄抬价格、阻扰施工、暴力威胁等影响企业正常生产经营的的犯罪行</w:t>
      </w:r>
      <w:r>
        <w:rPr>
          <w:rFonts w:ascii="仿宋" w:eastAsia="仿宋" w:hAnsi="仿宋" w:cs="仿宋" w:hint="eastAsia"/>
          <w:color w:val="000000"/>
          <w:kern w:val="0"/>
          <w:sz w:val="32"/>
          <w:szCs w:val="32"/>
          <w:lang w:bidi="ar"/>
        </w:rPr>
        <w:lastRenderedPageBreak/>
        <w:t xml:space="preserve">为。加大对扰乱市场经济秩序的黑恶势力犯罪及其“保护伞”的惩处力度，配合相关部门惩治网络黑灰产业链，强化源头治理。 </w:t>
      </w:r>
    </w:p>
    <w:p w14:paraId="775664DE"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48689E2C"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责任单位：区人民法院 、区人民检察院、区公安分局</w:t>
      </w:r>
    </w:p>
    <w:p w14:paraId="7088CBD5"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（四）坚持“少捕慎诉慎押”。</w:t>
      </w:r>
    </w:p>
    <w:p w14:paraId="4B00A004"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立足职能引导企业筑牢守法合 规经营底线，推动企业深化改革、加强创新，实现健康发展。对涉案企业人员，依法切实做到能不捕的不捕、能不诉的不诉。强化侦查监督平台运用，加强对侦查活动的监督，积极开展羁押必要性审查，对采取非羁押措施不影响案件办理的，及时变更强制措施，切实降低经济犯罪案件嫌疑人的羁押率。 </w:t>
      </w:r>
    </w:p>
    <w:p w14:paraId="72079A2F"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28B2EA06"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责任单位：区人民法院 、区人民检察院、区公安分局 </w:t>
      </w:r>
    </w:p>
    <w:p w14:paraId="72C89FD9"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（五）严格适用财产强制措施，健全多元化涉企纠纷化解机制。</w:t>
      </w:r>
    </w:p>
    <w:p w14:paraId="15A94677"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对涉案企业慎重使用查封、扣押、冻结等措施，严格遵循必要性和准确性原则，对确需采取查封措施的，严格区分合法财产和非法财产、个人财产与法人财产等界限，不得超越权限、范围、数额、时限，查封、扣押、冻结财产，坚决防止“一刀切”。加强对违法查封、扣押、冻结、处置涉案企业财物的法律监督，防止影响企业生产经营的连续性和稳定性。同时拓宽涉企纠纷调解渠道，</w:t>
      </w:r>
      <w:r>
        <w:rPr>
          <w:rFonts w:ascii="仿宋" w:eastAsia="仿宋" w:hAnsi="仿宋" w:cs="仿宋" w:hint="eastAsia"/>
          <w:sz w:val="32"/>
          <w:szCs w:val="32"/>
        </w:rPr>
        <w:t>结合全区行业发展实际，</w:t>
      </w:r>
      <w:r>
        <w:rPr>
          <w:rFonts w:ascii="仿宋" w:eastAsia="仿宋" w:hAnsi="仿宋" w:cs="仿宋" w:hint="eastAsia"/>
          <w:color w:val="000000"/>
          <w:kern w:val="0"/>
          <w:sz w:val="32"/>
          <w:szCs w:val="32"/>
          <w:lang w:bidi="ar"/>
        </w:rPr>
        <w:t>协调成立行业性调解组织，从法治化、实战化的角度定期开</w:t>
      </w:r>
      <w:r>
        <w:rPr>
          <w:rFonts w:ascii="仿宋" w:eastAsia="仿宋" w:hAnsi="仿宋" w:cs="仿宋" w:hint="eastAsia"/>
          <w:color w:val="000000"/>
          <w:kern w:val="0"/>
          <w:sz w:val="32"/>
          <w:szCs w:val="32"/>
          <w:lang w:bidi="ar"/>
        </w:rPr>
        <w:lastRenderedPageBreak/>
        <w:t>展技能培训和业务指导，确保涉企矛盾纠纷调解规范、及时、优质，最大限度的减少企业诉讼成本。</w:t>
      </w:r>
    </w:p>
    <w:p w14:paraId="1A00F5CF"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31E2D0FB"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责任单位：区人民法院 、区人民检察院、区公安分局、区司法局</w:t>
      </w:r>
    </w:p>
    <w:p w14:paraId="6577EB4C" w14:textId="77777777" w:rsidR="00C97237" w:rsidRDefault="00000000">
      <w:pPr>
        <w:widowControl/>
        <w:spacing w:line="580" w:lineRule="exact"/>
        <w:ind w:firstLineChars="200" w:firstLine="640"/>
        <w:jc w:val="left"/>
        <w:rPr>
          <w:rFonts w:ascii="仿宋" w:eastAsia="仿宋" w:hAnsi="仿宋" w:cs="仿宋"/>
          <w:b/>
          <w:bCs/>
          <w:color w:val="000000"/>
          <w:kern w:val="0"/>
          <w:sz w:val="32"/>
          <w:szCs w:val="32"/>
          <w:lang w:bidi="ar"/>
        </w:rPr>
      </w:pPr>
      <w:r>
        <w:rPr>
          <w:rFonts w:ascii="仿宋" w:eastAsia="仿宋" w:hAnsi="仿宋" w:cs="仿宋" w:hint="eastAsia"/>
          <w:color w:val="000000"/>
          <w:kern w:val="0"/>
          <w:sz w:val="32"/>
          <w:szCs w:val="32"/>
          <w:lang w:bidi="ar"/>
        </w:rPr>
        <w:t>（六）深入推进民商事案件繁简分流，提高诉讼效率。</w:t>
      </w:r>
    </w:p>
    <w:p w14:paraId="448AB2B4"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完善涉营商环境案件“绿标签”制度，严格涉营商环境案件全流程监督管理，优化繁简案件转换机制，减少程序流转耗时，有效缩短民商事、金融纠纷案件审理用时。到2022年底，基层法院一审涉营商环境案件平均用时不超过40天。完善在线诉调对接机制，推动民营经济领域纠纷多元化解机制建设，巩固一站式多元解纷和诉讼服务体系建设成果，深入开展诉源治理，力争到2022年底，各县区民事、行政案件万人成讼率同比下降30%。 </w:t>
      </w:r>
    </w:p>
    <w:p w14:paraId="17F6730B"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时间节点：2022年12月 </w:t>
      </w:r>
    </w:p>
    <w:p w14:paraId="64A823B1"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责任单位：区人民法院、区司法局 </w:t>
      </w:r>
    </w:p>
    <w:p w14:paraId="216E2E12"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（七）开展政府承诺事项专项行动。</w:t>
      </w:r>
    </w:p>
    <w:p w14:paraId="1AEA2A2E"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各单位对政府承诺事项进行全面梳理，归集汇总承诺事项。通过新闻媒体、办事场所、政府及部门网站等媒介对外发布，确保政府承诺事项落细落实，及时研究解决承诺落实中的具体问题。区委政法委成立督导组，对照责任清单，采取座谈、实地走访查看等方式，分赴相关单位就政府承诺事项落实情况开展专项督察。</w:t>
      </w:r>
    </w:p>
    <w:p w14:paraId="2460DEAF"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时间节点：持续推进</w:t>
      </w:r>
    </w:p>
    <w:p w14:paraId="334BAD5A"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责任单位：区委政法委、区司法局</w:t>
      </w:r>
    </w:p>
    <w:p w14:paraId="79461DFF"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（八）建成“标准化、精准化、便捷化”的公共法律服平台，精准服务营商环境。</w:t>
      </w:r>
    </w:p>
    <w:p w14:paraId="11F9CAB5"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以服务企业为导向，通过建立交流协调机制、开辟绿色通道、预约及上门服务，重点围绕企业制度、企业融资、重大合同、重大决策等具体问题，提供法律咨询，提出法律意见，帮助企业有效规避和防范法律风险。强化非诉纠纷化解方式，加强知识产权人民调解委员会、商事纠纷人民调解委员会等行业性专业性调解组织和仲裁窗口多元矛盾纠纷化解能力，推行“调解+仲裁”“调解+公证”“调解+司法确认”等组团式非诉纠纷化解方式，增强纠纷化解整体能力。充分利用大数据、法律知识图谱、人工智能等，提供法律咨询、法治宣传、便民查询、业务办理等公共法律服务，为企业和办事群众出具智能法律意见书、法律文书，并提供律师免费咨询等服务。 </w:t>
      </w:r>
    </w:p>
    <w:p w14:paraId="36E23A07"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时间节点：2022年12月 </w:t>
      </w:r>
    </w:p>
    <w:p w14:paraId="1FD8E1D5"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责任单位：区司法局 </w:t>
      </w:r>
    </w:p>
    <w:p w14:paraId="5E5C6033"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（九）健全以案释法工作长效机制。</w:t>
      </w:r>
    </w:p>
    <w:p w14:paraId="18E36ABB"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以“乡村振兴、法治同行”活动为载体，打造访调、援调、裁调、诉调“四调对接”工作模式，将调解工作贯穿于化解劳动关系争议纠纷全过程，优化工作举措，为维护劳动争议双方合法权益保驾护航。同时建立法官、检察官、行政执法人员、律师等以案释法制度，推动以案释法工作常态化、多样化和规范化。落实“谁执法谁普法”普法责任制，定期</w:t>
      </w:r>
      <w:r>
        <w:rPr>
          <w:rFonts w:ascii="仿宋" w:eastAsia="仿宋" w:hAnsi="仿宋" w:cs="仿宋" w:hint="eastAsia"/>
          <w:color w:val="000000"/>
          <w:kern w:val="0"/>
          <w:sz w:val="32"/>
          <w:szCs w:val="32"/>
          <w:lang w:bidi="ar"/>
        </w:rPr>
        <w:lastRenderedPageBreak/>
        <w:t>报送以案释法典型案例并开展典型案例征集评选发布活动，营造良好的法治宣传氛围。</w:t>
      </w:r>
    </w:p>
    <w:p w14:paraId="6782587B"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时间节点：持续推进 </w:t>
      </w:r>
    </w:p>
    <w:p w14:paraId="0E894AA4" w14:textId="77777777" w:rsidR="00C97237" w:rsidRDefault="00000000">
      <w:pPr>
        <w:widowControl/>
        <w:spacing w:line="580" w:lineRule="exact"/>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责任单位：区人民法院、区人民检察院、区司法局 </w:t>
      </w:r>
    </w:p>
    <w:p w14:paraId="440134E5"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（十）重大疑难案件听取检察机关意见建议。</w:t>
      </w:r>
    </w:p>
    <w:p w14:paraId="7D56FB52"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建立健全重大疑难案件公安机关听取检察机关意见建议的制度，明确公安机关听取意见、建议的刑事案件范围以及相关程序。建立跟踪落实机制，检察人员提出意见建议后需追踪侦查机关对意见和建议的采纳落实情况，保证介入效果。对听取意见的案件,建立“一案一档”机制,收集整理案件情况综合报告、案件讨论记录等材料,确保案件办理规范化。</w:t>
      </w:r>
    </w:p>
    <w:p w14:paraId="0CF47998"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时间节点：2022年12月 </w:t>
      </w:r>
    </w:p>
    <w:p w14:paraId="19E978FD" w14:textId="77777777" w:rsidR="00C97237" w:rsidRDefault="00000000">
      <w:pPr>
        <w:spacing w:line="580" w:lineRule="exac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责任单位：区人民检察院、区公安分局</w:t>
      </w:r>
    </w:p>
    <w:p w14:paraId="2CD3414D" w14:textId="77777777" w:rsidR="00C97237" w:rsidRDefault="00000000">
      <w:pPr>
        <w:numPr>
          <w:ilvl w:val="0"/>
          <w:numId w:val="11"/>
        </w:numPr>
        <w:spacing w:line="58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强化规范性文件备案审查，实施“法规清理”行动。</w:t>
      </w:r>
    </w:p>
    <w:p w14:paraId="3F7CF413" w14:textId="77777777" w:rsidR="00C97237" w:rsidRDefault="00000000">
      <w:pPr>
        <w:spacing w:line="580" w:lineRule="exact"/>
        <w:ind w:firstLineChars="200" w:firstLine="640"/>
        <w:rPr>
          <w:rFonts w:ascii="仿宋" w:eastAsia="仿宋" w:hAnsi="仿宋" w:cs="仿宋"/>
          <w:b/>
          <w:bCs/>
          <w:color w:val="000000"/>
          <w:kern w:val="0"/>
          <w:sz w:val="32"/>
          <w:szCs w:val="32"/>
          <w:lang w:bidi="ar"/>
        </w:rPr>
      </w:pPr>
      <w:r>
        <w:rPr>
          <w:rFonts w:ascii="仿宋" w:eastAsia="仿宋" w:hAnsi="仿宋" w:cs="仿宋" w:hint="eastAsia"/>
          <w:sz w:val="32"/>
          <w:szCs w:val="32"/>
        </w:rPr>
        <w:t>加大对涉企规范性文件的备案审查力度，从源头上预防和纠正不当或违法的行政行为，保障企业合法权益；对企业提出的规范性文件异议审查申请，严格及时依法办理，从源头上把好法制审核关。同时集中开展地方性法规、政府规章和行政规范性文件清理工作，全面清理不利于民营企业发展的政府规章及行政规范性文件。</w:t>
      </w:r>
    </w:p>
    <w:p w14:paraId="37AC5338"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时间节点：持续推进</w:t>
      </w:r>
    </w:p>
    <w:p w14:paraId="69016EC5" w14:textId="77777777" w:rsidR="00C97237" w:rsidRDefault="00000000">
      <w:pPr>
        <w:spacing w:line="580" w:lineRule="exac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责任单位：区司法局</w:t>
      </w:r>
    </w:p>
    <w:p w14:paraId="77037D30"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（十二）保护企业知识产权。</w:t>
      </w:r>
    </w:p>
    <w:p w14:paraId="5BE6A3C8"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加大“两法衔接”和立案监督工作力度，重点打击高新技术、文化创意等领域的侵权犯罪行为，以及制假售假、损害企业信誉等破坏公平竞争的犯罪行为，对企业在生产、经营、融资活动中的创新行为，严格落实罪刑法定、疑罪从无的原则，保护创新创业的积极性。</w:t>
      </w:r>
    </w:p>
    <w:p w14:paraId="3A26078C"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时间节点：持续推进 </w:t>
      </w:r>
    </w:p>
    <w:p w14:paraId="5FFC622B" w14:textId="77777777" w:rsidR="00C97237" w:rsidRDefault="00000000">
      <w:pPr>
        <w:widowControl/>
        <w:spacing w:line="580" w:lineRule="exact"/>
        <w:jc w:val="left"/>
        <w:rPr>
          <w:rFonts w:ascii="仿宋" w:eastAsia="仿宋" w:hAnsi="仿宋" w:cs="仿宋"/>
          <w:sz w:val="32"/>
          <w:szCs w:val="32"/>
        </w:rPr>
      </w:pPr>
      <w:r>
        <w:rPr>
          <w:rFonts w:ascii="仿宋" w:eastAsia="仿宋" w:hAnsi="仿宋" w:cs="仿宋" w:hint="eastAsia"/>
          <w:color w:val="000000"/>
          <w:kern w:val="0"/>
          <w:sz w:val="32"/>
          <w:szCs w:val="32"/>
          <w:lang w:bidi="ar"/>
        </w:rPr>
        <w:t xml:space="preserve">责任单位：区人民法院 、区人民检察院、区公安分局、区司法局 </w:t>
      </w:r>
    </w:p>
    <w:p w14:paraId="704F036E"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 xml:space="preserve">四、保障措施 </w:t>
      </w:r>
    </w:p>
    <w:p w14:paraId="22437DD0"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（一）建立调研座谈工作机制。</w:t>
      </w:r>
      <w:r>
        <w:rPr>
          <w:rFonts w:ascii="仿宋" w:eastAsia="仿宋" w:hAnsi="仿宋" w:cs="仿宋" w:hint="eastAsia"/>
          <w:color w:val="000000"/>
          <w:kern w:val="0"/>
          <w:sz w:val="32"/>
          <w:szCs w:val="32"/>
          <w:lang w:bidi="ar"/>
        </w:rPr>
        <w:t xml:space="preserve">每季度开展一次法治化营商环境调研座谈活动，及时了解企业诉求，围绕存在问题开展工作，提高工作的针对性。 </w:t>
      </w:r>
    </w:p>
    <w:p w14:paraId="123E48F1"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（二）建立定期联席会议机制。</w:t>
      </w:r>
      <w:r>
        <w:rPr>
          <w:rFonts w:ascii="仿宋" w:eastAsia="仿宋" w:hAnsi="仿宋" w:cs="仿宋" w:hint="eastAsia"/>
          <w:color w:val="000000"/>
          <w:kern w:val="0"/>
          <w:sz w:val="32"/>
          <w:szCs w:val="32"/>
          <w:lang w:bidi="ar"/>
        </w:rPr>
        <w:t xml:space="preserve">每季度召开一次法治化营商环境提升工作联席会议，分析研判问题，提出解决方案，安排部署下步工作。 </w:t>
      </w:r>
    </w:p>
    <w:p w14:paraId="7A80F7C0"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（三）建立交办督办工作机制。</w:t>
      </w:r>
      <w:r>
        <w:rPr>
          <w:rFonts w:ascii="仿宋" w:eastAsia="仿宋" w:hAnsi="仿宋" w:cs="仿宋" w:hint="eastAsia"/>
          <w:color w:val="000000"/>
          <w:kern w:val="0"/>
          <w:sz w:val="32"/>
          <w:szCs w:val="32"/>
          <w:lang w:bidi="ar"/>
        </w:rPr>
        <w:t>针对收集到的影响营商环境执法司法突出问题，及时向有关单位交办，明确办理时限，定期督办。</w:t>
      </w:r>
    </w:p>
    <w:p w14:paraId="40AD756A" w14:textId="77777777" w:rsidR="00C97237" w:rsidRDefault="00000000">
      <w:pPr>
        <w:widowControl/>
        <w:spacing w:line="580" w:lineRule="exact"/>
        <w:ind w:firstLineChars="200" w:firstLine="643"/>
        <w:jc w:val="left"/>
        <w:rPr>
          <w:rFonts w:ascii="仿宋" w:eastAsia="仿宋" w:hAnsi="仿宋" w:cs="仿宋"/>
          <w:sz w:val="32"/>
          <w:szCs w:val="32"/>
        </w:rPr>
      </w:pPr>
      <w:r>
        <w:rPr>
          <w:rFonts w:ascii="仿宋" w:eastAsia="仿宋" w:hAnsi="仿宋" w:cs="仿宋" w:hint="eastAsia"/>
          <w:b/>
          <w:bCs/>
          <w:color w:val="000000"/>
          <w:kern w:val="0"/>
          <w:sz w:val="32"/>
          <w:szCs w:val="32"/>
          <w:lang w:bidi="ar"/>
        </w:rPr>
        <w:t>（四）建立通报查究工作机制。</w:t>
      </w:r>
      <w:r>
        <w:rPr>
          <w:rFonts w:ascii="仿宋" w:eastAsia="仿宋" w:hAnsi="仿宋" w:cs="仿宋" w:hint="eastAsia"/>
          <w:color w:val="000000"/>
          <w:kern w:val="0"/>
          <w:sz w:val="32"/>
          <w:szCs w:val="32"/>
          <w:lang w:bidi="ar"/>
        </w:rPr>
        <w:t xml:space="preserve">对各单位法治化营商环境提升工作，定期通报，指出存在问题，进行责任查究，保障工作顺利推进。 </w:t>
      </w:r>
    </w:p>
    <w:p w14:paraId="597E364D" w14:textId="77777777" w:rsidR="00C97237" w:rsidRDefault="00C97237">
      <w:pPr>
        <w:widowControl/>
        <w:spacing w:line="580" w:lineRule="exact"/>
        <w:jc w:val="left"/>
        <w:rPr>
          <w:rFonts w:ascii="仿宋" w:eastAsia="仿宋" w:hAnsi="仿宋" w:cs="仿宋"/>
          <w:color w:val="000000"/>
          <w:kern w:val="0"/>
          <w:sz w:val="32"/>
          <w:szCs w:val="32"/>
          <w:lang w:bidi="ar"/>
        </w:rPr>
      </w:pPr>
    </w:p>
    <w:p w14:paraId="59F61D29" w14:textId="77777777" w:rsidR="00C97237" w:rsidRDefault="00000000">
      <w:pPr>
        <w:widowControl/>
        <w:jc w:val="left"/>
        <w:rPr>
          <w:rFonts w:ascii="方正小标宋简体" w:eastAsia="方正小标宋简体" w:hAnsi="方正小标宋简体" w:cs="方正小标宋简体"/>
          <w:color w:val="000000"/>
          <w:kern w:val="0"/>
          <w:sz w:val="43"/>
          <w:szCs w:val="43"/>
          <w:lang w:bidi="ar"/>
        </w:rPr>
      </w:pPr>
      <w:r>
        <w:rPr>
          <w:rFonts w:ascii="方正小标宋简体" w:eastAsia="方正小标宋简体" w:hAnsi="方正小标宋简体" w:cs="方正小标宋简体" w:hint="eastAsia"/>
          <w:color w:val="000000"/>
          <w:kern w:val="0"/>
          <w:sz w:val="43"/>
          <w:szCs w:val="43"/>
          <w:lang w:bidi="ar"/>
        </w:rPr>
        <w:lastRenderedPageBreak/>
        <w:t>附件22</w:t>
      </w:r>
    </w:p>
    <w:p w14:paraId="51C98B08" w14:textId="77777777" w:rsidR="00C97237" w:rsidRDefault="00000000">
      <w:pPr>
        <w:widowControl/>
        <w:jc w:val="center"/>
        <w:rPr>
          <w:rFonts w:ascii="方正小标宋简体" w:eastAsia="方正小标宋简体" w:hAnsi="方正小标宋简体" w:cs="方正小标宋简体"/>
          <w:color w:val="000000"/>
          <w:kern w:val="0"/>
          <w:sz w:val="43"/>
          <w:szCs w:val="43"/>
          <w:lang w:bidi="ar"/>
        </w:rPr>
      </w:pPr>
      <w:r>
        <w:rPr>
          <w:rFonts w:ascii="方正小标宋简体" w:eastAsia="方正小标宋简体" w:hAnsi="方正小标宋简体" w:cs="方正小标宋简体" w:hint="eastAsia"/>
          <w:color w:val="000000"/>
          <w:kern w:val="0"/>
          <w:sz w:val="43"/>
          <w:szCs w:val="43"/>
          <w:lang w:bidi="ar"/>
        </w:rPr>
        <w:t>偃师区</w:t>
      </w:r>
      <w:r>
        <w:rPr>
          <w:rFonts w:ascii="方正小标宋简体" w:eastAsia="方正小标宋简体" w:hAnsi="方正小标宋简体" w:cs="方正小标宋简体"/>
          <w:color w:val="000000"/>
          <w:kern w:val="0"/>
          <w:sz w:val="43"/>
          <w:szCs w:val="43"/>
          <w:lang w:bidi="ar"/>
        </w:rPr>
        <w:t>项目保障提升专项行动方案</w:t>
      </w:r>
    </w:p>
    <w:p w14:paraId="3BE78347" w14:textId="77777777" w:rsidR="00C97237" w:rsidRDefault="00C97237">
      <w:pPr>
        <w:widowControl/>
        <w:jc w:val="center"/>
        <w:rPr>
          <w:rFonts w:ascii="仿宋" w:eastAsia="仿宋" w:hAnsi="仿宋" w:cs="仿宋"/>
          <w:color w:val="000000"/>
          <w:kern w:val="0"/>
          <w:sz w:val="32"/>
          <w:szCs w:val="32"/>
          <w:lang w:bidi="ar"/>
        </w:rPr>
      </w:pPr>
    </w:p>
    <w:p w14:paraId="3BA41EAC"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为持续优化营商环境，着力提升我</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项目保障水平，高质量推动重点项目建设，结合《</w:t>
      </w:r>
      <w:r>
        <w:rPr>
          <w:rFonts w:ascii="仿宋_GB2312" w:eastAsia="仿宋_GB2312" w:hAnsi="仿宋_GB2312" w:cs="仿宋_GB2312" w:hint="eastAsia"/>
          <w:color w:val="000000"/>
          <w:kern w:val="0"/>
          <w:sz w:val="31"/>
          <w:szCs w:val="31"/>
          <w:lang w:bidi="ar"/>
        </w:rPr>
        <w:t>偃师区</w:t>
      </w:r>
      <w:r>
        <w:rPr>
          <w:rFonts w:ascii="仿宋_GB2312" w:eastAsia="仿宋_GB2312" w:hAnsi="仿宋_GB2312" w:cs="仿宋_GB2312"/>
          <w:color w:val="000000"/>
          <w:kern w:val="0"/>
          <w:sz w:val="31"/>
          <w:szCs w:val="31"/>
          <w:lang w:bidi="ar"/>
        </w:rPr>
        <w:t>营商环境优化提升行动方案（</w:t>
      </w:r>
      <w:r>
        <w:rPr>
          <w:rFonts w:ascii="Times New Roman" w:eastAsia="宋体" w:hAnsi="Times New Roman" w:cs="Times New Roman"/>
          <w:color w:val="000000"/>
          <w:kern w:val="0"/>
          <w:sz w:val="31"/>
          <w:szCs w:val="31"/>
          <w:lang w:bidi="ar"/>
        </w:rPr>
        <w:t xml:space="preserve">2022 </w:t>
      </w:r>
      <w:r>
        <w:rPr>
          <w:rFonts w:ascii="仿宋_GB2312" w:eastAsia="仿宋_GB2312" w:hAnsi="仿宋_GB2312" w:cs="仿宋_GB2312"/>
          <w:color w:val="000000"/>
          <w:kern w:val="0"/>
          <w:sz w:val="31"/>
          <w:szCs w:val="31"/>
          <w:lang w:bidi="ar"/>
        </w:rPr>
        <w:t>版）》（</w:t>
      </w:r>
      <w:r>
        <w:rPr>
          <w:rFonts w:ascii="仿宋_GB2312" w:eastAsia="仿宋_GB2312" w:hAnsi="仿宋_GB2312" w:cs="仿宋_GB2312" w:hint="eastAsia"/>
          <w:color w:val="000000"/>
          <w:kern w:val="0"/>
          <w:sz w:val="31"/>
          <w:szCs w:val="31"/>
          <w:lang w:bidi="ar"/>
        </w:rPr>
        <w:t>洛</w:t>
      </w:r>
      <w:r>
        <w:rPr>
          <w:rFonts w:ascii="仿宋_GB2312" w:eastAsia="仿宋_GB2312" w:hAnsi="仿宋_GB2312" w:cs="仿宋_GB2312"/>
          <w:color w:val="000000"/>
          <w:kern w:val="0"/>
          <w:sz w:val="31"/>
          <w:szCs w:val="31"/>
          <w:lang w:bidi="ar"/>
        </w:rPr>
        <w:t>营商〔</w:t>
      </w:r>
      <w:r>
        <w:rPr>
          <w:rFonts w:ascii="Times New Roman" w:eastAsia="宋体" w:hAnsi="Times New Roman" w:cs="Times New Roman"/>
          <w:color w:val="000000"/>
          <w:kern w:val="0"/>
          <w:sz w:val="31"/>
          <w:szCs w:val="31"/>
          <w:lang w:bidi="ar"/>
        </w:rPr>
        <w:t>2022</w:t>
      </w:r>
      <w:r>
        <w:rPr>
          <w:rFonts w:ascii="仿宋_GB2312" w:eastAsia="仿宋_GB2312" w:hAnsi="仿宋_GB2312" w:cs="仿宋_GB2312"/>
          <w:color w:val="000000"/>
          <w:kern w:val="0"/>
          <w:sz w:val="31"/>
          <w:szCs w:val="31"/>
          <w:lang w:bidi="ar"/>
        </w:rPr>
        <w:t>〕</w:t>
      </w:r>
      <w:r>
        <w:rPr>
          <w:rFonts w:ascii="Times New Roman" w:eastAsia="宋体" w:hAnsi="Times New Roman" w:cs="Times New Roman" w:hint="eastAsia"/>
          <w:color w:val="000000"/>
          <w:kern w:val="0"/>
          <w:sz w:val="31"/>
          <w:szCs w:val="31"/>
          <w:lang w:bidi="ar"/>
        </w:rPr>
        <w:t>2</w:t>
      </w:r>
      <w:r>
        <w:rPr>
          <w:rFonts w:ascii="仿宋_GB2312" w:eastAsia="仿宋_GB2312" w:hAnsi="仿宋_GB2312" w:cs="仿宋_GB2312"/>
          <w:color w:val="000000"/>
          <w:kern w:val="0"/>
          <w:sz w:val="31"/>
          <w:szCs w:val="31"/>
          <w:lang w:bidi="ar"/>
        </w:rPr>
        <w:t xml:space="preserve">号），制定本方案。 </w:t>
      </w:r>
    </w:p>
    <w:p w14:paraId="22398B32" w14:textId="77777777" w:rsidR="00C97237" w:rsidRDefault="00000000">
      <w:pPr>
        <w:widowControl/>
        <w:ind w:firstLineChars="200" w:firstLine="620"/>
        <w:jc w:val="left"/>
      </w:pPr>
      <w:r>
        <w:rPr>
          <w:rFonts w:ascii="黑体" w:eastAsia="黑体" w:hAnsi="宋体" w:cs="黑体"/>
          <w:color w:val="000000"/>
          <w:kern w:val="0"/>
          <w:sz w:val="31"/>
          <w:szCs w:val="31"/>
          <w:lang w:bidi="ar"/>
        </w:rPr>
        <w:t xml:space="preserve">一、总体要求 </w:t>
      </w:r>
    </w:p>
    <w:p w14:paraId="149DC76C"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坚持</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项目为王</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，滚动开展</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三个一批</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活动，聚焦风口突破， 坚持</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六新</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 xml:space="preserve">并重，谋划储备智能装备、信息技术、生物制药、新材料、新能源、数字经济等风口产业项目，坚持机制、要素、服务、政策跟着项目走理念，实施全流程、精准化服务，保障项目加快建设，为加快建强副中心、形成增长极，提供强有力支撑。 </w:t>
      </w:r>
    </w:p>
    <w:p w14:paraId="03F82DF0" w14:textId="77777777" w:rsidR="00C97237" w:rsidRDefault="00000000">
      <w:pPr>
        <w:widowControl/>
        <w:ind w:firstLineChars="200" w:firstLine="620"/>
        <w:jc w:val="left"/>
      </w:pPr>
      <w:r>
        <w:rPr>
          <w:rFonts w:ascii="黑体" w:eastAsia="黑体" w:hAnsi="宋体" w:cs="黑体" w:hint="eastAsia"/>
          <w:color w:val="000000"/>
          <w:kern w:val="0"/>
          <w:sz w:val="31"/>
          <w:szCs w:val="31"/>
          <w:lang w:bidi="ar"/>
        </w:rPr>
        <w:t xml:space="preserve">二、工作目标 </w:t>
      </w:r>
    </w:p>
    <w:p w14:paraId="63071066"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全面贯彻落实省市关于优化营商环境的决策部署，深化项目 保障领域</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放管服</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 xml:space="preserve">改革，持续优化营商环境，推动重点项目建设高质量发展。 </w:t>
      </w:r>
    </w:p>
    <w:p w14:paraId="210D0C72" w14:textId="77777777" w:rsidR="00C97237" w:rsidRDefault="00000000">
      <w:pPr>
        <w:widowControl/>
        <w:ind w:firstLineChars="200" w:firstLine="620"/>
        <w:jc w:val="left"/>
      </w:pPr>
      <w:r>
        <w:rPr>
          <w:rFonts w:ascii="黑体" w:eastAsia="黑体" w:hAnsi="宋体" w:cs="黑体" w:hint="eastAsia"/>
          <w:color w:val="000000"/>
          <w:kern w:val="0"/>
          <w:sz w:val="31"/>
          <w:szCs w:val="31"/>
          <w:lang w:bidi="ar"/>
        </w:rPr>
        <w:t xml:space="preserve">三、主要举措 </w:t>
      </w:r>
    </w:p>
    <w:p w14:paraId="0CA340C4" w14:textId="77777777" w:rsidR="00C97237" w:rsidRDefault="00000000">
      <w:pPr>
        <w:widowControl/>
        <w:ind w:firstLineChars="200" w:firstLine="622"/>
        <w:jc w:val="left"/>
        <w:rPr>
          <w:rFonts w:ascii="仿宋_GB2312" w:eastAsia="仿宋_GB2312" w:hAnsi="仿宋_GB2312" w:cs="仿宋_GB2312"/>
          <w:color w:val="000000"/>
          <w:kern w:val="0"/>
          <w:sz w:val="31"/>
          <w:szCs w:val="31"/>
          <w:lang w:bidi="ar"/>
        </w:rPr>
      </w:pPr>
      <w:r>
        <w:rPr>
          <w:rFonts w:ascii="楷体_GB2312" w:eastAsia="楷体_GB2312" w:hAnsi="楷体_GB2312" w:cs="楷体_GB2312"/>
          <w:b/>
          <w:bCs/>
          <w:color w:val="000000"/>
          <w:kern w:val="0"/>
          <w:sz w:val="31"/>
          <w:szCs w:val="31"/>
          <w:lang w:bidi="ar"/>
        </w:rPr>
        <w:t>（一）推行领导分包重大项目，完善重点项目</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一对一</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服务机制。</w:t>
      </w:r>
      <w:r>
        <w:rPr>
          <w:rFonts w:ascii="Times New Roman" w:eastAsia="宋体" w:hAnsi="Times New Roman" w:cs="Times New Roman"/>
          <w:color w:val="000000"/>
          <w:kern w:val="0"/>
          <w:sz w:val="31"/>
          <w:szCs w:val="31"/>
          <w:lang w:bidi="ar"/>
        </w:rPr>
        <w:t>2022</w:t>
      </w:r>
      <w:r>
        <w:rPr>
          <w:rFonts w:ascii="仿宋_GB2312" w:eastAsia="仿宋_GB2312" w:hAnsi="仿宋_GB2312" w:cs="仿宋_GB2312"/>
          <w:color w:val="000000"/>
          <w:kern w:val="0"/>
          <w:sz w:val="31"/>
          <w:szCs w:val="31"/>
          <w:lang w:bidi="ar"/>
        </w:rPr>
        <w:t>年</w:t>
      </w:r>
      <w:r>
        <w:rPr>
          <w:rFonts w:ascii="Times New Roman" w:hAnsi="Times New Roman" w:cs="Times New Roman" w:hint="eastAsia"/>
          <w:color w:val="000000"/>
          <w:kern w:val="0"/>
          <w:sz w:val="31"/>
          <w:szCs w:val="31"/>
          <w:lang w:bidi="ar"/>
        </w:rPr>
        <w:t>2</w:t>
      </w:r>
      <w:r>
        <w:rPr>
          <w:rFonts w:ascii="Times New Roman" w:eastAsia="宋体" w:hAnsi="Times New Roman" w:cs="Times New Roman"/>
          <w:color w:val="000000"/>
          <w:kern w:val="0"/>
          <w:sz w:val="31"/>
          <w:szCs w:val="31"/>
          <w:lang w:bidi="ar"/>
        </w:rPr>
        <w:t xml:space="preserve">3 </w:t>
      </w:r>
      <w:r>
        <w:rPr>
          <w:rFonts w:ascii="仿宋_GB2312" w:eastAsia="仿宋_GB2312" w:hAnsi="仿宋_GB2312" w:cs="仿宋_GB2312"/>
          <w:color w:val="000000"/>
          <w:kern w:val="0"/>
          <w:sz w:val="31"/>
          <w:szCs w:val="31"/>
          <w:lang w:bidi="ar"/>
        </w:rPr>
        <w:t>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级领导分别对</w:t>
      </w:r>
      <w:r>
        <w:rPr>
          <w:rFonts w:ascii="仿宋_GB2312" w:eastAsia="仿宋_GB2312" w:hAnsi="仿宋_GB2312" w:cs="仿宋_GB2312" w:hint="eastAsia"/>
          <w:color w:val="000000"/>
          <w:kern w:val="0"/>
          <w:sz w:val="31"/>
          <w:szCs w:val="31"/>
          <w:lang w:bidi="ar"/>
        </w:rPr>
        <w:t>53</w:t>
      </w:r>
      <w:r>
        <w:rPr>
          <w:rFonts w:ascii="仿宋_GB2312" w:eastAsia="仿宋_GB2312" w:hAnsi="仿宋_GB2312" w:cs="仿宋_GB2312"/>
          <w:color w:val="000000"/>
          <w:kern w:val="0"/>
          <w:sz w:val="31"/>
          <w:szCs w:val="31"/>
          <w:lang w:bidi="ar"/>
        </w:rPr>
        <w:t>个重点项目进行分包，每季度</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级领导至少到分包项目现场一次，督促指导项</w:t>
      </w:r>
      <w:r>
        <w:rPr>
          <w:rFonts w:ascii="仿宋_GB2312" w:eastAsia="仿宋_GB2312" w:hAnsi="仿宋_GB2312" w:cs="仿宋_GB2312"/>
          <w:color w:val="000000"/>
          <w:kern w:val="0"/>
          <w:sz w:val="31"/>
          <w:szCs w:val="31"/>
          <w:lang w:bidi="ar"/>
        </w:rPr>
        <w:lastRenderedPageBreak/>
        <w:t>目建设。</w:t>
      </w:r>
      <w:r>
        <w:rPr>
          <w:rFonts w:ascii="仿宋_GB2312" w:eastAsia="仿宋_GB2312" w:hAnsi="仿宋_GB2312" w:cs="仿宋_GB2312" w:hint="eastAsia"/>
          <w:color w:val="000000"/>
          <w:kern w:val="0"/>
          <w:sz w:val="31"/>
          <w:szCs w:val="31"/>
          <w:lang w:bidi="ar"/>
        </w:rPr>
        <w:t>落实重点项目“五个一”推进机制（一个项目，一个领导，一个团队，一套方案，一抓到底），</w:t>
      </w:r>
      <w:r>
        <w:rPr>
          <w:rFonts w:ascii="仿宋_GB2312" w:eastAsia="仿宋_GB2312" w:hAnsi="仿宋_GB2312" w:cs="仿宋_GB2312"/>
          <w:color w:val="000000"/>
          <w:kern w:val="0"/>
          <w:sz w:val="31"/>
          <w:szCs w:val="31"/>
          <w:lang w:bidi="ar"/>
        </w:rPr>
        <w:t xml:space="preserve">确保每一个重点项目都有一名领导牵头、一个单位负责、一个专班推进，及时协调解决项目建设中遇到的困难和问题。 </w:t>
      </w:r>
    </w:p>
    <w:p w14:paraId="6DF86063"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 xml:space="preserve">时间节点：持续推进 </w:t>
      </w:r>
    </w:p>
    <w:p w14:paraId="6C96B737"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发展改革委 </w:t>
      </w:r>
    </w:p>
    <w:p w14:paraId="6CFF9F8E"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产业集聚区、</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镇办，区直各相关单位</w:t>
      </w:r>
    </w:p>
    <w:p w14:paraId="2598FE0D"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（二）建立重点项目联审联批</w:t>
      </w:r>
      <w:r>
        <w:rPr>
          <w:rFonts w:ascii="楷体_GB2312" w:eastAsia="楷体_GB2312" w:hAnsi="楷体_GB2312" w:cs="楷体_GB2312" w:hint="eastAsia"/>
          <w:b/>
          <w:bCs/>
          <w:color w:val="000000"/>
          <w:kern w:val="0"/>
          <w:sz w:val="31"/>
          <w:szCs w:val="31"/>
          <w:lang w:bidi="ar"/>
        </w:rPr>
        <w:t>推进</w:t>
      </w:r>
      <w:r>
        <w:rPr>
          <w:rFonts w:ascii="楷体_GB2312" w:eastAsia="楷体_GB2312" w:hAnsi="楷体_GB2312" w:cs="楷体_GB2312"/>
          <w:b/>
          <w:bCs/>
          <w:color w:val="000000"/>
          <w:kern w:val="0"/>
          <w:sz w:val="31"/>
          <w:szCs w:val="31"/>
          <w:lang w:bidi="ar"/>
        </w:rPr>
        <w:t>会机制。</w:t>
      </w:r>
      <w:r>
        <w:rPr>
          <w:rFonts w:ascii="仿宋_GB2312" w:eastAsia="仿宋_GB2312" w:hAnsi="仿宋_GB2312" w:cs="仿宋_GB2312" w:hint="eastAsia"/>
          <w:color w:val="000000"/>
          <w:kern w:val="0"/>
          <w:sz w:val="31"/>
          <w:szCs w:val="31"/>
          <w:lang w:bidi="ar"/>
        </w:rPr>
        <w:t>建立</w:t>
      </w:r>
      <w:r>
        <w:rPr>
          <w:rFonts w:ascii="仿宋_GB2312" w:eastAsia="仿宋_GB2312" w:hAnsi="仿宋_GB2312" w:cs="仿宋_GB2312"/>
          <w:color w:val="000000"/>
          <w:kern w:val="0"/>
          <w:sz w:val="31"/>
          <w:szCs w:val="31"/>
          <w:lang w:bidi="ar"/>
        </w:rPr>
        <w:t>重点项目联审联批</w:t>
      </w:r>
      <w:r>
        <w:rPr>
          <w:rFonts w:ascii="仿宋_GB2312" w:eastAsia="仿宋_GB2312" w:hAnsi="仿宋_GB2312" w:cs="仿宋_GB2312" w:hint="eastAsia"/>
          <w:color w:val="000000"/>
          <w:kern w:val="0"/>
          <w:sz w:val="31"/>
          <w:szCs w:val="31"/>
          <w:lang w:bidi="ar"/>
        </w:rPr>
        <w:t>推进</w:t>
      </w:r>
      <w:r>
        <w:rPr>
          <w:rFonts w:ascii="仿宋_GB2312" w:eastAsia="仿宋_GB2312" w:hAnsi="仿宋_GB2312" w:cs="仿宋_GB2312"/>
          <w:color w:val="000000"/>
          <w:kern w:val="0"/>
          <w:sz w:val="31"/>
          <w:szCs w:val="31"/>
          <w:lang w:bidi="ar"/>
        </w:rPr>
        <w:t>会机制，</w:t>
      </w:r>
      <w:r>
        <w:rPr>
          <w:rFonts w:ascii="仿宋_GB2312" w:eastAsia="仿宋_GB2312" w:hAnsi="仿宋_GB2312" w:cs="仿宋_GB2312" w:hint="eastAsia"/>
          <w:color w:val="000000"/>
          <w:kern w:val="0"/>
          <w:sz w:val="31"/>
          <w:szCs w:val="31"/>
          <w:lang w:bidi="ar"/>
        </w:rPr>
        <w:t>不定期召开</w:t>
      </w:r>
      <w:r>
        <w:rPr>
          <w:rFonts w:ascii="仿宋_GB2312" w:eastAsia="仿宋_GB2312" w:hAnsi="仿宋_GB2312" w:cs="仿宋_GB2312"/>
          <w:color w:val="000000"/>
          <w:kern w:val="0"/>
          <w:sz w:val="31"/>
          <w:szCs w:val="31"/>
          <w:lang w:bidi="ar"/>
        </w:rPr>
        <w:t>联审联批</w:t>
      </w:r>
      <w:r>
        <w:rPr>
          <w:rFonts w:ascii="仿宋_GB2312" w:eastAsia="仿宋_GB2312" w:hAnsi="仿宋_GB2312" w:cs="仿宋_GB2312" w:hint="eastAsia"/>
          <w:color w:val="000000"/>
          <w:kern w:val="0"/>
          <w:sz w:val="31"/>
          <w:szCs w:val="31"/>
          <w:lang w:bidi="ar"/>
        </w:rPr>
        <w:t>推进</w:t>
      </w:r>
      <w:r>
        <w:rPr>
          <w:rFonts w:ascii="仿宋_GB2312" w:eastAsia="仿宋_GB2312" w:hAnsi="仿宋_GB2312" w:cs="仿宋_GB2312"/>
          <w:color w:val="000000"/>
          <w:kern w:val="0"/>
          <w:sz w:val="31"/>
          <w:szCs w:val="31"/>
          <w:lang w:bidi="ar"/>
        </w:rPr>
        <w:t>会，对重大项目前期手续办理中存在的问题进行协调解决，明确责任事项、责任单位和办理时限，并建立问题事项跟踪台账，每月进行督办考评通报，推动项目审批提速，确保重点项目按时开工建设。</w:t>
      </w:r>
      <w:r>
        <w:rPr>
          <w:rFonts w:ascii="Times New Roman" w:eastAsia="宋体" w:hAnsi="Times New Roman" w:cs="Times New Roman"/>
          <w:color w:val="000000"/>
          <w:kern w:val="0"/>
          <w:sz w:val="31"/>
          <w:szCs w:val="31"/>
          <w:lang w:bidi="ar"/>
        </w:rPr>
        <w:t xml:space="preserve">2022 </w:t>
      </w:r>
      <w:r>
        <w:rPr>
          <w:rFonts w:ascii="仿宋_GB2312" w:eastAsia="仿宋_GB2312" w:hAnsi="仿宋_GB2312" w:cs="仿宋_GB2312"/>
          <w:color w:val="000000"/>
          <w:kern w:val="0"/>
          <w:sz w:val="31"/>
          <w:szCs w:val="31"/>
          <w:lang w:bidi="ar"/>
        </w:rPr>
        <w:t>年完成</w:t>
      </w:r>
      <w:r>
        <w:rPr>
          <w:rFonts w:ascii="仿宋_GB2312" w:eastAsia="仿宋_GB2312" w:hAnsi="仿宋_GB2312" w:cs="仿宋_GB2312" w:hint="eastAsia"/>
          <w:color w:val="000000"/>
          <w:kern w:val="0"/>
          <w:sz w:val="31"/>
          <w:szCs w:val="31"/>
          <w:lang w:bidi="ar"/>
        </w:rPr>
        <w:t>13</w:t>
      </w:r>
      <w:r>
        <w:rPr>
          <w:rFonts w:ascii="仿宋_GB2312" w:eastAsia="仿宋_GB2312" w:hAnsi="仿宋_GB2312" w:cs="仿宋_GB2312"/>
          <w:color w:val="000000"/>
          <w:kern w:val="0"/>
          <w:sz w:val="31"/>
          <w:szCs w:val="31"/>
          <w:lang w:bidi="ar"/>
        </w:rPr>
        <w:t>个新开工省市重点项目审批事项</w:t>
      </w:r>
      <w:r>
        <w:rPr>
          <w:rFonts w:ascii="仿宋_GB2312" w:eastAsia="仿宋_GB2312" w:hAnsi="仿宋_GB2312" w:cs="仿宋_GB2312" w:hint="eastAsia"/>
          <w:color w:val="000000"/>
          <w:kern w:val="0"/>
          <w:sz w:val="31"/>
          <w:szCs w:val="31"/>
          <w:lang w:bidi="ar"/>
        </w:rPr>
        <w:t>130</w:t>
      </w:r>
      <w:r>
        <w:rPr>
          <w:rFonts w:ascii="仿宋_GB2312" w:eastAsia="仿宋_GB2312" w:hAnsi="仿宋_GB2312" w:cs="仿宋_GB2312"/>
          <w:color w:val="000000"/>
          <w:kern w:val="0"/>
          <w:sz w:val="31"/>
          <w:szCs w:val="31"/>
          <w:lang w:bidi="ar"/>
        </w:rPr>
        <w:t>项。</w:t>
      </w:r>
    </w:p>
    <w:p w14:paraId="79570F1D"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仿宋_GB2312" w:cs="仿宋_GB2312"/>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仿宋_GB2312" w:cs="仿宋_GB2312"/>
          <w:color w:val="000000"/>
          <w:kern w:val="0"/>
          <w:sz w:val="31"/>
          <w:szCs w:val="31"/>
          <w:lang w:bidi="ar"/>
        </w:rPr>
        <w:t xml:space="preserve">月 </w:t>
      </w:r>
    </w:p>
    <w:p w14:paraId="1BEBB5F0"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发展改革委 </w:t>
      </w:r>
    </w:p>
    <w:p w14:paraId="3CAF68F7"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市自然资源和规划局偃师分局</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住建局、</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水利局、</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文物局、</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生态环境局</w:t>
      </w:r>
      <w:r>
        <w:rPr>
          <w:rFonts w:ascii="仿宋_GB2312" w:eastAsia="仿宋_GB2312" w:hAnsi="仿宋_GB2312" w:cs="仿宋_GB2312" w:hint="eastAsia"/>
          <w:color w:val="000000"/>
          <w:kern w:val="0"/>
          <w:sz w:val="31"/>
          <w:szCs w:val="31"/>
          <w:lang w:bidi="ar"/>
        </w:rPr>
        <w:t>、产业集聚区</w:t>
      </w:r>
    </w:p>
    <w:p w14:paraId="305AAF16"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（三）实行重点项目月通报机制。</w:t>
      </w:r>
      <w:r>
        <w:rPr>
          <w:rFonts w:ascii="仿宋_GB2312" w:eastAsia="仿宋_GB2312" w:hAnsi="仿宋_GB2312" w:cs="仿宋_GB2312"/>
          <w:color w:val="000000"/>
          <w:kern w:val="0"/>
          <w:sz w:val="31"/>
          <w:szCs w:val="31"/>
          <w:lang w:bidi="ar"/>
        </w:rPr>
        <w:t xml:space="preserve">坚持省市重点项目月考评通报制度，重点督导考核项目开竣工、投资完成、联审联批和服务协调等情况。以严督查、真考核压实责任、奖优罚劣、激发干劲，确保重点项目建设各项工作全面落实、取得实效。 </w:t>
      </w:r>
    </w:p>
    <w:p w14:paraId="21FBB34A"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 xml:space="preserve">时间节点：持续推进 </w:t>
      </w:r>
    </w:p>
    <w:p w14:paraId="5019DE9F"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lastRenderedPageBreak/>
        <w:t xml:space="preserve">牵头单位：市发展改革委 </w:t>
      </w:r>
    </w:p>
    <w:p w14:paraId="0B7E5135"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产业集聚区、</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镇（街道）人民政府（办事处）</w:t>
      </w:r>
      <w:r>
        <w:rPr>
          <w:rFonts w:ascii="仿宋_GB2312" w:eastAsia="仿宋_GB2312" w:hAnsi="仿宋_GB2312" w:cs="仿宋_GB2312"/>
          <w:color w:val="000000"/>
          <w:kern w:val="0"/>
          <w:sz w:val="31"/>
          <w:szCs w:val="31"/>
          <w:lang w:bidi="ar"/>
        </w:rPr>
        <w:t xml:space="preserve"> </w:t>
      </w:r>
    </w:p>
    <w:p w14:paraId="07FE10C2"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（四）</w:t>
      </w:r>
      <w:r>
        <w:rPr>
          <w:rFonts w:ascii="楷体_GB2312" w:eastAsia="楷体_GB2312" w:hAnsi="楷体_GB2312" w:cs="楷体_GB2312" w:hint="eastAsia"/>
          <w:b/>
          <w:bCs/>
          <w:color w:val="000000"/>
          <w:kern w:val="0"/>
          <w:sz w:val="31"/>
          <w:szCs w:val="31"/>
          <w:lang w:bidi="ar"/>
        </w:rPr>
        <w:t>落实</w:t>
      </w:r>
      <w:r>
        <w:rPr>
          <w:rFonts w:ascii="楷体_GB2312" w:eastAsia="楷体_GB2312" w:hAnsi="楷体_GB2312" w:cs="楷体_GB2312"/>
          <w:b/>
          <w:bCs/>
          <w:color w:val="000000"/>
          <w:kern w:val="0"/>
          <w:sz w:val="31"/>
          <w:szCs w:val="31"/>
          <w:lang w:bidi="ar"/>
        </w:rPr>
        <w:t>重大项目建设</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三个一批</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活动评价机制。</w:t>
      </w:r>
      <w:r>
        <w:rPr>
          <w:rFonts w:ascii="仿宋_GB2312" w:eastAsia="仿宋_GB2312" w:hAnsi="仿宋_GB2312" w:cs="仿宋_GB2312"/>
          <w:color w:val="000000"/>
          <w:kern w:val="0"/>
          <w:sz w:val="31"/>
          <w:szCs w:val="31"/>
          <w:lang w:bidi="ar"/>
        </w:rPr>
        <w:t>把</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 xml:space="preserve">三 </w:t>
      </w:r>
    </w:p>
    <w:p w14:paraId="38D5A64A" w14:textId="77777777" w:rsidR="00C97237" w:rsidRDefault="00000000">
      <w:pPr>
        <w:widowControl/>
        <w:jc w:val="left"/>
      </w:pPr>
      <w:r>
        <w:rPr>
          <w:rFonts w:ascii="仿宋_GB2312" w:eastAsia="仿宋_GB2312" w:hAnsi="仿宋_GB2312" w:cs="仿宋_GB2312"/>
          <w:color w:val="000000"/>
          <w:kern w:val="0"/>
          <w:sz w:val="31"/>
          <w:szCs w:val="31"/>
          <w:lang w:bidi="ar"/>
        </w:rPr>
        <w:t>个一批</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活动开展情况作为衡量班子建设、干部能力、工作作风的重要标尺，纳入全</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高质量发展指标考核体系。每季度对各</w:t>
      </w:r>
      <w:r>
        <w:rPr>
          <w:rFonts w:ascii="仿宋_GB2312" w:eastAsia="仿宋_GB2312" w:hAnsi="仿宋_GB2312" w:cs="仿宋_GB2312" w:hint="eastAsia"/>
          <w:color w:val="000000"/>
          <w:kern w:val="0"/>
          <w:sz w:val="31"/>
          <w:szCs w:val="31"/>
          <w:lang w:bidi="ar"/>
        </w:rPr>
        <w:t>镇办</w:t>
      </w:r>
      <w:r>
        <w:rPr>
          <w:rFonts w:ascii="仿宋_GB2312" w:eastAsia="仿宋_GB2312" w:hAnsi="仿宋_GB2312" w:cs="仿宋_GB2312"/>
          <w:color w:val="000000"/>
          <w:kern w:val="0"/>
          <w:sz w:val="31"/>
          <w:szCs w:val="31"/>
          <w:lang w:bidi="ar"/>
        </w:rPr>
        <w:t xml:space="preserve"> </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三个一批</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活动开展情况进行评价，强化考核结果运用，促进全</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形成大抓项目、抓大项目、抓好项目的浓厚氛围。 </w:t>
      </w:r>
    </w:p>
    <w:p w14:paraId="7759271E"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 xml:space="preserve">时间节点：持续推进 </w:t>
      </w:r>
    </w:p>
    <w:p w14:paraId="323E999E"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发展改革委 </w:t>
      </w:r>
    </w:p>
    <w:p w14:paraId="269815A5"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产业集聚区、</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镇（街道）人民政府（办事处）、各相关单位</w:t>
      </w:r>
      <w:r>
        <w:rPr>
          <w:rFonts w:ascii="仿宋_GB2312" w:eastAsia="仿宋_GB2312" w:hAnsi="仿宋_GB2312" w:cs="仿宋_GB2312"/>
          <w:color w:val="000000"/>
          <w:kern w:val="0"/>
          <w:sz w:val="31"/>
          <w:szCs w:val="31"/>
          <w:lang w:bidi="ar"/>
        </w:rPr>
        <w:t xml:space="preserve"> </w:t>
      </w:r>
    </w:p>
    <w:p w14:paraId="33832D37"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（五）推行企业投资项目承诺制改革。</w:t>
      </w:r>
      <w:r>
        <w:rPr>
          <w:rFonts w:ascii="仿宋_GB2312" w:eastAsia="仿宋_GB2312" w:hAnsi="仿宋_GB2312" w:cs="仿宋_GB2312" w:hint="eastAsia"/>
          <w:sz w:val="32"/>
          <w:szCs w:val="32"/>
        </w:rPr>
        <w:t>建立“政府靠前服务、政策条件引导、企业信用承诺、监管有效约束”的管理机制，</w:t>
      </w:r>
      <w:r>
        <w:rPr>
          <w:rFonts w:ascii="仿宋_GB2312" w:eastAsia="仿宋_GB2312" w:hAnsi="仿宋_GB2312" w:cs="仿宋_GB2312" w:hint="eastAsia"/>
          <w:color w:val="000000"/>
          <w:kern w:val="0"/>
          <w:sz w:val="31"/>
          <w:szCs w:val="31"/>
          <w:lang w:bidi="ar"/>
        </w:rPr>
        <w:t>制定</w:t>
      </w:r>
      <w:r>
        <w:rPr>
          <w:rFonts w:ascii="仿宋_GB2312" w:eastAsia="仿宋_GB2312" w:hAnsi="仿宋_GB2312" w:cs="仿宋_GB2312" w:hint="eastAsia"/>
          <w:sz w:val="32"/>
          <w:szCs w:val="32"/>
        </w:rPr>
        <w:t>《偃师区深化企业投资项目承诺制改革实施细则（试行）》</w:t>
      </w:r>
      <w:r>
        <w:rPr>
          <w:rFonts w:ascii="仿宋_GB2312" w:eastAsia="仿宋_GB2312" w:hAnsi="仿宋_GB2312" w:cs="仿宋_GB2312"/>
          <w:color w:val="000000"/>
          <w:kern w:val="0"/>
          <w:sz w:val="31"/>
          <w:szCs w:val="31"/>
          <w:lang w:bidi="ar"/>
        </w:rPr>
        <w:t xml:space="preserve">，明确政府统一服务项 </w:t>
      </w:r>
      <w:r>
        <w:rPr>
          <w:rFonts w:ascii="Times New Roman" w:eastAsia="宋体" w:hAnsi="Times New Roman" w:cs="Times New Roman"/>
          <w:color w:val="000000"/>
          <w:kern w:val="0"/>
          <w:sz w:val="31"/>
          <w:szCs w:val="31"/>
          <w:lang w:bidi="ar"/>
        </w:rPr>
        <w:t xml:space="preserve">15 </w:t>
      </w:r>
      <w:r>
        <w:rPr>
          <w:rFonts w:ascii="仿宋_GB2312" w:eastAsia="仿宋_GB2312" w:hAnsi="仿宋_GB2312" w:cs="仿宋_GB2312"/>
          <w:color w:val="000000"/>
          <w:kern w:val="0"/>
          <w:sz w:val="31"/>
          <w:szCs w:val="31"/>
          <w:lang w:bidi="ar"/>
        </w:rPr>
        <w:t>项，在土地出让前由政府各部门并联完成，向企业出让净地，</w:t>
      </w:r>
      <w:r>
        <w:rPr>
          <w:rFonts w:ascii="仿宋_GB2312" w:eastAsia="仿宋_GB2312" w:hAnsi="仿宋_GB2312" w:cs="仿宋_GB2312" w:hint="eastAsia"/>
          <w:sz w:val="32"/>
          <w:szCs w:val="32"/>
        </w:rPr>
        <w:t>明确产业集聚区三大板块（邙山大道板块、岳滩板块、顾县板块）四至范围，</w:t>
      </w:r>
      <w:r>
        <w:rPr>
          <w:rFonts w:ascii="仿宋_GB2312" w:eastAsia="仿宋_GB2312" w:hAnsi="仿宋_GB2312" w:cs="仿宋_GB2312"/>
          <w:color w:val="000000"/>
          <w:kern w:val="0"/>
          <w:sz w:val="31"/>
          <w:szCs w:val="31"/>
          <w:lang w:bidi="ar"/>
        </w:rPr>
        <w:t>实现开发区内一般性企业投资项目</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全承诺，拿地即开工</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 xml:space="preserve">。解决备案类项目审批周期长问题，助推项目加快建设。 </w:t>
      </w:r>
    </w:p>
    <w:p w14:paraId="4A6A5B64"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 xml:space="preserve">时间节点：持续推进 </w:t>
      </w:r>
    </w:p>
    <w:p w14:paraId="6D40DEF2"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发展改革委</w:t>
      </w:r>
    </w:p>
    <w:p w14:paraId="6CB5DF06"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lastRenderedPageBreak/>
        <w:t>责任单位：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直相关部门，</w:t>
      </w:r>
      <w:r>
        <w:rPr>
          <w:rFonts w:ascii="仿宋_GB2312" w:eastAsia="仿宋_GB2312" w:hAnsi="仿宋_GB2312" w:cs="仿宋_GB2312" w:hint="eastAsia"/>
          <w:color w:val="000000"/>
          <w:kern w:val="0"/>
          <w:sz w:val="31"/>
          <w:szCs w:val="31"/>
          <w:lang w:bidi="ar"/>
        </w:rPr>
        <w:t>产业集聚区、</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镇（街道）人民政府（办事处）</w:t>
      </w:r>
      <w:r>
        <w:rPr>
          <w:rFonts w:ascii="仿宋_GB2312" w:eastAsia="仿宋_GB2312" w:hAnsi="仿宋_GB2312" w:cs="仿宋_GB2312"/>
          <w:color w:val="000000"/>
          <w:kern w:val="0"/>
          <w:sz w:val="31"/>
          <w:szCs w:val="31"/>
          <w:lang w:bidi="ar"/>
        </w:rPr>
        <w:t xml:space="preserve"> </w:t>
      </w:r>
    </w:p>
    <w:p w14:paraId="1839E5CA"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（六）服务保障</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三个一批</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重大项目参加社会保险。</w:t>
      </w:r>
      <w:r>
        <w:rPr>
          <w:rFonts w:ascii="仿宋_GB2312" w:eastAsia="仿宋_GB2312" w:hAnsi="仿宋_GB2312" w:cs="仿宋_GB2312"/>
          <w:color w:val="000000"/>
          <w:kern w:val="0"/>
          <w:sz w:val="31"/>
          <w:szCs w:val="31"/>
          <w:lang w:bidi="ar"/>
        </w:rPr>
        <w:t>以</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 xml:space="preserve">三 </w:t>
      </w:r>
    </w:p>
    <w:p w14:paraId="00312C8F" w14:textId="77777777" w:rsidR="00C97237" w:rsidRDefault="00000000">
      <w:pPr>
        <w:widowControl/>
        <w:jc w:val="left"/>
      </w:pPr>
      <w:r>
        <w:rPr>
          <w:rFonts w:ascii="仿宋_GB2312" w:eastAsia="仿宋_GB2312" w:hAnsi="仿宋_GB2312" w:cs="仿宋_GB2312"/>
          <w:color w:val="000000"/>
          <w:kern w:val="0"/>
          <w:sz w:val="31"/>
          <w:szCs w:val="31"/>
          <w:lang w:bidi="ar"/>
        </w:rPr>
        <w:t>个一批</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开工、投产项目企业参加社会保险为工作重点，进一步发挥社会保险兜底保障作用，全力服务保障</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三个一批</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 xml:space="preserve">重点项目建设工作，实现我市经济高质量发展。 </w:t>
      </w:r>
    </w:p>
    <w:p w14:paraId="798729EF"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 xml:space="preserve">时间节点：持续推进 </w:t>
      </w:r>
    </w:p>
    <w:p w14:paraId="5160BAAC"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人力资源和社会保障局 </w:t>
      </w:r>
    </w:p>
    <w:p w14:paraId="06E642A9"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直相关部门，各</w:t>
      </w:r>
      <w:r>
        <w:rPr>
          <w:rFonts w:ascii="仿宋_GB2312" w:eastAsia="仿宋_GB2312" w:hAnsi="仿宋_GB2312" w:cs="仿宋_GB2312" w:hint="eastAsia"/>
          <w:color w:val="000000"/>
          <w:kern w:val="0"/>
          <w:sz w:val="31"/>
          <w:szCs w:val="31"/>
          <w:lang w:bidi="ar"/>
        </w:rPr>
        <w:t>镇（街道）人民政府（办事处）</w:t>
      </w:r>
      <w:r>
        <w:rPr>
          <w:rFonts w:ascii="仿宋_GB2312" w:eastAsia="仿宋_GB2312" w:hAnsi="仿宋_GB2312" w:cs="仿宋_GB2312"/>
          <w:color w:val="000000"/>
          <w:kern w:val="0"/>
          <w:sz w:val="31"/>
          <w:szCs w:val="31"/>
          <w:lang w:bidi="ar"/>
        </w:rPr>
        <w:t xml:space="preserve"> </w:t>
      </w:r>
    </w:p>
    <w:p w14:paraId="4A980FA1" w14:textId="77777777" w:rsidR="00C97237" w:rsidRDefault="00000000">
      <w:pPr>
        <w:widowControl/>
        <w:ind w:firstLineChars="200" w:firstLine="622"/>
        <w:jc w:val="left"/>
        <w:rPr>
          <w:rFonts w:ascii="仿宋_GB2312" w:eastAsia="仿宋_GB2312" w:hAnsi="仿宋_GB2312" w:cs="仿宋_GB2312"/>
          <w:color w:val="000000"/>
          <w:kern w:val="0"/>
          <w:sz w:val="31"/>
          <w:szCs w:val="31"/>
          <w:lang w:bidi="ar"/>
        </w:rPr>
      </w:pPr>
      <w:r>
        <w:rPr>
          <w:rFonts w:ascii="楷体_GB2312" w:eastAsia="楷体_GB2312" w:hAnsi="楷体_GB2312" w:cs="楷体_GB2312"/>
          <w:b/>
          <w:bCs/>
          <w:color w:val="000000"/>
          <w:kern w:val="0"/>
          <w:sz w:val="31"/>
          <w:szCs w:val="31"/>
          <w:lang w:bidi="ar"/>
        </w:rPr>
        <w:t>（七）强化项目融资服务。</w:t>
      </w:r>
      <w:r>
        <w:rPr>
          <w:rFonts w:ascii="仿宋_GB2312" w:eastAsia="仿宋_GB2312" w:hAnsi="仿宋_GB2312" w:cs="仿宋_GB2312" w:hint="eastAsia"/>
          <w:color w:val="000000"/>
          <w:kern w:val="0"/>
          <w:sz w:val="31"/>
          <w:szCs w:val="31"/>
          <w:lang w:bidi="ar"/>
        </w:rPr>
        <w:t xml:space="preserve">建立《偃师区企业融资联席会议制度》，开展常态化政银企对接，提升金融服务企业的针对性和有效性。紧盯省市重点、“三个一批”等重大项目，梳理形成融资需求清单，落实主办银行制度，前移金融服务端口，及时推送给金融机构。设立偃师区中小微企业还贷周转金资金池，帮助资金周转暂时困难的中小微企业按时归还到期贷款，以获得银行流动资金续贷支持，降低企业融资成本。 </w:t>
      </w:r>
    </w:p>
    <w:p w14:paraId="469C8335"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 xml:space="preserve">时间节点：持续推进 </w:t>
      </w:r>
    </w:p>
    <w:p w14:paraId="7D625B6C"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 xml:space="preserve">牵头单位：区金融工作局 </w:t>
      </w:r>
    </w:p>
    <w:p w14:paraId="415A2FE7"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hint="eastAsia"/>
          <w:color w:val="000000"/>
          <w:kern w:val="0"/>
          <w:sz w:val="31"/>
          <w:szCs w:val="31"/>
          <w:lang w:bidi="ar"/>
        </w:rPr>
        <w:t xml:space="preserve">责任单位：区发展改革委、区工信局，区财政局、人民银行偃师支行、洛阳银保监分局偃师监管组 </w:t>
      </w:r>
    </w:p>
    <w:p w14:paraId="3BEC7986"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lastRenderedPageBreak/>
        <w:t>（八）全面推行工业用地</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标准地</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供地机制。</w:t>
      </w:r>
      <w:r>
        <w:rPr>
          <w:rFonts w:ascii="仿宋_GB2312" w:eastAsia="仿宋_GB2312" w:hAnsi="仿宋_GB2312" w:cs="仿宋_GB2312"/>
          <w:color w:val="000000"/>
          <w:kern w:val="0"/>
          <w:sz w:val="31"/>
          <w:szCs w:val="31"/>
          <w:lang w:bidi="ar"/>
        </w:rPr>
        <w:t>从</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事后提要求</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转向</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事前定标准</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，由</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项目等地</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变为</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地等项目</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事前设定投资强度、能耗标准、生态环境标准、亩均产值、亩均税收等指标；对企业投资项目管理工作重心，逐步从事前审批转向过程服务和事中事后监管，依据土地出让合同、监管协议，按约定开展达产复核、达产评估认定，落实项目退出机制。营造</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守信者受益、失信者受限</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 xml:space="preserve">的社会氛围，服务产业项目早落地、早开工、早见效。 </w:t>
      </w:r>
    </w:p>
    <w:p w14:paraId="79FEE3E4"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 xml:space="preserve">时间节点：持续推进 </w:t>
      </w:r>
    </w:p>
    <w:p w14:paraId="42799658"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市</w:t>
      </w:r>
      <w:r>
        <w:rPr>
          <w:rFonts w:ascii="仿宋_GB2312" w:eastAsia="仿宋_GB2312" w:hAnsi="仿宋_GB2312" w:cs="仿宋_GB2312"/>
          <w:color w:val="000000"/>
          <w:kern w:val="0"/>
          <w:sz w:val="31"/>
          <w:szCs w:val="31"/>
          <w:lang w:bidi="ar"/>
        </w:rPr>
        <w:t>自然资源和规划局</w:t>
      </w:r>
      <w:r>
        <w:rPr>
          <w:rFonts w:ascii="仿宋_GB2312" w:eastAsia="仿宋_GB2312" w:hAnsi="仿宋_GB2312" w:cs="仿宋_GB2312" w:hint="eastAsia"/>
          <w:color w:val="000000"/>
          <w:kern w:val="0"/>
          <w:sz w:val="31"/>
          <w:szCs w:val="31"/>
          <w:lang w:bidi="ar"/>
        </w:rPr>
        <w:t>偃师分局、</w:t>
      </w:r>
      <w:r>
        <w:rPr>
          <w:rFonts w:ascii="仿宋_GB2312" w:eastAsia="仿宋_GB2312" w:hAnsi="仿宋_GB2312" w:cs="仿宋_GB2312"/>
          <w:color w:val="000000"/>
          <w:kern w:val="0"/>
          <w:sz w:val="31"/>
          <w:szCs w:val="31"/>
          <w:lang w:bidi="ar"/>
        </w:rPr>
        <w:t>各</w:t>
      </w:r>
      <w:r>
        <w:rPr>
          <w:rFonts w:ascii="仿宋_GB2312" w:eastAsia="仿宋_GB2312" w:hAnsi="仿宋_GB2312" w:cs="仿宋_GB2312" w:hint="eastAsia"/>
          <w:color w:val="000000"/>
          <w:kern w:val="0"/>
          <w:sz w:val="31"/>
          <w:szCs w:val="31"/>
          <w:lang w:bidi="ar"/>
        </w:rPr>
        <w:t>镇办</w:t>
      </w:r>
    </w:p>
    <w:p w14:paraId="4D8972D4"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责任单位：各园区管理机构，</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工程建设项目审批制度改革领导小组成员单位 </w:t>
      </w:r>
    </w:p>
    <w:p w14:paraId="2D070615"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（九）优化工程施工许可证办理。</w:t>
      </w:r>
      <w:r>
        <w:rPr>
          <w:rFonts w:ascii="仿宋_GB2312" w:eastAsia="仿宋_GB2312" w:hAnsi="仿宋_GB2312" w:cs="仿宋_GB2312"/>
          <w:color w:val="000000"/>
          <w:kern w:val="0"/>
          <w:sz w:val="31"/>
          <w:szCs w:val="31"/>
          <w:lang w:bidi="ar"/>
        </w:rPr>
        <w:t>将房屋建筑和市政基础设施限额调整为：工程投资额在</w:t>
      </w:r>
      <w:r>
        <w:rPr>
          <w:rFonts w:ascii="Times New Roman" w:eastAsia="宋体" w:hAnsi="Times New Roman" w:cs="Times New Roman"/>
          <w:color w:val="000000"/>
          <w:kern w:val="0"/>
          <w:sz w:val="31"/>
          <w:szCs w:val="31"/>
          <w:lang w:bidi="ar"/>
        </w:rPr>
        <w:t>100</w:t>
      </w:r>
      <w:r>
        <w:rPr>
          <w:rFonts w:ascii="仿宋_GB2312" w:eastAsia="仿宋_GB2312" w:hAnsi="仿宋_GB2312" w:cs="仿宋_GB2312"/>
          <w:color w:val="000000"/>
          <w:kern w:val="0"/>
          <w:sz w:val="31"/>
          <w:szCs w:val="31"/>
          <w:lang w:bidi="ar"/>
        </w:rPr>
        <w:t>万元以下（不含</w:t>
      </w:r>
      <w:r>
        <w:rPr>
          <w:rFonts w:ascii="Times New Roman" w:eastAsia="宋体" w:hAnsi="Times New Roman" w:cs="Times New Roman"/>
          <w:color w:val="000000"/>
          <w:kern w:val="0"/>
          <w:sz w:val="31"/>
          <w:szCs w:val="31"/>
          <w:lang w:bidi="ar"/>
        </w:rPr>
        <w:t>100</w:t>
      </w:r>
      <w:r>
        <w:rPr>
          <w:rFonts w:ascii="仿宋_GB2312" w:eastAsia="仿宋_GB2312" w:hAnsi="仿宋_GB2312" w:cs="仿宋_GB2312"/>
          <w:color w:val="000000"/>
          <w:kern w:val="0"/>
          <w:sz w:val="31"/>
          <w:szCs w:val="31"/>
          <w:lang w:bidi="ar"/>
        </w:rPr>
        <w:t>万元）或者建筑面积在</w:t>
      </w:r>
      <w:r>
        <w:rPr>
          <w:rFonts w:ascii="Times New Roman" w:eastAsia="宋体" w:hAnsi="Times New Roman" w:cs="Times New Roman"/>
          <w:color w:val="000000"/>
          <w:kern w:val="0"/>
          <w:sz w:val="31"/>
          <w:szCs w:val="31"/>
          <w:lang w:bidi="ar"/>
        </w:rPr>
        <w:t>500</w:t>
      </w:r>
      <w:r>
        <w:rPr>
          <w:rFonts w:ascii="仿宋_GB2312" w:eastAsia="仿宋_GB2312" w:hAnsi="仿宋_GB2312" w:cs="仿宋_GB2312"/>
          <w:color w:val="000000"/>
          <w:kern w:val="0"/>
          <w:sz w:val="31"/>
          <w:szCs w:val="31"/>
          <w:lang w:bidi="ar"/>
        </w:rPr>
        <w:t>平方米以下（不含</w:t>
      </w:r>
      <w:r>
        <w:rPr>
          <w:rFonts w:ascii="Times New Roman" w:eastAsia="宋体" w:hAnsi="Times New Roman" w:cs="Times New Roman"/>
          <w:color w:val="000000"/>
          <w:kern w:val="0"/>
          <w:sz w:val="31"/>
          <w:szCs w:val="31"/>
          <w:lang w:bidi="ar"/>
        </w:rPr>
        <w:t>500</w:t>
      </w:r>
      <w:r>
        <w:rPr>
          <w:rFonts w:ascii="仿宋_GB2312" w:eastAsia="仿宋_GB2312" w:hAnsi="仿宋_GB2312" w:cs="仿宋_GB2312"/>
          <w:color w:val="000000"/>
          <w:kern w:val="0"/>
          <w:sz w:val="31"/>
          <w:szCs w:val="31"/>
          <w:lang w:bidi="ar"/>
        </w:rPr>
        <w:t xml:space="preserve">平方米）的房屋建筑和市政基础设施工程，可以不申请办理施工许可证。 </w:t>
      </w:r>
    </w:p>
    <w:p w14:paraId="01813005"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时间节点：</w:t>
      </w:r>
      <w:r>
        <w:rPr>
          <w:rFonts w:ascii="Times New Roman" w:eastAsia="宋体" w:hAnsi="Times New Roman" w:cs="Times New Roman"/>
          <w:color w:val="000000"/>
          <w:kern w:val="0"/>
          <w:sz w:val="31"/>
          <w:szCs w:val="31"/>
          <w:lang w:bidi="ar"/>
        </w:rPr>
        <w:t>2022</w:t>
      </w:r>
      <w:r>
        <w:rPr>
          <w:rFonts w:ascii="仿宋_GB2312" w:eastAsia="仿宋_GB2312" w:hAnsi="仿宋_GB2312" w:cs="仿宋_GB2312"/>
          <w:color w:val="000000"/>
          <w:kern w:val="0"/>
          <w:sz w:val="31"/>
          <w:szCs w:val="31"/>
          <w:lang w:bidi="ar"/>
        </w:rPr>
        <w:t>年</w:t>
      </w:r>
      <w:r>
        <w:rPr>
          <w:rFonts w:ascii="Times New Roman" w:eastAsia="宋体" w:hAnsi="Times New Roman" w:cs="Times New Roman"/>
          <w:color w:val="000000"/>
          <w:kern w:val="0"/>
          <w:sz w:val="31"/>
          <w:szCs w:val="31"/>
          <w:lang w:bidi="ar"/>
        </w:rPr>
        <w:t>6</w:t>
      </w:r>
      <w:r>
        <w:rPr>
          <w:rFonts w:ascii="仿宋_GB2312" w:eastAsia="仿宋_GB2312" w:hAnsi="仿宋_GB2312" w:cs="仿宋_GB2312"/>
          <w:color w:val="000000"/>
          <w:kern w:val="0"/>
          <w:sz w:val="31"/>
          <w:szCs w:val="31"/>
          <w:lang w:bidi="ar"/>
        </w:rPr>
        <w:t xml:space="preserve">月 </w:t>
      </w:r>
    </w:p>
    <w:p w14:paraId="541BE1DE"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住建局 </w:t>
      </w:r>
    </w:p>
    <w:p w14:paraId="4CB4E860"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责任单位：各</w:t>
      </w:r>
      <w:r>
        <w:rPr>
          <w:rFonts w:ascii="仿宋_GB2312" w:eastAsia="仿宋_GB2312" w:hAnsi="仿宋_GB2312" w:cs="仿宋_GB2312" w:hint="eastAsia"/>
          <w:color w:val="000000"/>
          <w:kern w:val="0"/>
          <w:sz w:val="31"/>
          <w:szCs w:val="31"/>
          <w:lang w:bidi="ar"/>
        </w:rPr>
        <w:t>镇办</w:t>
      </w:r>
    </w:p>
    <w:p w14:paraId="5343914D"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（十）优化一站式联合验收备案流程。</w:t>
      </w:r>
      <w:r>
        <w:rPr>
          <w:rFonts w:ascii="仿宋_GB2312" w:eastAsia="仿宋_GB2312" w:hAnsi="仿宋_GB2312" w:cs="仿宋_GB2312"/>
          <w:color w:val="000000"/>
          <w:kern w:val="0"/>
          <w:sz w:val="31"/>
          <w:szCs w:val="31"/>
          <w:lang w:bidi="ar"/>
        </w:rPr>
        <w:t>建设工程满足联合验收条件后，建设单位通过工程建设项目审批管理系统申请联合验收。对规划核实与土地核验、消防验收或备案、人防验收</w:t>
      </w:r>
      <w:r>
        <w:rPr>
          <w:rFonts w:ascii="仿宋_GB2312" w:eastAsia="仿宋_GB2312" w:hAnsi="仿宋_GB2312" w:cs="仿宋_GB2312"/>
          <w:color w:val="000000"/>
          <w:kern w:val="0"/>
          <w:sz w:val="31"/>
          <w:szCs w:val="31"/>
          <w:lang w:bidi="ar"/>
        </w:rPr>
        <w:lastRenderedPageBreak/>
        <w:t>备案、城建档案验收等验收事项实行限时联合验收。联合验收通过后，牵头部门根据各专业部门意见统一出具《联合验收意见书》直接备案，企业无需再单独办理竣工验收备案，《联合验收意见书》</w:t>
      </w:r>
      <w:r>
        <w:rPr>
          <w:rFonts w:ascii="仿宋_GB2312" w:eastAsia="仿宋_GB2312" w:hAnsi="仿宋_GB2312" w:cs="仿宋_GB2312" w:hint="eastAsia"/>
          <w:color w:val="000000"/>
          <w:kern w:val="0"/>
          <w:sz w:val="31"/>
          <w:szCs w:val="31"/>
          <w:lang w:bidi="ar"/>
        </w:rPr>
        <w:t>，</w:t>
      </w:r>
      <w:r>
        <w:rPr>
          <w:rFonts w:ascii="仿宋_GB2312" w:eastAsia="仿宋_GB2312" w:hAnsi="仿宋_GB2312" w:cs="仿宋_GB2312"/>
          <w:color w:val="000000"/>
          <w:kern w:val="0"/>
          <w:sz w:val="31"/>
          <w:szCs w:val="31"/>
          <w:lang w:bidi="ar"/>
        </w:rPr>
        <w:t>全面启用电子证照。对于工程规模大的项目，可以按单体工程、标段等实行联合验收。一般建设项目联合验收时间压缩至</w:t>
      </w:r>
      <w:r>
        <w:rPr>
          <w:rFonts w:ascii="Times New Roman" w:eastAsia="宋体" w:hAnsi="Times New Roman" w:cs="Times New Roman"/>
          <w:color w:val="000000"/>
          <w:kern w:val="0"/>
          <w:sz w:val="31"/>
          <w:szCs w:val="31"/>
          <w:lang w:bidi="ar"/>
        </w:rPr>
        <w:t>10</w:t>
      </w:r>
      <w:r>
        <w:rPr>
          <w:rFonts w:ascii="仿宋_GB2312" w:eastAsia="仿宋_GB2312" w:hAnsi="仿宋_GB2312" w:cs="仿宋_GB2312"/>
          <w:color w:val="000000"/>
          <w:kern w:val="0"/>
          <w:sz w:val="31"/>
          <w:szCs w:val="31"/>
          <w:lang w:bidi="ar"/>
        </w:rPr>
        <w:t>个工作日以内，工业项目联合验收时间压缩至</w:t>
      </w:r>
      <w:r>
        <w:rPr>
          <w:rFonts w:ascii="仿宋_GB2312" w:eastAsia="仿宋_GB2312" w:hAnsi="仿宋_GB2312" w:cs="仿宋_GB2312" w:hint="eastAsia"/>
          <w:color w:val="000000"/>
          <w:kern w:val="0"/>
          <w:sz w:val="31"/>
          <w:szCs w:val="31"/>
          <w:lang w:bidi="ar"/>
        </w:rPr>
        <w:t>7</w:t>
      </w:r>
      <w:r>
        <w:rPr>
          <w:rFonts w:ascii="仿宋_GB2312" w:eastAsia="仿宋_GB2312" w:hAnsi="仿宋_GB2312" w:cs="仿宋_GB2312"/>
          <w:color w:val="000000"/>
          <w:kern w:val="0"/>
          <w:sz w:val="31"/>
          <w:szCs w:val="31"/>
          <w:lang w:bidi="ar"/>
        </w:rPr>
        <w:t xml:space="preserve">个工作日以内。 </w:t>
      </w:r>
    </w:p>
    <w:p w14:paraId="622A1C6C"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时间节点：</w:t>
      </w:r>
      <w:r>
        <w:rPr>
          <w:rFonts w:ascii="Times New Roman" w:eastAsia="宋体" w:hAnsi="Times New Roman" w:cs="Times New Roman"/>
          <w:color w:val="000000"/>
          <w:kern w:val="0"/>
          <w:sz w:val="31"/>
          <w:szCs w:val="31"/>
          <w:lang w:bidi="ar"/>
        </w:rPr>
        <w:t>2022</w:t>
      </w:r>
      <w:r>
        <w:rPr>
          <w:rFonts w:ascii="仿宋_GB2312" w:eastAsia="仿宋_GB2312" w:hAnsi="仿宋_GB2312" w:cs="仿宋_GB2312"/>
          <w:color w:val="000000"/>
          <w:kern w:val="0"/>
          <w:sz w:val="31"/>
          <w:szCs w:val="31"/>
          <w:lang w:bidi="ar"/>
        </w:rPr>
        <w:t>年</w:t>
      </w:r>
      <w:r>
        <w:rPr>
          <w:rFonts w:ascii="Times New Roman" w:eastAsia="宋体" w:hAnsi="Times New Roman" w:cs="Times New Roman"/>
          <w:color w:val="000000"/>
          <w:kern w:val="0"/>
          <w:sz w:val="31"/>
          <w:szCs w:val="31"/>
          <w:lang w:bidi="ar"/>
        </w:rPr>
        <w:t>3</w:t>
      </w:r>
      <w:r>
        <w:rPr>
          <w:rFonts w:ascii="仿宋_GB2312" w:eastAsia="仿宋_GB2312" w:hAnsi="仿宋_GB2312" w:cs="仿宋_GB2312"/>
          <w:color w:val="000000"/>
          <w:kern w:val="0"/>
          <w:sz w:val="31"/>
          <w:szCs w:val="31"/>
          <w:lang w:bidi="ar"/>
        </w:rPr>
        <w:t xml:space="preserve">月 </w:t>
      </w:r>
    </w:p>
    <w:p w14:paraId="04915931"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住建局 </w:t>
      </w:r>
    </w:p>
    <w:p w14:paraId="57176D3D"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市</w:t>
      </w:r>
      <w:r>
        <w:rPr>
          <w:rFonts w:ascii="仿宋_GB2312" w:eastAsia="仿宋_GB2312" w:hAnsi="仿宋_GB2312" w:cs="仿宋_GB2312"/>
          <w:color w:val="000000"/>
          <w:kern w:val="0"/>
          <w:sz w:val="31"/>
          <w:szCs w:val="31"/>
          <w:lang w:bidi="ar"/>
        </w:rPr>
        <w:t>自然资源和规划局</w:t>
      </w:r>
      <w:r>
        <w:rPr>
          <w:rFonts w:ascii="仿宋_GB2312" w:eastAsia="仿宋_GB2312" w:hAnsi="仿宋_GB2312" w:cs="仿宋_GB2312" w:hint="eastAsia"/>
          <w:color w:val="000000"/>
          <w:kern w:val="0"/>
          <w:sz w:val="31"/>
          <w:szCs w:val="31"/>
          <w:lang w:bidi="ar"/>
        </w:rPr>
        <w:t>偃师分局</w:t>
      </w:r>
    </w:p>
    <w:p w14:paraId="38C69F18"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（十一）实施</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验登合一</w:t>
      </w:r>
      <w:r>
        <w:rPr>
          <w:rFonts w:ascii="Times New Roman" w:eastAsia="宋体" w:hAnsi="Times New Roman" w:cs="Times New Roman"/>
          <w:b/>
          <w:bCs/>
          <w:color w:val="000000"/>
          <w:kern w:val="0"/>
          <w:sz w:val="31"/>
          <w:szCs w:val="31"/>
          <w:lang w:bidi="ar"/>
        </w:rPr>
        <w:t>”</w:t>
      </w:r>
      <w:r>
        <w:rPr>
          <w:rFonts w:ascii="楷体_GB2312" w:eastAsia="楷体_GB2312" w:hAnsi="楷体_GB2312" w:cs="楷体_GB2312"/>
          <w:b/>
          <w:bCs/>
          <w:color w:val="000000"/>
          <w:kern w:val="0"/>
          <w:sz w:val="31"/>
          <w:szCs w:val="31"/>
          <w:lang w:bidi="ar"/>
        </w:rPr>
        <w:t>改革。</w:t>
      </w:r>
      <w:r>
        <w:rPr>
          <w:rFonts w:ascii="仿宋_GB2312" w:eastAsia="仿宋_GB2312" w:hAnsi="仿宋_GB2312" w:cs="仿宋_GB2312"/>
          <w:color w:val="000000"/>
          <w:kern w:val="0"/>
          <w:sz w:val="31"/>
          <w:szCs w:val="31"/>
          <w:lang w:bidi="ar"/>
        </w:rPr>
        <w:t>打通工程建设项目审批系统与不动产系统，强化数据信息共享。联合验收通过后，通过工程建设项目审批管理系统自动推送</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联合验收意见</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至不动产登记系统，不动产登记机构接收的</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联合验收意见</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可作为申请办理不动产首次登记（国有建设用地使用权及房屋所有权首次登记）的材料之一，对符合登记条件的，</w:t>
      </w:r>
      <w:r>
        <w:rPr>
          <w:rFonts w:ascii="Times New Roman" w:eastAsia="宋体" w:hAnsi="Times New Roman" w:cs="Times New Roman"/>
          <w:color w:val="000000"/>
          <w:kern w:val="0"/>
          <w:sz w:val="31"/>
          <w:szCs w:val="31"/>
          <w:lang w:bidi="ar"/>
        </w:rPr>
        <w:t>1</w:t>
      </w:r>
      <w:r>
        <w:rPr>
          <w:rFonts w:ascii="仿宋_GB2312" w:eastAsia="仿宋_GB2312" w:hAnsi="仿宋_GB2312" w:cs="仿宋_GB2312"/>
          <w:color w:val="000000"/>
          <w:kern w:val="0"/>
          <w:sz w:val="31"/>
          <w:szCs w:val="31"/>
          <w:lang w:bidi="ar"/>
        </w:rPr>
        <w:t>个工作日内完成不动产登记手续，实现</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验登合一，验收即发证</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 xml:space="preserve">。 </w:t>
      </w:r>
    </w:p>
    <w:p w14:paraId="36D21EB5"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仿宋_GB2312" w:cs="仿宋_GB2312"/>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6 </w:t>
      </w:r>
      <w:r>
        <w:rPr>
          <w:rFonts w:ascii="仿宋_GB2312" w:eastAsia="仿宋_GB2312" w:hAnsi="仿宋_GB2312" w:cs="仿宋_GB2312"/>
          <w:color w:val="000000"/>
          <w:kern w:val="0"/>
          <w:sz w:val="31"/>
          <w:szCs w:val="31"/>
          <w:lang w:bidi="ar"/>
        </w:rPr>
        <w:t>月</w:t>
      </w:r>
    </w:p>
    <w:p w14:paraId="35F0C811"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市</w:t>
      </w:r>
      <w:r>
        <w:rPr>
          <w:rFonts w:ascii="仿宋_GB2312" w:eastAsia="仿宋_GB2312" w:hAnsi="仿宋_GB2312" w:cs="仿宋_GB2312"/>
          <w:color w:val="000000"/>
          <w:kern w:val="0"/>
          <w:sz w:val="31"/>
          <w:szCs w:val="31"/>
          <w:lang w:bidi="ar"/>
        </w:rPr>
        <w:t>自然资源和规划局</w:t>
      </w:r>
      <w:r>
        <w:rPr>
          <w:rFonts w:ascii="仿宋_GB2312" w:eastAsia="仿宋_GB2312" w:hAnsi="仿宋_GB2312" w:cs="仿宋_GB2312" w:hint="eastAsia"/>
          <w:color w:val="000000"/>
          <w:kern w:val="0"/>
          <w:sz w:val="31"/>
          <w:szCs w:val="31"/>
          <w:lang w:bidi="ar"/>
        </w:rPr>
        <w:t>偃师分局</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住建局、</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政务服务和大数据管理局 </w:t>
      </w:r>
    </w:p>
    <w:p w14:paraId="7138047F"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（十二）推行施工许可公告牌制度。</w:t>
      </w:r>
      <w:r>
        <w:rPr>
          <w:rFonts w:ascii="仿宋_GB2312" w:eastAsia="仿宋_GB2312" w:hAnsi="仿宋_GB2312" w:cs="仿宋_GB2312"/>
          <w:color w:val="000000"/>
          <w:kern w:val="0"/>
          <w:sz w:val="31"/>
          <w:szCs w:val="31"/>
          <w:lang w:bidi="ar"/>
        </w:rPr>
        <w:t>新开工建筑工程，在项目门外醒目位置设置施工许可公告牌，公示至竣工验收完</w:t>
      </w:r>
      <w:r>
        <w:rPr>
          <w:rFonts w:ascii="仿宋_GB2312" w:eastAsia="仿宋_GB2312" w:hAnsi="仿宋_GB2312" w:cs="仿宋_GB2312"/>
          <w:color w:val="000000"/>
          <w:kern w:val="0"/>
          <w:sz w:val="31"/>
          <w:szCs w:val="31"/>
          <w:lang w:bidi="ar"/>
        </w:rPr>
        <w:lastRenderedPageBreak/>
        <w:t xml:space="preserve">成，接受社会监督。公示牌内容应包括施工许可证编号、发证机关、发证日期、工程名称、建设地址、建设规模，以及施工许可证颁发、监管部门和工程质量安全监管部门的监督电话。 </w:t>
      </w:r>
    </w:p>
    <w:p w14:paraId="0D11718E"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时间节点：</w:t>
      </w:r>
      <w:r>
        <w:rPr>
          <w:rFonts w:ascii="Times New Roman" w:eastAsia="宋体" w:hAnsi="Times New Roman" w:cs="Times New Roman"/>
          <w:color w:val="000000"/>
          <w:kern w:val="0"/>
          <w:sz w:val="31"/>
          <w:szCs w:val="31"/>
          <w:lang w:bidi="ar"/>
        </w:rPr>
        <w:t>2022</w:t>
      </w:r>
      <w:r>
        <w:rPr>
          <w:rFonts w:ascii="仿宋_GB2312" w:eastAsia="仿宋_GB2312" w:hAnsi="仿宋_GB2312" w:cs="仿宋_GB2312"/>
          <w:color w:val="000000"/>
          <w:kern w:val="0"/>
          <w:sz w:val="31"/>
          <w:szCs w:val="31"/>
          <w:lang w:bidi="ar"/>
        </w:rPr>
        <w:t>年</w:t>
      </w:r>
      <w:r>
        <w:rPr>
          <w:rFonts w:ascii="Times New Roman" w:eastAsia="宋体" w:hAnsi="Times New Roman" w:cs="Times New Roman"/>
          <w:color w:val="000000"/>
          <w:kern w:val="0"/>
          <w:sz w:val="31"/>
          <w:szCs w:val="31"/>
          <w:lang w:bidi="ar"/>
        </w:rPr>
        <w:t>6</w:t>
      </w:r>
      <w:r>
        <w:rPr>
          <w:rFonts w:ascii="仿宋_GB2312" w:eastAsia="仿宋_GB2312" w:hAnsi="仿宋_GB2312" w:cs="仿宋_GB2312"/>
          <w:color w:val="000000"/>
          <w:kern w:val="0"/>
          <w:sz w:val="31"/>
          <w:szCs w:val="31"/>
          <w:lang w:bidi="ar"/>
        </w:rPr>
        <w:t xml:space="preserve">月 </w:t>
      </w:r>
    </w:p>
    <w:p w14:paraId="713DF9F9"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住建局 </w:t>
      </w:r>
    </w:p>
    <w:p w14:paraId="71ABB7CB"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责任单位：各</w:t>
      </w:r>
      <w:r>
        <w:rPr>
          <w:rFonts w:ascii="仿宋_GB2312" w:eastAsia="仿宋_GB2312" w:hAnsi="仿宋_GB2312" w:cs="仿宋_GB2312" w:hint="eastAsia"/>
          <w:color w:val="000000"/>
          <w:kern w:val="0"/>
          <w:sz w:val="31"/>
          <w:szCs w:val="31"/>
          <w:lang w:bidi="ar"/>
        </w:rPr>
        <w:t>镇办</w:t>
      </w:r>
    </w:p>
    <w:p w14:paraId="63B6EE24"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（十三）实施质量安全分级管控。</w:t>
      </w:r>
      <w:r>
        <w:rPr>
          <w:rFonts w:ascii="仿宋_GB2312" w:eastAsia="仿宋_GB2312" w:hAnsi="仿宋_GB2312" w:cs="仿宋_GB2312"/>
          <w:color w:val="000000"/>
          <w:kern w:val="0"/>
          <w:sz w:val="31"/>
          <w:szCs w:val="31"/>
          <w:lang w:bidi="ar"/>
        </w:rPr>
        <w:t xml:space="preserve">建立工程质量安全分级管控清单，强化参建单位内部管控。工程质量安全监管机构根据工程性质、规模、技术难度等工程风险情况实施差别化管理，重点检查涉及工程结构安全、危险性较大的分部分项工程施工，对建设单位落实首要责任、施工单位工地现场落实质量安全措施的情况实施监管。对于发现工程参建各方违法违规行为的，适当加大监督频次和抽检力度，采取责令整改、记录不良行为、行政处罚等措施，并严肃追究违法责任。 </w:t>
      </w:r>
    </w:p>
    <w:p w14:paraId="7BDABD9B"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时间节点：</w:t>
      </w:r>
      <w:r>
        <w:rPr>
          <w:rFonts w:ascii="Times New Roman" w:eastAsia="宋体" w:hAnsi="Times New Roman" w:cs="Times New Roman"/>
          <w:color w:val="000000"/>
          <w:kern w:val="0"/>
          <w:sz w:val="31"/>
          <w:szCs w:val="31"/>
          <w:lang w:bidi="ar"/>
        </w:rPr>
        <w:t>2022</w:t>
      </w:r>
      <w:r>
        <w:rPr>
          <w:rFonts w:ascii="仿宋_GB2312" w:eastAsia="仿宋_GB2312" w:hAnsi="仿宋_GB2312" w:cs="仿宋_GB2312"/>
          <w:color w:val="000000"/>
          <w:kern w:val="0"/>
          <w:sz w:val="31"/>
          <w:szCs w:val="31"/>
          <w:lang w:bidi="ar"/>
        </w:rPr>
        <w:t>年</w:t>
      </w:r>
      <w:r>
        <w:rPr>
          <w:rFonts w:ascii="Times New Roman" w:eastAsia="宋体" w:hAnsi="Times New Roman" w:cs="Times New Roman"/>
          <w:color w:val="000000"/>
          <w:kern w:val="0"/>
          <w:sz w:val="31"/>
          <w:szCs w:val="31"/>
          <w:lang w:bidi="ar"/>
        </w:rPr>
        <w:t>12</w:t>
      </w:r>
      <w:r>
        <w:rPr>
          <w:rFonts w:ascii="仿宋_GB2312" w:eastAsia="仿宋_GB2312" w:hAnsi="仿宋_GB2312" w:cs="仿宋_GB2312"/>
          <w:color w:val="000000"/>
          <w:kern w:val="0"/>
          <w:sz w:val="31"/>
          <w:szCs w:val="31"/>
          <w:lang w:bidi="ar"/>
        </w:rPr>
        <w:t xml:space="preserve">月 </w:t>
      </w:r>
    </w:p>
    <w:p w14:paraId="11A8DE0B"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住建局 </w:t>
      </w:r>
    </w:p>
    <w:p w14:paraId="165B13DB"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责任单位：各</w:t>
      </w:r>
      <w:r>
        <w:rPr>
          <w:rFonts w:ascii="仿宋_GB2312" w:eastAsia="仿宋_GB2312" w:hAnsi="仿宋_GB2312" w:cs="仿宋_GB2312" w:hint="eastAsia"/>
          <w:color w:val="000000"/>
          <w:kern w:val="0"/>
          <w:sz w:val="31"/>
          <w:szCs w:val="31"/>
          <w:lang w:bidi="ar"/>
        </w:rPr>
        <w:t>镇办</w:t>
      </w:r>
    </w:p>
    <w:p w14:paraId="3F157374"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（十四）优化红线外行政审批办理流程，提高接入效率。</w:t>
      </w:r>
      <w:r>
        <w:rPr>
          <w:rFonts w:ascii="仿宋_GB2312" w:eastAsia="仿宋_GB2312" w:hAnsi="仿宋_GB2312" w:cs="仿宋_GB2312"/>
          <w:color w:val="000000"/>
          <w:kern w:val="0"/>
          <w:sz w:val="31"/>
          <w:szCs w:val="31"/>
          <w:lang w:bidi="ar"/>
        </w:rPr>
        <w:t>探索在工程建设项目审批系统中，对红线外水、电、气、热接入工程单独设置审批流程，推行告知承诺制，最大限度减少审批材料和审批时间，提高服务事项的接入效率，材料齐全的，应于</w:t>
      </w:r>
      <w:r>
        <w:rPr>
          <w:rFonts w:ascii="Times New Roman" w:eastAsia="宋体" w:hAnsi="Times New Roman" w:cs="Times New Roman"/>
          <w:color w:val="000000"/>
          <w:kern w:val="0"/>
          <w:sz w:val="31"/>
          <w:szCs w:val="31"/>
          <w:lang w:bidi="ar"/>
        </w:rPr>
        <w:t>5</w:t>
      </w:r>
      <w:r>
        <w:rPr>
          <w:rFonts w:ascii="仿宋_GB2312" w:eastAsia="仿宋_GB2312" w:hAnsi="仿宋_GB2312" w:cs="仿宋_GB2312"/>
          <w:color w:val="000000"/>
          <w:kern w:val="0"/>
          <w:sz w:val="31"/>
          <w:szCs w:val="31"/>
          <w:lang w:bidi="ar"/>
        </w:rPr>
        <w:t>个工作日内完成审批工作；引入行政审批事项</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好差评</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lastRenderedPageBreak/>
        <w:t>机制，以评促改，打通办事堵点痛点，倒逼政务服务提质增效。保障重点项目所需水电气暖等市政公用服务设施报装接入等工作，涉及市政设施类审批（占用挖掘城市道路）、工程建设涉及城市绿地树木审批、城镇污水排入排水管网许可等事项实行并联审批和</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承诺制</w:t>
      </w:r>
      <w:r>
        <w:rPr>
          <w:rFonts w:ascii="Times New Roman" w:eastAsia="宋体" w:hAnsi="Times New Roman" w:cs="Times New Roman"/>
          <w:color w:val="000000"/>
          <w:kern w:val="0"/>
          <w:sz w:val="31"/>
          <w:szCs w:val="31"/>
          <w:lang w:bidi="ar"/>
        </w:rPr>
        <w:t>”</w:t>
      </w:r>
      <w:r>
        <w:rPr>
          <w:rFonts w:ascii="仿宋_GB2312" w:eastAsia="仿宋_GB2312" w:hAnsi="仿宋_GB2312" w:cs="仿宋_GB2312"/>
          <w:color w:val="000000"/>
          <w:kern w:val="0"/>
          <w:sz w:val="31"/>
          <w:szCs w:val="31"/>
          <w:lang w:bidi="ar"/>
        </w:rPr>
        <w:t xml:space="preserve">审批。 </w:t>
      </w:r>
    </w:p>
    <w:p w14:paraId="34FAFA24"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时间节点：</w:t>
      </w:r>
      <w:r>
        <w:rPr>
          <w:rFonts w:ascii="Times New Roman" w:eastAsia="宋体" w:hAnsi="Times New Roman" w:cs="Times New Roman"/>
          <w:color w:val="000000"/>
          <w:kern w:val="0"/>
          <w:sz w:val="31"/>
          <w:szCs w:val="31"/>
          <w:lang w:bidi="ar"/>
        </w:rPr>
        <w:t>2022</w:t>
      </w:r>
      <w:r>
        <w:rPr>
          <w:rFonts w:ascii="仿宋_GB2312" w:eastAsia="仿宋_GB2312" w:hAnsi="仿宋_GB2312" w:cs="仿宋_GB2312"/>
          <w:color w:val="000000"/>
          <w:kern w:val="0"/>
          <w:sz w:val="31"/>
          <w:szCs w:val="31"/>
          <w:lang w:bidi="ar"/>
        </w:rPr>
        <w:t>年</w:t>
      </w:r>
      <w:r>
        <w:rPr>
          <w:rFonts w:ascii="Times New Roman" w:eastAsia="宋体" w:hAnsi="Times New Roman" w:cs="Times New Roman"/>
          <w:color w:val="000000"/>
          <w:kern w:val="0"/>
          <w:sz w:val="31"/>
          <w:szCs w:val="31"/>
          <w:lang w:bidi="ar"/>
        </w:rPr>
        <w:t>12</w:t>
      </w:r>
      <w:r>
        <w:rPr>
          <w:rFonts w:ascii="仿宋_GB2312" w:eastAsia="仿宋_GB2312" w:hAnsi="仿宋_GB2312" w:cs="仿宋_GB2312"/>
          <w:color w:val="000000"/>
          <w:kern w:val="0"/>
          <w:sz w:val="31"/>
          <w:szCs w:val="31"/>
          <w:lang w:bidi="ar"/>
        </w:rPr>
        <w:t xml:space="preserve">月 </w:t>
      </w:r>
    </w:p>
    <w:p w14:paraId="1B5AF81E"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城市管理局、</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住建局、</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政务服务和大数据管理局</w:t>
      </w:r>
    </w:p>
    <w:p w14:paraId="0BED63DA"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责任单位：国网</w:t>
      </w:r>
      <w:r>
        <w:rPr>
          <w:rFonts w:ascii="仿宋_GB2312" w:eastAsia="仿宋_GB2312" w:hAnsi="仿宋_GB2312" w:cs="仿宋_GB2312" w:hint="eastAsia"/>
          <w:color w:val="000000"/>
          <w:kern w:val="0"/>
          <w:sz w:val="31"/>
          <w:szCs w:val="31"/>
          <w:lang w:bidi="ar"/>
        </w:rPr>
        <w:t>偃师</w:t>
      </w:r>
      <w:r>
        <w:rPr>
          <w:rFonts w:ascii="仿宋_GB2312" w:eastAsia="仿宋_GB2312" w:hAnsi="仿宋_GB2312" w:cs="仿宋_GB2312"/>
          <w:color w:val="000000"/>
          <w:kern w:val="0"/>
          <w:sz w:val="31"/>
          <w:szCs w:val="31"/>
          <w:lang w:bidi="ar"/>
        </w:rPr>
        <w:t>供电公司、</w:t>
      </w:r>
      <w:r>
        <w:rPr>
          <w:rFonts w:ascii="仿宋_GB2312" w:eastAsia="仿宋_GB2312" w:hAnsi="仿宋_GB2312" w:cs="仿宋_GB2312" w:hint="eastAsia"/>
          <w:color w:val="000000"/>
          <w:kern w:val="0"/>
          <w:sz w:val="31"/>
          <w:szCs w:val="31"/>
          <w:lang w:bidi="ar"/>
        </w:rPr>
        <w:t>亳源</w:t>
      </w:r>
      <w:r>
        <w:rPr>
          <w:rFonts w:ascii="仿宋_GB2312" w:eastAsia="仿宋_GB2312" w:hAnsi="仿宋_GB2312" w:cs="仿宋_GB2312"/>
          <w:color w:val="000000"/>
          <w:kern w:val="0"/>
          <w:sz w:val="31"/>
          <w:szCs w:val="31"/>
          <w:lang w:bidi="ar"/>
        </w:rPr>
        <w:t>水务、</w:t>
      </w:r>
      <w:r>
        <w:rPr>
          <w:rFonts w:ascii="仿宋_GB2312" w:eastAsia="仿宋_GB2312" w:hAnsi="仿宋_GB2312" w:cs="仿宋_GB2312" w:hint="eastAsia"/>
          <w:color w:val="000000"/>
          <w:kern w:val="0"/>
          <w:sz w:val="31"/>
          <w:szCs w:val="31"/>
          <w:lang w:bidi="ar"/>
        </w:rPr>
        <w:t>华润热力</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hint="eastAsia"/>
          <w:color w:val="000000"/>
          <w:kern w:val="0"/>
          <w:sz w:val="31"/>
          <w:szCs w:val="31"/>
          <w:lang w:bidi="ar"/>
        </w:rPr>
        <w:t>寰慧热力、中裕燃气</w:t>
      </w:r>
      <w:r>
        <w:rPr>
          <w:rFonts w:ascii="仿宋_GB2312" w:eastAsia="仿宋_GB2312" w:hAnsi="仿宋_GB2312" w:cs="仿宋_GB2312"/>
          <w:color w:val="000000"/>
          <w:kern w:val="0"/>
          <w:sz w:val="31"/>
          <w:szCs w:val="31"/>
          <w:lang w:bidi="ar"/>
        </w:rPr>
        <w:t xml:space="preserve">公司 </w:t>
      </w:r>
    </w:p>
    <w:p w14:paraId="2D1C6A94" w14:textId="77777777" w:rsidR="00C97237" w:rsidRDefault="00000000">
      <w:pPr>
        <w:widowControl/>
        <w:ind w:firstLineChars="200" w:firstLine="622"/>
        <w:jc w:val="left"/>
        <w:rPr>
          <w:rFonts w:ascii="仿宋_GB2312" w:eastAsia="仿宋_GB2312" w:hAnsi="仿宋_GB2312" w:cs="仿宋_GB2312"/>
          <w:color w:val="000000"/>
          <w:kern w:val="0"/>
          <w:sz w:val="31"/>
          <w:szCs w:val="31"/>
          <w:lang w:bidi="ar"/>
        </w:rPr>
      </w:pPr>
      <w:r>
        <w:rPr>
          <w:rFonts w:ascii="楷体_GB2312" w:eastAsia="楷体_GB2312" w:hAnsi="楷体_GB2312" w:cs="楷体_GB2312"/>
          <w:b/>
          <w:bCs/>
          <w:color w:val="000000"/>
          <w:kern w:val="0"/>
          <w:sz w:val="31"/>
          <w:szCs w:val="31"/>
          <w:lang w:bidi="ar"/>
        </w:rPr>
        <w:t>（十五）规范供水供电供气供暖等行业收费行为。</w:t>
      </w:r>
      <w:r>
        <w:rPr>
          <w:rFonts w:ascii="仿宋_GB2312" w:eastAsia="仿宋_GB2312" w:hAnsi="仿宋_GB2312" w:cs="仿宋_GB2312"/>
          <w:color w:val="000000"/>
          <w:kern w:val="0"/>
          <w:sz w:val="31"/>
          <w:szCs w:val="31"/>
          <w:lang w:bidi="ar"/>
        </w:rPr>
        <w:t xml:space="preserve">严格落实 “城镇规划建设用地范围内，供水供电供气供热企业的投资界面延伸至用户建筑区划红线”要求，从用户建筑区划红线连接至公共管网发生的入网工程建设费用，由供水供电供气供热企业和政府合理分担，除法律法规和相关政策另有规定外，不得由用户承担建筑区划红线外发生的任何费用。 </w:t>
      </w:r>
    </w:p>
    <w:p w14:paraId="36317513"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 xml:space="preserve">时间节点：2022 年 4 月 </w:t>
      </w:r>
    </w:p>
    <w:p w14:paraId="2265346B"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牵头单位：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城市管理局、</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发展改革委 </w:t>
      </w:r>
    </w:p>
    <w:p w14:paraId="1F98B089" w14:textId="77777777" w:rsidR="00C97237" w:rsidRDefault="00000000">
      <w:pPr>
        <w:widowControl/>
        <w:ind w:firstLineChars="200" w:firstLine="620"/>
        <w:jc w:val="left"/>
        <w:rPr>
          <w:rFonts w:ascii="仿宋_GB2312" w:eastAsia="仿宋_GB2312" w:hAnsi="仿宋_GB2312" w:cs="仿宋_GB2312"/>
          <w:color w:val="000000"/>
          <w:kern w:val="0"/>
          <w:sz w:val="31"/>
          <w:szCs w:val="31"/>
          <w:lang w:bidi="ar"/>
        </w:rPr>
      </w:pPr>
      <w:r>
        <w:rPr>
          <w:rFonts w:ascii="仿宋_GB2312" w:eastAsia="仿宋_GB2312" w:hAnsi="仿宋_GB2312" w:cs="仿宋_GB2312"/>
          <w:color w:val="000000"/>
          <w:kern w:val="0"/>
          <w:sz w:val="31"/>
          <w:szCs w:val="31"/>
          <w:lang w:bidi="ar"/>
        </w:rPr>
        <w:t>责任单位：国网</w:t>
      </w:r>
      <w:r>
        <w:rPr>
          <w:rFonts w:ascii="仿宋_GB2312" w:eastAsia="仿宋_GB2312" w:hAnsi="仿宋_GB2312" w:cs="仿宋_GB2312" w:hint="eastAsia"/>
          <w:color w:val="000000"/>
          <w:kern w:val="0"/>
          <w:sz w:val="31"/>
          <w:szCs w:val="31"/>
          <w:lang w:bidi="ar"/>
        </w:rPr>
        <w:t>偃师</w:t>
      </w:r>
      <w:r>
        <w:rPr>
          <w:rFonts w:ascii="仿宋_GB2312" w:eastAsia="仿宋_GB2312" w:hAnsi="仿宋_GB2312" w:cs="仿宋_GB2312"/>
          <w:color w:val="000000"/>
          <w:kern w:val="0"/>
          <w:sz w:val="31"/>
          <w:szCs w:val="31"/>
          <w:lang w:bidi="ar"/>
        </w:rPr>
        <w:t>供电公司、</w:t>
      </w:r>
      <w:r>
        <w:rPr>
          <w:rFonts w:ascii="仿宋_GB2312" w:eastAsia="仿宋_GB2312" w:hAnsi="仿宋_GB2312" w:cs="仿宋_GB2312" w:hint="eastAsia"/>
          <w:color w:val="000000"/>
          <w:kern w:val="0"/>
          <w:sz w:val="31"/>
          <w:szCs w:val="31"/>
          <w:lang w:bidi="ar"/>
        </w:rPr>
        <w:t>亳源</w:t>
      </w:r>
      <w:r>
        <w:rPr>
          <w:rFonts w:ascii="仿宋_GB2312" w:eastAsia="仿宋_GB2312" w:hAnsi="仿宋_GB2312" w:cs="仿宋_GB2312"/>
          <w:color w:val="000000"/>
          <w:kern w:val="0"/>
          <w:sz w:val="31"/>
          <w:szCs w:val="31"/>
          <w:lang w:bidi="ar"/>
        </w:rPr>
        <w:t>水务、</w:t>
      </w:r>
      <w:r>
        <w:rPr>
          <w:rFonts w:ascii="仿宋_GB2312" w:eastAsia="仿宋_GB2312" w:hAnsi="仿宋_GB2312" w:cs="仿宋_GB2312" w:hint="eastAsia"/>
          <w:color w:val="000000"/>
          <w:kern w:val="0"/>
          <w:sz w:val="31"/>
          <w:szCs w:val="31"/>
          <w:lang w:bidi="ar"/>
        </w:rPr>
        <w:t>华润热力</w:t>
      </w:r>
      <w:r>
        <w:rPr>
          <w:rFonts w:ascii="仿宋_GB2312" w:eastAsia="仿宋_GB2312" w:hAnsi="仿宋_GB2312" w:cs="仿宋_GB2312"/>
          <w:color w:val="000000"/>
          <w:kern w:val="0"/>
          <w:sz w:val="31"/>
          <w:szCs w:val="31"/>
          <w:lang w:bidi="ar"/>
        </w:rPr>
        <w:t>、</w:t>
      </w:r>
      <w:r>
        <w:rPr>
          <w:rFonts w:ascii="仿宋_GB2312" w:eastAsia="仿宋_GB2312" w:hAnsi="仿宋_GB2312" w:cs="仿宋_GB2312" w:hint="eastAsia"/>
          <w:color w:val="000000"/>
          <w:kern w:val="0"/>
          <w:sz w:val="31"/>
          <w:szCs w:val="31"/>
          <w:lang w:bidi="ar"/>
        </w:rPr>
        <w:t>寰慧热力、中裕燃气</w:t>
      </w:r>
      <w:r>
        <w:rPr>
          <w:rFonts w:ascii="仿宋_GB2312" w:eastAsia="仿宋_GB2312" w:hAnsi="仿宋_GB2312" w:cs="仿宋_GB2312"/>
          <w:color w:val="000000"/>
          <w:kern w:val="0"/>
          <w:sz w:val="31"/>
          <w:szCs w:val="31"/>
          <w:lang w:bidi="ar"/>
        </w:rPr>
        <w:t xml:space="preserve">公司 </w:t>
      </w:r>
    </w:p>
    <w:p w14:paraId="3FB92C12"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（十六）严格执行首问负责、一次性告知、限时办结工作制度。</w:t>
      </w:r>
      <w:r>
        <w:rPr>
          <w:rFonts w:ascii="仿宋_GB2312" w:eastAsia="仿宋_GB2312" w:hAnsi="仿宋_GB2312" w:cs="仿宋_GB2312"/>
          <w:color w:val="000000"/>
          <w:kern w:val="0"/>
          <w:sz w:val="31"/>
          <w:szCs w:val="31"/>
          <w:lang w:bidi="ar"/>
        </w:rPr>
        <w:t>申请人申报资料缺失时，一次性补正告知申请人所需提</w:t>
      </w:r>
      <w:r>
        <w:rPr>
          <w:rFonts w:ascii="仿宋_GB2312" w:eastAsia="仿宋_GB2312" w:hAnsi="仿宋_GB2312" w:cs="仿宋_GB2312"/>
          <w:color w:val="000000"/>
          <w:kern w:val="0"/>
          <w:sz w:val="31"/>
          <w:szCs w:val="31"/>
          <w:lang w:bidi="ar"/>
        </w:rPr>
        <w:lastRenderedPageBreak/>
        <w:t xml:space="preserve">交资料，不发生 </w:t>
      </w:r>
      <w:r>
        <w:rPr>
          <w:rFonts w:ascii="Times New Roman" w:eastAsia="宋体" w:hAnsi="Times New Roman" w:cs="Times New Roman"/>
          <w:color w:val="000000"/>
          <w:kern w:val="0"/>
          <w:sz w:val="31"/>
          <w:szCs w:val="31"/>
          <w:lang w:bidi="ar"/>
        </w:rPr>
        <w:t xml:space="preserve">2 </w:t>
      </w:r>
      <w:r>
        <w:rPr>
          <w:rFonts w:ascii="仿宋_GB2312" w:eastAsia="仿宋_GB2312" w:hAnsi="仿宋_GB2312" w:cs="仿宋_GB2312"/>
          <w:color w:val="000000"/>
          <w:kern w:val="0"/>
          <w:sz w:val="31"/>
          <w:szCs w:val="31"/>
          <w:lang w:bidi="ar"/>
        </w:rPr>
        <w:t xml:space="preserve">次以上提交资料的情况；严格执行承诺时限，提高即办件事项比率至 </w:t>
      </w:r>
      <w:r>
        <w:rPr>
          <w:rFonts w:ascii="Times New Roman" w:eastAsia="宋体" w:hAnsi="Times New Roman" w:cs="Times New Roman"/>
          <w:color w:val="000000"/>
          <w:kern w:val="0"/>
          <w:sz w:val="31"/>
          <w:szCs w:val="31"/>
          <w:lang w:bidi="ar"/>
        </w:rPr>
        <w:t>50%</w:t>
      </w:r>
      <w:r>
        <w:rPr>
          <w:rFonts w:ascii="仿宋_GB2312" w:eastAsia="仿宋_GB2312" w:hAnsi="仿宋_GB2312" w:cs="仿宋_GB2312"/>
          <w:color w:val="000000"/>
          <w:kern w:val="0"/>
          <w:sz w:val="31"/>
          <w:szCs w:val="31"/>
          <w:lang w:bidi="ar"/>
        </w:rPr>
        <w:t xml:space="preserve">，即办件当日办结，承诺件办结时限压缩至 </w:t>
      </w:r>
      <w:r>
        <w:rPr>
          <w:rFonts w:ascii="Times New Roman" w:eastAsia="宋体" w:hAnsi="Times New Roman" w:cs="Times New Roman"/>
          <w:color w:val="000000"/>
          <w:kern w:val="0"/>
          <w:sz w:val="31"/>
          <w:szCs w:val="31"/>
          <w:lang w:bidi="ar"/>
        </w:rPr>
        <w:t xml:space="preserve">6 </w:t>
      </w:r>
      <w:r>
        <w:rPr>
          <w:rFonts w:ascii="仿宋_GB2312" w:eastAsia="仿宋_GB2312" w:hAnsi="仿宋_GB2312" w:cs="仿宋_GB2312"/>
          <w:color w:val="000000"/>
          <w:kern w:val="0"/>
          <w:sz w:val="31"/>
          <w:szCs w:val="31"/>
          <w:lang w:bidi="ar"/>
        </w:rPr>
        <w:t xml:space="preserve">个工作日办结，工改项目建设的安全条件审查和安全设施设计审查压缩至 </w:t>
      </w:r>
      <w:r>
        <w:rPr>
          <w:rFonts w:ascii="Times New Roman" w:eastAsia="宋体" w:hAnsi="Times New Roman" w:cs="Times New Roman"/>
          <w:color w:val="000000"/>
          <w:kern w:val="0"/>
          <w:sz w:val="31"/>
          <w:szCs w:val="31"/>
          <w:lang w:bidi="ar"/>
        </w:rPr>
        <w:t xml:space="preserve">5 </w:t>
      </w:r>
      <w:r>
        <w:rPr>
          <w:rFonts w:ascii="仿宋_GB2312" w:eastAsia="仿宋_GB2312" w:hAnsi="仿宋_GB2312" w:cs="仿宋_GB2312"/>
          <w:color w:val="000000"/>
          <w:kern w:val="0"/>
          <w:sz w:val="31"/>
          <w:szCs w:val="31"/>
          <w:lang w:bidi="ar"/>
        </w:rPr>
        <w:t xml:space="preserve">个工作日办结，行政审批按时办结率达 </w:t>
      </w:r>
      <w:r>
        <w:rPr>
          <w:rFonts w:ascii="Times New Roman" w:eastAsia="宋体" w:hAnsi="Times New Roman" w:cs="Times New Roman"/>
          <w:color w:val="000000"/>
          <w:kern w:val="0"/>
          <w:sz w:val="31"/>
          <w:szCs w:val="31"/>
          <w:lang w:bidi="ar"/>
        </w:rPr>
        <w:t>100%</w:t>
      </w:r>
      <w:r>
        <w:rPr>
          <w:rFonts w:ascii="仿宋_GB2312" w:eastAsia="仿宋_GB2312" w:hAnsi="仿宋_GB2312" w:cs="仿宋_GB2312"/>
          <w:color w:val="000000"/>
          <w:kern w:val="0"/>
          <w:sz w:val="31"/>
          <w:szCs w:val="31"/>
          <w:lang w:bidi="ar"/>
        </w:rPr>
        <w:t xml:space="preserve">，不出现超期办件情况。 </w:t>
      </w:r>
    </w:p>
    <w:p w14:paraId="3DDC8023" w14:textId="77777777" w:rsidR="00C97237" w:rsidRDefault="00000000">
      <w:pPr>
        <w:widowControl/>
        <w:ind w:firstLineChars="200" w:firstLine="620"/>
        <w:jc w:val="left"/>
      </w:pPr>
      <w:r>
        <w:rPr>
          <w:rFonts w:ascii="仿宋_GB2312" w:eastAsia="仿宋_GB2312" w:hAnsi="仿宋_GB2312" w:cs="仿宋_GB2312"/>
          <w:color w:val="000000"/>
          <w:kern w:val="0"/>
          <w:sz w:val="31"/>
          <w:szCs w:val="31"/>
          <w:lang w:bidi="ar"/>
        </w:rPr>
        <w:t xml:space="preserve">时间节点：持续推进 </w:t>
      </w:r>
    </w:p>
    <w:p w14:paraId="4F2C9123" w14:textId="77777777" w:rsidR="00C97237" w:rsidRDefault="00000000">
      <w:pPr>
        <w:widowControl/>
        <w:ind w:firstLineChars="200" w:firstLine="620"/>
        <w:jc w:val="left"/>
        <w:rPr>
          <w:highlight w:val="yellow"/>
        </w:rPr>
      </w:pPr>
      <w:r>
        <w:rPr>
          <w:rFonts w:ascii="仿宋_GB2312" w:eastAsia="仿宋_GB2312" w:hAnsi="仿宋_GB2312" w:cs="仿宋_GB2312"/>
          <w:color w:val="000000"/>
          <w:kern w:val="0"/>
          <w:sz w:val="31"/>
          <w:szCs w:val="31"/>
          <w:lang w:bidi="ar"/>
        </w:rPr>
        <w:t>责任单位：</w:t>
      </w:r>
      <w:r>
        <w:rPr>
          <w:rFonts w:ascii="仿宋_GB2312" w:eastAsia="仿宋_GB2312" w:hAnsi="仿宋_GB2312" w:cs="仿宋_GB2312" w:hint="eastAsia"/>
          <w:color w:val="000000"/>
          <w:kern w:val="0"/>
          <w:sz w:val="31"/>
          <w:szCs w:val="31"/>
          <w:lang w:bidi="ar"/>
        </w:rPr>
        <w:t>区</w:t>
      </w:r>
      <w:r>
        <w:rPr>
          <w:rFonts w:ascii="仿宋_GB2312" w:eastAsia="仿宋_GB2312" w:hAnsi="仿宋_GB2312" w:cs="仿宋_GB2312"/>
          <w:color w:val="000000"/>
          <w:kern w:val="0"/>
          <w:sz w:val="31"/>
          <w:szCs w:val="31"/>
          <w:lang w:bidi="ar"/>
        </w:rPr>
        <w:t xml:space="preserve">应急管理局 </w:t>
      </w:r>
    </w:p>
    <w:p w14:paraId="7BC8BE0F" w14:textId="77777777" w:rsidR="00C97237" w:rsidRDefault="00000000">
      <w:pPr>
        <w:widowControl/>
        <w:ind w:firstLineChars="200" w:firstLine="620"/>
        <w:jc w:val="left"/>
      </w:pPr>
      <w:r>
        <w:rPr>
          <w:rFonts w:ascii="黑体" w:eastAsia="黑体" w:hAnsi="宋体" w:cs="黑体" w:hint="eastAsia"/>
          <w:color w:val="000000"/>
          <w:kern w:val="0"/>
          <w:sz w:val="31"/>
          <w:szCs w:val="31"/>
          <w:lang w:bidi="ar"/>
        </w:rPr>
        <w:t xml:space="preserve">四、保障措施 </w:t>
      </w:r>
    </w:p>
    <w:p w14:paraId="5F303730"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（一）压实目标责任。</w:t>
      </w:r>
      <w:r>
        <w:rPr>
          <w:rFonts w:ascii="仿宋_GB2312" w:eastAsia="仿宋_GB2312" w:hAnsi="仿宋_GB2312" w:cs="仿宋_GB2312"/>
          <w:color w:val="000000"/>
          <w:kern w:val="0"/>
          <w:sz w:val="31"/>
          <w:szCs w:val="31"/>
          <w:lang w:bidi="ar"/>
        </w:rPr>
        <w:t xml:space="preserve">结合实际，围绕方案确定目标，做好涉及本部门的项目审批事项办理工作，对服务质量、承诺时限等进行监督，探索实施服务保障项目建设的改革举措，进一步优化项目保障营商环境指标。 </w:t>
      </w:r>
    </w:p>
    <w:p w14:paraId="57C22273" w14:textId="77777777" w:rsidR="00C97237" w:rsidRDefault="00000000">
      <w:pPr>
        <w:widowControl/>
        <w:ind w:firstLineChars="200" w:firstLine="622"/>
        <w:jc w:val="left"/>
      </w:pPr>
      <w:r>
        <w:rPr>
          <w:rFonts w:ascii="楷体_GB2312" w:eastAsia="楷体_GB2312" w:hAnsi="楷体_GB2312" w:cs="楷体_GB2312"/>
          <w:b/>
          <w:bCs/>
          <w:color w:val="000000"/>
          <w:kern w:val="0"/>
          <w:sz w:val="31"/>
          <w:szCs w:val="31"/>
          <w:lang w:bidi="ar"/>
        </w:rPr>
        <w:t>（二）加强政策宣传。</w:t>
      </w:r>
      <w:r>
        <w:rPr>
          <w:rFonts w:ascii="仿宋_GB2312" w:eastAsia="仿宋_GB2312" w:hAnsi="仿宋_GB2312" w:cs="仿宋_GB2312"/>
          <w:color w:val="000000"/>
          <w:kern w:val="0"/>
          <w:sz w:val="31"/>
          <w:szCs w:val="31"/>
          <w:lang w:bidi="ar"/>
        </w:rPr>
        <w:t xml:space="preserve">负责项目建设的职能部门，加大有关政策、标准、流程等宣传力度，提前告知所需资料、办事程序、服务内容、办理时限及收费标准等注意事项，提高服务质量和办事效率，切实帮助项目单位掌握政策、用好政策、享受政策，提升办事企业的满意度。 </w:t>
      </w:r>
    </w:p>
    <w:p w14:paraId="4DB072D6" w14:textId="77777777" w:rsidR="00C97237" w:rsidRDefault="00C97237">
      <w:pPr>
        <w:widowControl/>
        <w:spacing w:line="580" w:lineRule="exact"/>
        <w:rPr>
          <w:rFonts w:ascii="黑体" w:eastAsia="黑体" w:hAnsi="黑体" w:cs="黑体"/>
          <w:color w:val="000000"/>
          <w:sz w:val="44"/>
          <w:szCs w:val="44"/>
        </w:rPr>
      </w:pPr>
    </w:p>
    <w:p w14:paraId="05326C83" w14:textId="77777777" w:rsidR="00C97237" w:rsidRDefault="00C97237">
      <w:pPr>
        <w:widowControl/>
        <w:spacing w:line="580" w:lineRule="exact"/>
        <w:rPr>
          <w:rFonts w:ascii="黑体" w:eastAsia="黑体" w:hAnsi="黑体" w:cs="黑体"/>
          <w:color w:val="000000"/>
          <w:sz w:val="44"/>
          <w:szCs w:val="44"/>
        </w:rPr>
      </w:pPr>
    </w:p>
    <w:p w14:paraId="7A799F39" w14:textId="77777777" w:rsidR="00C97237" w:rsidRDefault="00C97237">
      <w:pPr>
        <w:widowControl/>
        <w:spacing w:line="580" w:lineRule="exact"/>
        <w:rPr>
          <w:rFonts w:ascii="黑体" w:eastAsia="黑体" w:hAnsi="黑体" w:cs="黑体"/>
          <w:color w:val="000000"/>
          <w:sz w:val="44"/>
          <w:szCs w:val="44"/>
        </w:rPr>
      </w:pPr>
    </w:p>
    <w:p w14:paraId="26DE5268" w14:textId="77777777" w:rsidR="00C97237" w:rsidRDefault="00C97237">
      <w:pPr>
        <w:widowControl/>
        <w:spacing w:line="580" w:lineRule="exact"/>
        <w:rPr>
          <w:rFonts w:ascii="黑体" w:eastAsia="黑体" w:hAnsi="黑体" w:cs="黑体"/>
          <w:color w:val="000000"/>
          <w:sz w:val="44"/>
          <w:szCs w:val="44"/>
        </w:rPr>
      </w:pPr>
    </w:p>
    <w:p w14:paraId="3A0C2DA2" w14:textId="77777777" w:rsidR="00C97237" w:rsidRDefault="00C97237">
      <w:pPr>
        <w:widowControl/>
        <w:spacing w:line="580" w:lineRule="exact"/>
        <w:rPr>
          <w:rFonts w:ascii="黑体" w:eastAsia="黑体" w:hAnsi="黑体" w:cs="黑体"/>
          <w:color w:val="000000"/>
          <w:sz w:val="44"/>
          <w:szCs w:val="44"/>
        </w:rPr>
      </w:pPr>
    </w:p>
    <w:p w14:paraId="003F6F21" w14:textId="77777777" w:rsidR="00C97237" w:rsidRDefault="00000000">
      <w:pPr>
        <w:widowControl/>
        <w:spacing w:line="580" w:lineRule="exact"/>
        <w:rPr>
          <w:rFonts w:ascii="黑体" w:eastAsia="黑体" w:hAnsi="黑体" w:cs="黑体"/>
          <w:color w:val="000000"/>
          <w:sz w:val="44"/>
          <w:szCs w:val="44"/>
        </w:rPr>
      </w:pPr>
      <w:r>
        <w:rPr>
          <w:rFonts w:ascii="黑体" w:eastAsia="黑体" w:hAnsi="黑体" w:cs="黑体" w:hint="eastAsia"/>
          <w:color w:val="000000"/>
          <w:sz w:val="44"/>
          <w:szCs w:val="44"/>
        </w:rPr>
        <w:lastRenderedPageBreak/>
        <w:t>附件23</w:t>
      </w:r>
    </w:p>
    <w:p w14:paraId="1C96FF36" w14:textId="77777777" w:rsidR="00C97237" w:rsidRDefault="00000000">
      <w:pPr>
        <w:widowControl/>
        <w:spacing w:line="580" w:lineRule="exact"/>
        <w:jc w:val="center"/>
        <w:rPr>
          <w:rFonts w:ascii="仿宋" w:eastAsia="仿宋" w:hAnsi="仿宋" w:cs="仿宋"/>
          <w:color w:val="000000"/>
          <w:kern w:val="0"/>
          <w:sz w:val="32"/>
          <w:szCs w:val="32"/>
          <w:lang w:bidi="ar"/>
        </w:rPr>
      </w:pPr>
      <w:r>
        <w:rPr>
          <w:rFonts w:ascii="黑体" w:eastAsia="黑体" w:hAnsi="黑体" w:cs="黑体" w:hint="eastAsia"/>
          <w:color w:val="000000"/>
          <w:sz w:val="44"/>
          <w:szCs w:val="44"/>
        </w:rPr>
        <w:t>偃师区创新创业活跃度指标整改提升方案</w:t>
      </w:r>
      <w:r>
        <w:rPr>
          <w:rFonts w:ascii="黑体" w:eastAsia="黑体" w:hAnsi="黑体" w:cs="黑体" w:hint="eastAsia"/>
          <w:color w:val="000000"/>
          <w:sz w:val="44"/>
          <w:szCs w:val="44"/>
        </w:rPr>
        <w:br/>
      </w:r>
    </w:p>
    <w:p w14:paraId="67C97343"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为持续优化营商环境，着力提升我区创新创业活跃度水平，进一步激发市场主体活力和创造力，按照区委、区政府工作部署，结合偃师区方案，制定本方案。</w:t>
      </w:r>
    </w:p>
    <w:p w14:paraId="3657C5DB" w14:textId="77777777" w:rsidR="00C97237" w:rsidRDefault="00000000">
      <w:pPr>
        <w:widowControl/>
        <w:spacing w:line="580" w:lineRule="exact"/>
        <w:ind w:firstLineChars="200" w:firstLine="640"/>
        <w:jc w:val="left"/>
        <w:rPr>
          <w:rFonts w:ascii="黑体" w:eastAsia="黑体" w:hAnsi="黑体" w:cs="黑体"/>
          <w:sz w:val="32"/>
          <w:szCs w:val="32"/>
        </w:rPr>
      </w:pPr>
      <w:r>
        <w:rPr>
          <w:rFonts w:ascii="黑体" w:eastAsia="黑体" w:hAnsi="黑体" w:cs="黑体" w:hint="eastAsia"/>
          <w:color w:val="000000"/>
          <w:kern w:val="0"/>
          <w:sz w:val="32"/>
          <w:szCs w:val="32"/>
          <w:lang w:bidi="ar"/>
        </w:rPr>
        <w:t xml:space="preserve">一、总体要求 </w:t>
      </w:r>
    </w:p>
    <w:p w14:paraId="604E2757"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深入贯彻新发展理念，深入实施创新驱动发展战略，</w:t>
      </w:r>
      <w:r>
        <w:rPr>
          <w:rFonts w:ascii="仿宋" w:eastAsia="仿宋" w:hAnsi="仿宋" w:cs="仿宋" w:hint="eastAsia"/>
          <w:sz w:val="32"/>
          <w:szCs w:val="32"/>
        </w:rPr>
        <w:t>以习近平新时代中国特色社会主义思想为指导，全面贯彻党的十九大和十九届历次全会精神，深入贯彻习近平总书记视察河南重要讲话指示精神和关于科技创新系列重要论述，认真落实市第十二次党代会、市委十二届二次全会暨市委经济工作会议精神，坚持把创新摆在现代化建设核心位置，突出以科技创新引领产业升级，持续优化科技创新环境</w:t>
      </w:r>
      <w:r>
        <w:rPr>
          <w:rFonts w:ascii="仿宋" w:eastAsia="仿宋" w:hAnsi="仿宋" w:cs="仿宋" w:hint="eastAsia"/>
          <w:color w:val="000000"/>
          <w:kern w:val="0"/>
          <w:sz w:val="32"/>
          <w:szCs w:val="32"/>
          <w:lang w:bidi="ar"/>
        </w:rPr>
        <w:t xml:space="preserve">。 </w:t>
      </w:r>
    </w:p>
    <w:p w14:paraId="31482B11"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二、提升目标 </w:t>
      </w:r>
    </w:p>
    <w:p w14:paraId="38A90BAF" w14:textId="77777777" w:rsidR="00C97237" w:rsidRDefault="00000000">
      <w:pPr>
        <w:widowControl/>
        <w:spacing w:line="580" w:lineRule="exact"/>
        <w:ind w:firstLineChars="200" w:firstLine="640"/>
        <w:jc w:val="left"/>
        <w:rPr>
          <w:rFonts w:ascii="仿宋" w:eastAsia="仿宋" w:hAnsi="仿宋" w:cs="仿宋"/>
          <w:color w:val="000000"/>
          <w:kern w:val="0"/>
          <w:sz w:val="32"/>
          <w:szCs w:val="32"/>
          <w:lang w:bidi="ar"/>
        </w:rPr>
      </w:pPr>
      <w:r>
        <w:rPr>
          <w:rFonts w:ascii="仿宋" w:eastAsia="仿宋" w:hAnsi="仿宋" w:cs="仿宋" w:hint="eastAsia"/>
          <w:sz w:val="32"/>
          <w:szCs w:val="32"/>
        </w:rPr>
        <w:t>坚持以创新引领发展主战略，围绕产业发展重点任务，</w:t>
      </w:r>
      <w:r>
        <w:rPr>
          <w:rFonts w:ascii="仿宋" w:eastAsia="仿宋" w:hAnsi="仿宋" w:cs="仿宋" w:hint="eastAsia"/>
          <w:color w:val="000000"/>
          <w:kern w:val="0"/>
          <w:sz w:val="32"/>
          <w:szCs w:val="32"/>
        </w:rPr>
        <w:t>搭建一流创新平台、培育一流创新主体、汇聚一流创新人才、完善一流创新生态，把创新真正落到提高产业质量和效益上</w:t>
      </w:r>
      <w:r>
        <w:rPr>
          <w:rFonts w:ascii="仿宋" w:eastAsia="仿宋" w:hAnsi="仿宋" w:cs="仿宋" w:hint="eastAsia"/>
          <w:sz w:val="32"/>
          <w:szCs w:val="32"/>
        </w:rPr>
        <w:t>，</w:t>
      </w:r>
      <w:r>
        <w:rPr>
          <w:rFonts w:ascii="仿宋" w:eastAsia="仿宋" w:hAnsi="仿宋" w:cs="仿宋" w:hint="eastAsia"/>
          <w:color w:val="000000"/>
          <w:kern w:val="0"/>
          <w:sz w:val="32"/>
          <w:szCs w:val="32"/>
          <w:lang w:bidi="ar"/>
        </w:rPr>
        <w:t>加快建设创新型偃师。2022年，全社会研发投入强度达1.5%，向上级推荐国家高新技术企业20家以上，备案国家科技型中小企业100家以上，新增市级以上创新平台15家以上，技术合同成交额完成1亿元。</w:t>
      </w:r>
    </w:p>
    <w:p w14:paraId="4832109D"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三、主要工作 </w:t>
      </w:r>
    </w:p>
    <w:p w14:paraId="43B44149" w14:textId="77777777" w:rsidR="00C97237" w:rsidRDefault="00000000">
      <w:pPr>
        <w:widowControl/>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 xml:space="preserve">（一）深化“双倍增”行动。建立科技型中小企业为基础、高新技术企业为支撑的创新型企业集群培育发展体系，向上级推荐国家高新技术企业20家以上，新备案国家科技型中小企业100家以上，新增市级以上创新平台15家以上。 </w:t>
      </w:r>
    </w:p>
    <w:p w14:paraId="753956B9" w14:textId="77777777" w:rsidR="00C97237" w:rsidRDefault="00000000">
      <w:pPr>
        <w:widowControl/>
        <w:spacing w:line="580" w:lineRule="exact"/>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进展情况：</w:t>
      </w:r>
      <w:r>
        <w:rPr>
          <w:rFonts w:ascii="仿宋" w:eastAsia="仿宋" w:hAnsi="仿宋" w:cs="仿宋" w:hint="eastAsia"/>
          <w:kern w:val="0"/>
          <w:sz w:val="32"/>
          <w:szCs w:val="32"/>
        </w:rPr>
        <w:t>建设高新技术企业培育库40家，目前正在对企业准备情况进行督促指导，第一批拟推荐新申报企业13家；科技型中小企业评价48家企业已通过评价，正在公示；偃师区研发平台建设备案预通知已下发，正在对企业进行摸底调研，鼓励企业准备申报资料，根据企业申报情况计划在7月份左右组织开展第一批评审。</w:t>
      </w:r>
    </w:p>
    <w:p w14:paraId="33C0E2CE"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责任单位：科技局</w:t>
      </w:r>
    </w:p>
    <w:p w14:paraId="09C9CC62"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责任人：韩云飞</w:t>
      </w:r>
    </w:p>
    <w:p w14:paraId="1DB29363"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完成时限: 2022年12月</w:t>
      </w:r>
    </w:p>
    <w:p w14:paraId="66CCF0E3" w14:textId="77777777" w:rsidR="00C97237" w:rsidRDefault="00000000">
      <w:pPr>
        <w:widowControl/>
        <w:spacing w:line="5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（二）构建技术转移体系。积极组织我区企业融入洛阳科技（金融）大市场、科技中介超市，技术合同成交额完成1亿元。</w:t>
      </w:r>
    </w:p>
    <w:p w14:paraId="5F422FF2"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进展情况：目前正在组织企业进行技术合同登记工作。</w:t>
      </w:r>
    </w:p>
    <w:p w14:paraId="09363DF2"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责任单位：科技局</w:t>
      </w:r>
    </w:p>
    <w:p w14:paraId="00F31707"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责任人：李朝辉</w:t>
      </w:r>
    </w:p>
    <w:p w14:paraId="08C71E2B"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完成时限: 2022年12月</w:t>
      </w:r>
    </w:p>
    <w:p w14:paraId="59DD1B0E" w14:textId="77777777" w:rsidR="00C97237" w:rsidRDefault="00000000">
      <w:pPr>
        <w:widowControl/>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kern w:val="0"/>
          <w:sz w:val="32"/>
          <w:szCs w:val="32"/>
        </w:rPr>
        <w:t>（三）大力发展科技金融。</w:t>
      </w:r>
      <w:r>
        <w:rPr>
          <w:rFonts w:ascii="仿宋" w:eastAsia="仿宋" w:hAnsi="仿宋" w:cs="仿宋" w:hint="eastAsia"/>
          <w:color w:val="000000"/>
          <w:kern w:val="0"/>
          <w:sz w:val="32"/>
          <w:szCs w:val="32"/>
        </w:rPr>
        <w:t>区科技局联合金融局，积极向科技型企业宣传科技金融政策，向企业推荐科技贷等金融产品。</w:t>
      </w:r>
    </w:p>
    <w:p w14:paraId="1263DFB6" w14:textId="77777777" w:rsidR="00C97237" w:rsidRDefault="00000000">
      <w:pPr>
        <w:widowControl/>
        <w:spacing w:line="580" w:lineRule="exact"/>
        <w:ind w:firstLineChars="200" w:firstLine="640"/>
        <w:rPr>
          <w:rFonts w:ascii="仿宋" w:eastAsia="仿宋" w:hAnsi="仿宋" w:cs="仿宋"/>
          <w:color w:val="000000"/>
          <w:kern w:val="0"/>
          <w:sz w:val="32"/>
          <w:szCs w:val="32"/>
        </w:rPr>
      </w:pPr>
      <w:r>
        <w:rPr>
          <w:rFonts w:ascii="仿宋" w:eastAsia="仿宋" w:hAnsi="仿宋" w:cs="仿宋" w:hint="eastAsia"/>
          <w:kern w:val="0"/>
          <w:sz w:val="32"/>
          <w:szCs w:val="32"/>
        </w:rPr>
        <w:lastRenderedPageBreak/>
        <w:t>进展情况：</w:t>
      </w:r>
      <w:r>
        <w:rPr>
          <w:rFonts w:ascii="仿宋" w:eastAsia="仿宋" w:hAnsi="仿宋" w:cs="仿宋" w:hint="eastAsia"/>
          <w:color w:val="000000"/>
          <w:kern w:val="0"/>
          <w:sz w:val="32"/>
          <w:szCs w:val="32"/>
        </w:rPr>
        <w:t>通过向企业宣传</w:t>
      </w:r>
      <w:r>
        <w:rPr>
          <w:rFonts w:ascii="仿宋" w:eastAsia="仿宋" w:hAnsi="仿宋" w:cs="仿宋" w:hint="eastAsia"/>
          <w:sz w:val="32"/>
          <w:szCs w:val="32"/>
        </w:rPr>
        <w:t>科技创新专项再贷款政策，</w:t>
      </w:r>
      <w:r>
        <w:rPr>
          <w:rFonts w:ascii="仿宋" w:eastAsia="仿宋" w:hAnsi="仿宋" w:cs="仿宋" w:hint="eastAsia"/>
          <w:color w:val="000000"/>
          <w:kern w:val="0"/>
          <w:sz w:val="32"/>
          <w:szCs w:val="32"/>
        </w:rPr>
        <w:t>目前征集到我区有10家高新技术企业有融资需求，正在通过金融局进行对接。</w:t>
      </w:r>
    </w:p>
    <w:p w14:paraId="1C8A0F67"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责任单位：科技局</w:t>
      </w:r>
    </w:p>
    <w:p w14:paraId="777DA46D"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责任人：韩云飞</w:t>
      </w:r>
    </w:p>
    <w:p w14:paraId="2A19EAC7" w14:textId="77777777" w:rsidR="00C97237" w:rsidRDefault="00000000">
      <w:pPr>
        <w:pStyle w:val="ab"/>
        <w:spacing w:before="0" w:beforeAutospacing="0" w:after="0" w:afterAutospacing="0" w:line="580" w:lineRule="exact"/>
        <w:ind w:firstLineChars="200" w:firstLine="640"/>
        <w:textAlignment w:val="top"/>
        <w:rPr>
          <w:rFonts w:ascii="仿宋" w:eastAsia="仿宋" w:hAnsi="仿宋" w:cs="仿宋"/>
          <w:sz w:val="32"/>
          <w:szCs w:val="32"/>
        </w:rPr>
      </w:pPr>
      <w:r>
        <w:rPr>
          <w:rFonts w:ascii="仿宋" w:eastAsia="仿宋" w:hAnsi="仿宋" w:cs="仿宋" w:hint="eastAsia"/>
          <w:sz w:val="32"/>
          <w:szCs w:val="32"/>
        </w:rPr>
        <w:t>完成时限: 2022年12月</w:t>
      </w:r>
    </w:p>
    <w:p w14:paraId="3F508D77" w14:textId="77777777" w:rsidR="00C97237" w:rsidRDefault="00000000">
      <w:pPr>
        <w:widowControl/>
        <w:spacing w:line="580" w:lineRule="exact"/>
        <w:ind w:firstLineChars="200" w:firstLine="640"/>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四、下步工作 </w:t>
      </w:r>
    </w:p>
    <w:p w14:paraId="104FD86A" w14:textId="77777777" w:rsidR="00C97237" w:rsidRDefault="00000000">
      <w:pPr>
        <w:widowControl/>
        <w:spacing w:line="58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（一）加强部门协同。区科技局做为牵头单位，加强与其它单位的沟通协作，细化重点任务，施行各自负责领域的主体责任制，完善工作推进机制，持续提升创新创业活跃度。 </w:t>
      </w:r>
    </w:p>
    <w:p w14:paraId="622E073D" w14:textId="77777777" w:rsidR="00C97237" w:rsidRDefault="00000000">
      <w:pPr>
        <w:widowControl/>
        <w:spacing w:line="58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二）统筹创新创业活跃度目标进度。阶段性总结工作进展，结合现代创新体系建设，统筹全区科技系统创新创业活跃度目标进度，定期梳理工作进展和存在问题，围绕包容普惠创新指标相关事项，研究制定针对性强、操作性强的改进措施，推动指标提升工作有序开展。同时坚持目标导向，对标国内一流，强化改革创新，加强先进经验复制推广，创造更多行之有效的创新举措。 </w:t>
      </w:r>
    </w:p>
    <w:p w14:paraId="1AD899DC" w14:textId="77777777" w:rsidR="00C97237" w:rsidRDefault="00000000">
      <w:pPr>
        <w:widowControl/>
        <w:spacing w:line="580" w:lineRule="exact"/>
        <w:ind w:firstLineChars="200" w:firstLine="640"/>
        <w:rPr>
          <w:rFonts w:ascii="仿宋" w:eastAsia="仿宋" w:hAnsi="仿宋" w:cs="仿宋"/>
          <w:sz w:val="32"/>
          <w:szCs w:val="32"/>
        </w:rPr>
      </w:pPr>
      <w:r>
        <w:rPr>
          <w:rFonts w:ascii="仿宋" w:eastAsia="仿宋" w:hAnsi="仿宋" w:cs="仿宋" w:hint="eastAsia"/>
          <w:color w:val="000000"/>
          <w:kern w:val="0"/>
          <w:sz w:val="32"/>
          <w:szCs w:val="32"/>
          <w:lang w:bidi="ar"/>
        </w:rPr>
        <w:t>（三）扩大宣传引导。科技局将进一步增强优化营商环境的责任感和主动性，充分利用网络、宣传栏、报纸等多种媒体，加大本领域本系统优化营商环境政策措施和先进典型的宣传力度，积极引导企业广泛参与，营造良好的营商环境舆论宣传氛围。</w:t>
      </w:r>
    </w:p>
    <w:p w14:paraId="02935994" w14:textId="77777777" w:rsidR="00C97237" w:rsidRDefault="00C97237">
      <w:pPr>
        <w:spacing w:line="580" w:lineRule="exact"/>
        <w:jc w:val="center"/>
        <w:rPr>
          <w:rFonts w:ascii="仿宋" w:eastAsia="仿宋" w:hAnsi="仿宋" w:cs="仿宋"/>
          <w:sz w:val="32"/>
          <w:szCs w:val="32"/>
        </w:rPr>
      </w:pPr>
    </w:p>
    <w:p w14:paraId="69E02F45" w14:textId="77777777" w:rsidR="00C97237" w:rsidRDefault="00C97237">
      <w:pPr>
        <w:spacing w:line="580" w:lineRule="exact"/>
        <w:jc w:val="center"/>
        <w:rPr>
          <w:rFonts w:ascii="黑体" w:eastAsia="黑体" w:hAnsi="黑体" w:cs="黑体"/>
          <w:sz w:val="44"/>
          <w:szCs w:val="44"/>
        </w:rPr>
      </w:pPr>
    </w:p>
    <w:p w14:paraId="58826639" w14:textId="77777777" w:rsidR="00C97237" w:rsidRDefault="00000000">
      <w:pPr>
        <w:spacing w:line="580" w:lineRule="exact"/>
        <w:jc w:val="left"/>
        <w:rPr>
          <w:rFonts w:ascii="黑体" w:eastAsia="黑体" w:hAnsi="黑体" w:cs="黑体"/>
          <w:sz w:val="44"/>
          <w:szCs w:val="44"/>
        </w:rPr>
      </w:pPr>
      <w:r>
        <w:rPr>
          <w:rFonts w:ascii="黑体" w:eastAsia="黑体" w:hAnsi="黑体" w:cs="黑体" w:hint="eastAsia"/>
          <w:sz w:val="44"/>
          <w:szCs w:val="44"/>
        </w:rPr>
        <w:lastRenderedPageBreak/>
        <w:t>附件24</w:t>
      </w:r>
    </w:p>
    <w:p w14:paraId="1D9888BA" w14:textId="77777777" w:rsidR="00C97237" w:rsidRDefault="00000000">
      <w:pPr>
        <w:widowControl/>
        <w:spacing w:line="600" w:lineRule="exact"/>
        <w:jc w:val="center"/>
      </w:pPr>
      <w:r>
        <w:rPr>
          <w:rFonts w:ascii="方正小标宋简体" w:eastAsia="方正小标宋简体" w:hAnsi="方正小标宋简体" w:cs="方正小标宋简体" w:hint="eastAsia"/>
          <w:color w:val="000000"/>
          <w:kern w:val="0"/>
          <w:sz w:val="44"/>
          <w:szCs w:val="44"/>
          <w:lang w:bidi="ar"/>
        </w:rPr>
        <w:t>偃师区</w:t>
      </w:r>
      <w:r>
        <w:rPr>
          <w:rFonts w:ascii="方正小标宋简体" w:eastAsia="方正小标宋简体" w:hAnsi="方正小标宋简体" w:cs="方正小标宋简体"/>
          <w:color w:val="000000"/>
          <w:kern w:val="0"/>
          <w:sz w:val="44"/>
          <w:szCs w:val="44"/>
          <w:lang w:bidi="ar"/>
        </w:rPr>
        <w:t>人才流动便利度提升专项行动方案</w:t>
      </w:r>
    </w:p>
    <w:p w14:paraId="7FC2103F" w14:textId="77777777" w:rsidR="00C97237" w:rsidRDefault="00C97237">
      <w:pPr>
        <w:widowControl/>
        <w:spacing w:line="600" w:lineRule="exact"/>
        <w:ind w:firstLineChars="200" w:firstLine="620"/>
        <w:rPr>
          <w:rFonts w:ascii="仿宋_GB2312" w:eastAsia="仿宋_GB2312" w:hAnsi="仿宋_GB2312" w:cs="仿宋_GB2312"/>
          <w:color w:val="000000"/>
          <w:kern w:val="0"/>
          <w:sz w:val="31"/>
          <w:szCs w:val="31"/>
          <w:lang w:bidi="ar"/>
        </w:rPr>
      </w:pPr>
    </w:p>
    <w:p w14:paraId="52F6486E"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为持续优化营商环境，着力提升包容普惠创新水平，激发市场活力和社会创造力，做好人才服务工作。按照区委区政府部署，根据《洛阳市营商环境优化提升行动方案（2022版）》，制定本方案。</w:t>
      </w:r>
    </w:p>
    <w:p w14:paraId="4D45946E" w14:textId="77777777" w:rsidR="00C97237" w:rsidRDefault="00000000">
      <w:pPr>
        <w:widowControl/>
        <w:spacing w:line="60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一、总体要求 </w:t>
      </w:r>
    </w:p>
    <w:p w14:paraId="015C0C18"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以习近平新时代中国特色社会主义思想为指导，深入贯彻党的十九大和十九届二中、三中、四中、五中、六中全会精神，全面落实习近平总书记视察河南重要讲话精神，按照省委第十一次党代会要求，坚持问题导向、目标导向，对标一流，强化改革创新，增强企业和群众的获得感、满意度，提升区域人才竞争力和吸引力。</w:t>
      </w:r>
    </w:p>
    <w:p w14:paraId="434896D0" w14:textId="77777777" w:rsidR="00C97237" w:rsidRDefault="00000000">
      <w:pPr>
        <w:widowControl/>
        <w:spacing w:line="60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 xml:space="preserve">二、工作目标 </w:t>
      </w:r>
    </w:p>
    <w:p w14:paraId="52CE75D7"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全区2022年人才流动便利度指标工作取得显著成效，人才流动等领域明显优化。人才流动便利度全面提升，完成14000人次职业技能培训，新增技能人才8000人，新培养高技能人才2000人。 </w:t>
      </w:r>
    </w:p>
    <w:p w14:paraId="558B9AF6"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黑体" w:eastAsia="黑体" w:hAnsi="黑体" w:cs="黑体" w:hint="eastAsia"/>
          <w:color w:val="000000"/>
          <w:kern w:val="0"/>
          <w:sz w:val="32"/>
          <w:szCs w:val="32"/>
          <w:lang w:bidi="ar"/>
        </w:rPr>
        <w:t>三、主要措施</w:t>
      </w:r>
      <w:r>
        <w:rPr>
          <w:rFonts w:ascii="仿宋" w:eastAsia="仿宋" w:hAnsi="仿宋" w:cs="仿宋" w:hint="eastAsia"/>
          <w:color w:val="000000"/>
          <w:kern w:val="0"/>
          <w:sz w:val="32"/>
          <w:szCs w:val="32"/>
          <w:lang w:bidi="ar"/>
        </w:rPr>
        <w:t xml:space="preserve"> </w:t>
      </w:r>
    </w:p>
    <w:p w14:paraId="67C4B1BF"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（一）加强人才流动基本保障。</w:t>
      </w:r>
      <w:r>
        <w:rPr>
          <w:rFonts w:ascii="仿宋" w:eastAsia="仿宋" w:hAnsi="仿宋" w:cs="仿宋" w:hint="eastAsia"/>
          <w:color w:val="000000"/>
          <w:kern w:val="0"/>
          <w:sz w:val="32"/>
          <w:szCs w:val="32"/>
          <w:lang w:bidi="ar"/>
        </w:rPr>
        <w:t>落实《偃师市引进高层次人才优惠政策》，鼓励有条件的企业优化工资分配制度，</w:t>
      </w:r>
      <w:r>
        <w:rPr>
          <w:rFonts w:ascii="仿宋" w:eastAsia="仿宋" w:hAnsi="仿宋" w:cs="仿宋" w:hint="eastAsia"/>
          <w:color w:val="000000"/>
          <w:kern w:val="0"/>
          <w:sz w:val="32"/>
          <w:szCs w:val="32"/>
          <w:lang w:bidi="ar"/>
        </w:rPr>
        <w:lastRenderedPageBreak/>
        <w:t xml:space="preserve">健全技术技能激励导向的薪酬分配体系，鼓励企业建立高技能人才岗位津贴制度。 </w:t>
      </w:r>
    </w:p>
    <w:p w14:paraId="7FE3D92E"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时间节点：持续推进 </w:t>
      </w:r>
    </w:p>
    <w:p w14:paraId="630FB005"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6BE0A8D3"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责任单位：区委组织部、区委编办、区科技局、财政局 </w:t>
      </w:r>
    </w:p>
    <w:p w14:paraId="24B98DE8"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（二）加强人才服务支撑。</w:t>
      </w:r>
      <w:r>
        <w:rPr>
          <w:rFonts w:ascii="仿宋" w:eastAsia="仿宋" w:hAnsi="仿宋" w:cs="仿宋" w:hint="eastAsia"/>
          <w:color w:val="000000"/>
          <w:kern w:val="0"/>
          <w:sz w:val="32"/>
          <w:szCs w:val="32"/>
          <w:lang w:bidi="ar"/>
        </w:rPr>
        <w:t xml:space="preserve">贯彻落实省、市有关人才评价机制政策，科学准确的落实人才评价方式。深化职称制度改革，有序向符合条件的单位下放职称评审权限，推进人才服务数字化，探索建立人才服务平台，为人才流动提供信息、业务办理等支撑。 </w:t>
      </w:r>
    </w:p>
    <w:p w14:paraId="7D85BC71"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时间节点：持续推进 </w:t>
      </w:r>
    </w:p>
    <w:p w14:paraId="0E9B3FFA"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74F21649"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责任单位：区委组织部、区委编办、区教育体育局、政务服务和大数据管理局 </w:t>
      </w:r>
    </w:p>
    <w:p w14:paraId="064DDEC4"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（三）畅通人才流动渠道。</w:t>
      </w:r>
      <w:r>
        <w:rPr>
          <w:rFonts w:ascii="仿宋" w:eastAsia="仿宋" w:hAnsi="仿宋" w:cs="仿宋" w:hint="eastAsia"/>
          <w:color w:val="000000"/>
          <w:kern w:val="0"/>
          <w:sz w:val="32"/>
          <w:szCs w:val="32"/>
          <w:lang w:bidi="ar"/>
        </w:rPr>
        <w:t>落实上级关于事业单位科研人员按规定兼职创新、在职创办企业、离岗创办企业，到企业工作或参与项目合作等政策。推进“人人持证、技能洛阳”建设，大规模开展职业技能培训和评价取证工作。持续组织参加中国</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 xml:space="preserve">河南招才引智创新发展大会，面向发达地区引进高层次、创新性、引领性人才（团队）和合作项目。 </w:t>
      </w:r>
    </w:p>
    <w:p w14:paraId="7467BC92"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时间节点：持续推进 </w:t>
      </w:r>
    </w:p>
    <w:p w14:paraId="4ABA3628"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64BC85F4"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 xml:space="preserve">责任单位：区委组织部、区委编办、区委宣传部、区发展改革委、教育体育局、科技局、工信局、公安局、民政局、司法局、财政局、自然资源和规划局、住建局、交通运输局、农业农村局、商务局、文化广电和旅游局、卫健委、退役军人事务局、应急管理局、审计局、国资委、市场监管局、乡村振兴局、供销社、政务服务和大数据管理局、林业局、总工会、团区委、区妇联、区残联 </w:t>
      </w:r>
    </w:p>
    <w:p w14:paraId="2F6BD149"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（四）畅通人才引进渠道。</w:t>
      </w:r>
      <w:r>
        <w:rPr>
          <w:rFonts w:ascii="仿宋" w:eastAsia="仿宋" w:hAnsi="仿宋" w:cs="仿宋" w:hint="eastAsia"/>
          <w:color w:val="000000"/>
          <w:kern w:val="0"/>
          <w:sz w:val="32"/>
          <w:szCs w:val="32"/>
          <w:lang w:bidi="ar"/>
        </w:rPr>
        <w:t>采取</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项目</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平台</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人才</w:t>
      </w:r>
      <w:r>
        <w:rPr>
          <w:rFonts w:ascii="仿宋" w:eastAsia="仿宋" w:hAnsi="仿宋" w:cs="仿宋"/>
          <w:color w:val="000000"/>
          <w:kern w:val="0"/>
          <w:sz w:val="32"/>
          <w:szCs w:val="32"/>
          <w:lang w:bidi="ar"/>
        </w:rPr>
        <w:t>”</w:t>
      </w:r>
      <w:r>
        <w:rPr>
          <w:rFonts w:ascii="仿宋" w:eastAsia="仿宋" w:hAnsi="仿宋" w:cs="仿宋" w:hint="eastAsia"/>
          <w:color w:val="000000"/>
          <w:kern w:val="0"/>
          <w:sz w:val="32"/>
          <w:szCs w:val="32"/>
          <w:lang w:bidi="ar"/>
        </w:rPr>
        <w:t xml:space="preserve">模式，有计划地引进急需紧缺创新创业人才及团队、科技创业投资人等。 </w:t>
      </w:r>
    </w:p>
    <w:p w14:paraId="5648A9B8"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时间节点：持续推进 </w:t>
      </w:r>
    </w:p>
    <w:p w14:paraId="3CA3EDA2"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牵头单位：区人力资源和社会保障局 </w:t>
      </w:r>
    </w:p>
    <w:p w14:paraId="77E02801"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责任单位：区委组织部、区委编办、区科技局 </w:t>
      </w:r>
    </w:p>
    <w:p w14:paraId="6D6BAB7E"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（五）大力支持企业引才聚才。</w:t>
      </w:r>
      <w:r>
        <w:rPr>
          <w:rFonts w:ascii="仿宋" w:eastAsia="仿宋" w:hAnsi="仿宋" w:cs="仿宋" w:hint="eastAsia"/>
          <w:color w:val="000000"/>
          <w:kern w:val="0"/>
          <w:sz w:val="32"/>
          <w:szCs w:val="32"/>
          <w:lang w:bidi="ar"/>
        </w:rPr>
        <w:t xml:space="preserve">支持企业与高校、科研院所、公立医院合作建立研发中心、中试基地等机构，其中具有高级职称或博士学历的企业高层次人才可以入编与其合作的事业单位。企业引进博士和副高级职称以上高层次人才，支付的一次性住房补贴、安家费、科研启动经费等费用，可按规定在计算企业所得税前扣除。 </w:t>
      </w:r>
    </w:p>
    <w:p w14:paraId="569EE7CC"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时间节点：持续推进 </w:t>
      </w:r>
    </w:p>
    <w:p w14:paraId="292F7406"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牵头单位：区委编办、区税务局牵头 </w:t>
      </w:r>
    </w:p>
    <w:p w14:paraId="1C82C7C6"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 xml:space="preserve">责任单位：区财政局、科技局、工信局、教育体育局、卫健委 </w:t>
      </w:r>
    </w:p>
    <w:p w14:paraId="6036B63E" w14:textId="77777777" w:rsidR="00C97237" w:rsidRDefault="00000000">
      <w:pPr>
        <w:widowControl/>
        <w:spacing w:line="600" w:lineRule="exact"/>
        <w:ind w:firstLineChars="200" w:firstLine="640"/>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 xml:space="preserve">四、保障措施 </w:t>
      </w:r>
    </w:p>
    <w:p w14:paraId="2DFA5505"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（一）加强组织领导。</w:t>
      </w:r>
      <w:r>
        <w:rPr>
          <w:rFonts w:ascii="仿宋" w:eastAsia="仿宋" w:hAnsi="仿宋" w:cs="仿宋" w:hint="eastAsia"/>
          <w:color w:val="000000"/>
          <w:kern w:val="0"/>
          <w:sz w:val="32"/>
          <w:szCs w:val="32"/>
          <w:lang w:bidi="ar"/>
        </w:rPr>
        <w:t xml:space="preserve">建立健全推进机制，各责任单位积极配合，研究谋划重点任务，协调破解难点问题，统筹推进人才流动便利度指标优化提升工作。 </w:t>
      </w:r>
    </w:p>
    <w:p w14:paraId="779C7B40"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（二）压实目标责任。</w:t>
      </w:r>
      <w:r>
        <w:rPr>
          <w:rFonts w:ascii="仿宋" w:eastAsia="仿宋" w:hAnsi="仿宋" w:cs="仿宋" w:hint="eastAsia"/>
          <w:color w:val="000000"/>
          <w:kern w:val="0"/>
          <w:sz w:val="32"/>
          <w:szCs w:val="32"/>
          <w:lang w:bidi="ar"/>
        </w:rPr>
        <w:t xml:space="preserve">各责任单位明确责任领导、具体责任人，要围绕方案确定的工作目标，倒排工期、挂图作战，努力破解制约我区营商环境优化的问题和短板，确保任务扎实推进、按期完成。 </w:t>
      </w:r>
    </w:p>
    <w:p w14:paraId="49314FAB" w14:textId="77777777" w:rsidR="00C97237" w:rsidRDefault="00000000">
      <w:pPr>
        <w:widowControl/>
        <w:spacing w:line="600" w:lineRule="exact"/>
        <w:ind w:firstLineChars="200" w:firstLine="640"/>
        <w:rPr>
          <w:rFonts w:ascii="仿宋" w:eastAsia="仿宋" w:hAnsi="仿宋" w:cs="仿宋"/>
          <w:color w:val="000000"/>
          <w:kern w:val="0"/>
          <w:sz w:val="32"/>
          <w:szCs w:val="32"/>
          <w:lang w:bidi="ar"/>
        </w:rPr>
      </w:pPr>
      <w:r>
        <w:rPr>
          <w:rFonts w:ascii="楷体" w:eastAsia="楷体" w:hAnsi="楷体" w:cs="楷体" w:hint="eastAsia"/>
          <w:color w:val="000000"/>
          <w:kern w:val="0"/>
          <w:sz w:val="32"/>
          <w:szCs w:val="32"/>
          <w:lang w:bidi="ar"/>
        </w:rPr>
        <w:t>（三）注重宣传引导。</w:t>
      </w:r>
      <w:r>
        <w:rPr>
          <w:rFonts w:ascii="仿宋" w:eastAsia="仿宋" w:hAnsi="仿宋" w:cs="仿宋" w:hint="eastAsia"/>
          <w:color w:val="000000"/>
          <w:kern w:val="0"/>
          <w:sz w:val="32"/>
          <w:szCs w:val="32"/>
          <w:lang w:bidi="ar"/>
        </w:rPr>
        <w:t xml:space="preserve">各责任单位要增强优化营商环境的责任感和主动性，加大本系统在人才流动便利度指标优化提升方面的政策措施和工作成效的宣传力度，营造良好舆论环境。 </w:t>
      </w:r>
    </w:p>
    <w:p w14:paraId="03CA320F" w14:textId="77777777" w:rsidR="00C97237" w:rsidRDefault="00C97237">
      <w:pPr>
        <w:spacing w:line="580" w:lineRule="exact"/>
        <w:jc w:val="center"/>
        <w:rPr>
          <w:rFonts w:ascii="黑体" w:eastAsia="黑体" w:hAnsi="黑体" w:cs="黑体"/>
          <w:sz w:val="44"/>
          <w:szCs w:val="44"/>
        </w:rPr>
      </w:pPr>
    </w:p>
    <w:p w14:paraId="7EEF223E" w14:textId="77777777" w:rsidR="00C97237" w:rsidRDefault="00C97237">
      <w:pPr>
        <w:spacing w:line="580" w:lineRule="exact"/>
        <w:jc w:val="center"/>
        <w:rPr>
          <w:rFonts w:ascii="黑体" w:eastAsia="黑体" w:hAnsi="黑体" w:cs="黑体"/>
          <w:sz w:val="44"/>
          <w:szCs w:val="44"/>
        </w:rPr>
      </w:pPr>
    </w:p>
    <w:p w14:paraId="37019897" w14:textId="77777777" w:rsidR="00C97237" w:rsidRDefault="00C97237">
      <w:pPr>
        <w:spacing w:line="580" w:lineRule="exact"/>
        <w:jc w:val="center"/>
        <w:rPr>
          <w:rFonts w:ascii="黑体" w:eastAsia="黑体" w:hAnsi="黑体" w:cs="黑体"/>
          <w:sz w:val="44"/>
          <w:szCs w:val="44"/>
        </w:rPr>
      </w:pPr>
    </w:p>
    <w:p w14:paraId="53479A44" w14:textId="77777777" w:rsidR="00C97237" w:rsidRDefault="00C97237">
      <w:pPr>
        <w:spacing w:line="580" w:lineRule="exact"/>
        <w:jc w:val="center"/>
        <w:rPr>
          <w:rFonts w:ascii="黑体" w:eastAsia="黑体" w:hAnsi="黑体" w:cs="黑体"/>
          <w:sz w:val="44"/>
          <w:szCs w:val="44"/>
        </w:rPr>
      </w:pPr>
    </w:p>
    <w:p w14:paraId="7CF6127E" w14:textId="77777777" w:rsidR="00C97237" w:rsidRDefault="00C97237">
      <w:pPr>
        <w:spacing w:line="580" w:lineRule="exact"/>
        <w:jc w:val="center"/>
        <w:rPr>
          <w:rFonts w:ascii="黑体" w:eastAsia="黑体" w:hAnsi="黑体" w:cs="黑体"/>
          <w:sz w:val="44"/>
          <w:szCs w:val="44"/>
        </w:rPr>
      </w:pPr>
    </w:p>
    <w:p w14:paraId="07306C47" w14:textId="77777777" w:rsidR="00C97237" w:rsidRDefault="00C97237">
      <w:pPr>
        <w:spacing w:line="580" w:lineRule="exact"/>
        <w:jc w:val="center"/>
        <w:rPr>
          <w:rFonts w:ascii="黑体" w:eastAsia="黑体" w:hAnsi="黑体" w:cs="黑体"/>
          <w:sz w:val="44"/>
          <w:szCs w:val="44"/>
        </w:rPr>
      </w:pPr>
    </w:p>
    <w:p w14:paraId="67B6A70C" w14:textId="77777777" w:rsidR="00C97237" w:rsidRDefault="00C97237">
      <w:pPr>
        <w:spacing w:line="580" w:lineRule="exact"/>
        <w:jc w:val="center"/>
        <w:rPr>
          <w:rFonts w:ascii="黑体" w:eastAsia="黑体" w:hAnsi="黑体" w:cs="黑体"/>
          <w:sz w:val="44"/>
          <w:szCs w:val="44"/>
        </w:rPr>
      </w:pPr>
    </w:p>
    <w:p w14:paraId="65336D98" w14:textId="77777777" w:rsidR="00C97237" w:rsidRDefault="00C97237">
      <w:pPr>
        <w:spacing w:line="580" w:lineRule="exact"/>
        <w:jc w:val="center"/>
        <w:rPr>
          <w:rFonts w:ascii="黑体" w:eastAsia="黑体" w:hAnsi="黑体" w:cs="黑体"/>
          <w:sz w:val="44"/>
          <w:szCs w:val="44"/>
        </w:rPr>
      </w:pPr>
    </w:p>
    <w:p w14:paraId="01005230" w14:textId="77777777" w:rsidR="00C97237" w:rsidRDefault="00C97237">
      <w:pPr>
        <w:spacing w:line="580" w:lineRule="exact"/>
        <w:jc w:val="center"/>
        <w:rPr>
          <w:rFonts w:ascii="黑体" w:eastAsia="黑体" w:hAnsi="黑体" w:cs="黑体"/>
          <w:sz w:val="44"/>
          <w:szCs w:val="44"/>
        </w:rPr>
      </w:pPr>
    </w:p>
    <w:p w14:paraId="045DB97B" w14:textId="77777777" w:rsidR="00C97237" w:rsidRDefault="00C97237">
      <w:pPr>
        <w:spacing w:line="580" w:lineRule="exact"/>
        <w:jc w:val="center"/>
        <w:rPr>
          <w:rFonts w:ascii="黑体" w:eastAsia="黑体" w:hAnsi="黑体" w:cs="黑体"/>
          <w:sz w:val="44"/>
          <w:szCs w:val="44"/>
        </w:rPr>
      </w:pPr>
    </w:p>
    <w:p w14:paraId="1AA16673" w14:textId="77777777" w:rsidR="00C97237" w:rsidRDefault="00C97237">
      <w:pPr>
        <w:spacing w:line="580" w:lineRule="exact"/>
        <w:rPr>
          <w:rFonts w:ascii="黑体" w:eastAsia="黑体" w:hAnsi="黑体" w:cs="黑体"/>
          <w:sz w:val="44"/>
          <w:szCs w:val="44"/>
        </w:rPr>
      </w:pPr>
    </w:p>
    <w:p w14:paraId="3CE402AE" w14:textId="77777777" w:rsidR="00C97237" w:rsidRDefault="00000000">
      <w:pPr>
        <w:spacing w:line="580" w:lineRule="exact"/>
        <w:jc w:val="left"/>
        <w:rPr>
          <w:rFonts w:ascii="黑体" w:eastAsia="黑体" w:hAnsi="黑体" w:cs="黑体"/>
          <w:sz w:val="44"/>
          <w:szCs w:val="44"/>
        </w:rPr>
      </w:pPr>
      <w:r>
        <w:rPr>
          <w:rFonts w:ascii="黑体" w:eastAsia="黑体" w:hAnsi="黑体" w:cs="黑体" w:hint="eastAsia"/>
          <w:sz w:val="44"/>
          <w:szCs w:val="44"/>
        </w:rPr>
        <w:lastRenderedPageBreak/>
        <w:t>附件25</w:t>
      </w:r>
    </w:p>
    <w:p w14:paraId="1247B0ED"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t>偃师区市场开放度提升专项</w:t>
      </w:r>
    </w:p>
    <w:p w14:paraId="635B265F" w14:textId="77777777" w:rsidR="00C97237" w:rsidRDefault="00000000">
      <w:pPr>
        <w:spacing w:line="580" w:lineRule="exact"/>
        <w:jc w:val="center"/>
        <w:rPr>
          <w:rFonts w:ascii="黑体" w:eastAsia="黑体" w:hAnsi="黑体" w:cs="黑体"/>
          <w:sz w:val="44"/>
          <w:szCs w:val="44"/>
          <w:highlight w:val="yellow"/>
        </w:rPr>
      </w:pPr>
      <w:r>
        <w:rPr>
          <w:rFonts w:ascii="黑体" w:eastAsia="黑体" w:hAnsi="黑体" w:cs="黑体" w:hint="eastAsia"/>
          <w:sz w:val="44"/>
          <w:szCs w:val="44"/>
        </w:rPr>
        <w:t>行动方案</w:t>
      </w:r>
    </w:p>
    <w:p w14:paraId="3ADC0625"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为持续优化营商环境，着力提升我区市场开放度水平，推动开放环境显著改善，按照偃师区委市政府工作部署，结合洛阳市方案，制定本方案。</w:t>
      </w:r>
    </w:p>
    <w:p w14:paraId="25E4880B"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黑体" w:hAnsi="Times New Roman" w:cs="黑体" w:hint="eastAsia"/>
          <w:color w:val="000000"/>
          <w:kern w:val="0"/>
          <w:sz w:val="32"/>
          <w:szCs w:val="32"/>
          <w:lang w:bidi="ar"/>
        </w:rPr>
        <w:t>一、总体要求</w:t>
      </w:r>
    </w:p>
    <w:p w14:paraId="4B43D63A"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以习近平新时代中国特色社会主义思想为指导，深入贯彻党的十九大和十九届二中、三中、四中、五中、六中全会精神，全面落实习近平总书记视察河南重要讲话精神，按照省委第十一次党代会和洛阳市第十二次党代会要求，坚持问题导向、目标导向，对标一流，强化改革创新，实施一批突破性引领性的改革措施，大幅提升市场开放水平，推动开放环境持续改善，增强企业和群众的获得感、满意度，提升区域竞争力和吸引力。</w:t>
      </w:r>
    </w:p>
    <w:p w14:paraId="047E4CCF"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黑体" w:hAnsi="Times New Roman" w:cs="黑体" w:hint="eastAsia"/>
          <w:color w:val="000000"/>
          <w:kern w:val="0"/>
          <w:sz w:val="32"/>
          <w:szCs w:val="32"/>
          <w:lang w:bidi="ar"/>
        </w:rPr>
        <w:t>二、工作目标</w:t>
      </w:r>
    </w:p>
    <w:p w14:paraId="7C555D97"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全区</w:t>
      </w:r>
      <w:r>
        <w:rPr>
          <w:rFonts w:ascii="Times New Roman" w:eastAsia="仿宋_GB2312" w:hAnsi="Times New Roman" w:cs="仿宋_GB2312" w:hint="eastAsia"/>
          <w:color w:val="000000"/>
          <w:kern w:val="0"/>
          <w:sz w:val="32"/>
          <w:szCs w:val="32"/>
          <w:lang w:bidi="ar"/>
        </w:rPr>
        <w:t>2022</w:t>
      </w:r>
      <w:r>
        <w:rPr>
          <w:rFonts w:ascii="Times New Roman" w:eastAsia="仿宋_GB2312" w:hAnsi="Times New Roman" w:cs="仿宋_GB2312" w:hint="eastAsia"/>
          <w:color w:val="000000"/>
          <w:kern w:val="0"/>
          <w:sz w:val="32"/>
          <w:szCs w:val="32"/>
          <w:lang w:bidi="ar"/>
        </w:rPr>
        <w:t>年市场开放领域明显优化，市场开放度不断提高。实际利用外资突破</w:t>
      </w:r>
      <w:r>
        <w:rPr>
          <w:rFonts w:ascii="Times New Roman" w:eastAsia="仿宋_GB2312" w:hAnsi="Times New Roman" w:cs="仿宋_GB2312" w:hint="eastAsia"/>
          <w:color w:val="000000"/>
          <w:kern w:val="0"/>
          <w:sz w:val="32"/>
          <w:szCs w:val="32"/>
          <w:lang w:bidi="ar"/>
        </w:rPr>
        <w:t>26593</w:t>
      </w:r>
      <w:r>
        <w:rPr>
          <w:rFonts w:ascii="Times New Roman" w:eastAsia="仿宋_GB2312" w:hAnsi="Times New Roman" w:cs="仿宋_GB2312" w:hint="eastAsia"/>
          <w:color w:val="000000"/>
          <w:kern w:val="0"/>
          <w:sz w:val="32"/>
          <w:szCs w:val="32"/>
          <w:lang w:bidi="ar"/>
        </w:rPr>
        <w:t>万美元。</w:t>
      </w:r>
    </w:p>
    <w:p w14:paraId="71F45321" w14:textId="77777777" w:rsidR="00C97237" w:rsidRDefault="00000000">
      <w:pPr>
        <w:spacing w:line="590" w:lineRule="exact"/>
        <w:ind w:firstLineChars="200" w:firstLine="640"/>
        <w:rPr>
          <w:rFonts w:ascii="Times New Roman" w:eastAsia="黑体" w:hAnsi="Times New Roman" w:cs="黑体"/>
          <w:color w:val="000000"/>
          <w:kern w:val="0"/>
          <w:sz w:val="32"/>
          <w:szCs w:val="32"/>
          <w:lang w:bidi="ar"/>
        </w:rPr>
      </w:pPr>
      <w:r>
        <w:rPr>
          <w:rFonts w:ascii="Times New Roman" w:eastAsia="黑体" w:hAnsi="Times New Roman" w:cs="黑体" w:hint="eastAsia"/>
          <w:color w:val="000000"/>
          <w:kern w:val="0"/>
          <w:sz w:val="32"/>
          <w:szCs w:val="32"/>
          <w:lang w:bidi="ar"/>
        </w:rPr>
        <w:t>三、主要举措</w:t>
      </w:r>
    </w:p>
    <w:p w14:paraId="4525FAC5" w14:textId="77777777" w:rsidR="00C97237" w:rsidRDefault="00000000">
      <w:pPr>
        <w:spacing w:line="590" w:lineRule="exact"/>
        <w:ind w:firstLineChars="200" w:firstLine="643"/>
        <w:rPr>
          <w:rFonts w:ascii="Times New Roman" w:eastAsia="仿宋_GB2312" w:hAnsi="Times New Roman" w:cs="仿宋_GB2312"/>
          <w:color w:val="000000"/>
          <w:sz w:val="32"/>
          <w:szCs w:val="32"/>
        </w:rPr>
      </w:pPr>
      <w:r>
        <w:rPr>
          <w:rFonts w:ascii="Times New Roman" w:eastAsia="楷体" w:hAnsi="Times New Roman" w:cs="楷体" w:hint="eastAsia"/>
          <w:b/>
          <w:bCs/>
          <w:color w:val="000000"/>
          <w:kern w:val="0"/>
          <w:sz w:val="32"/>
          <w:szCs w:val="32"/>
          <w:lang w:bidi="ar"/>
        </w:rPr>
        <w:t>（一）积极培育开放招商平台。</w:t>
      </w:r>
      <w:r>
        <w:rPr>
          <w:rFonts w:ascii="Times New Roman" w:eastAsia="仿宋_GB2312" w:hAnsi="Times New Roman" w:cs="仿宋_GB2312" w:hint="eastAsia"/>
          <w:color w:val="000000"/>
          <w:sz w:val="32"/>
          <w:szCs w:val="32"/>
        </w:rPr>
        <w:t>借助牡丹文化节和河洛文化旅游节等重大节会，积极组织参加牡丹文化节投资贸易洽谈会和中国河南国际投资贸易洽谈会洛阳分会场，出彩办好第十届中国（偃师）三轮车新能源车行业发展高峰论坛暨</w:t>
      </w:r>
      <w:r>
        <w:rPr>
          <w:rFonts w:ascii="Times New Roman" w:eastAsia="仿宋_GB2312" w:hAnsi="Times New Roman" w:cs="仿宋_GB2312" w:hint="eastAsia"/>
          <w:color w:val="000000"/>
          <w:sz w:val="32"/>
          <w:szCs w:val="32"/>
        </w:rPr>
        <w:lastRenderedPageBreak/>
        <w:t>第三届外贸出口洽谈会、第十一届中国布鞋之都·偃师</w:t>
      </w:r>
      <w:r>
        <w:rPr>
          <w:rFonts w:ascii="Times New Roman" w:eastAsia="仿宋_GB2312" w:hAnsi="Times New Roman" w:cs="仿宋_GB2312" w:hint="eastAsia"/>
          <w:color w:val="000000"/>
          <w:sz w:val="32"/>
          <w:szCs w:val="32"/>
        </w:rPr>
        <w:t>2023</w:t>
      </w:r>
      <w:r>
        <w:rPr>
          <w:rFonts w:ascii="Times New Roman" w:eastAsia="仿宋_GB2312" w:hAnsi="Times New Roman" w:cs="仿宋_GB2312" w:hint="eastAsia"/>
          <w:color w:val="000000"/>
          <w:sz w:val="32"/>
          <w:szCs w:val="32"/>
        </w:rPr>
        <w:t>年春夏产销对接会等，探索市场化办会展，充分利用好国家、省级各类节会平台，打造具有偃师特色的宣传推介活动。</w:t>
      </w:r>
    </w:p>
    <w:p w14:paraId="5D12330D"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时间节点：</w:t>
      </w:r>
      <w:r>
        <w:rPr>
          <w:rFonts w:ascii="Times New Roman" w:eastAsia="仿宋_GB2312" w:hAnsi="Times New Roman" w:cs="仿宋_GB2312" w:hint="eastAsia"/>
          <w:color w:val="000000"/>
          <w:kern w:val="0"/>
          <w:sz w:val="32"/>
          <w:szCs w:val="32"/>
          <w:lang w:bidi="ar"/>
        </w:rPr>
        <w:t>2022</w:t>
      </w:r>
      <w:r>
        <w:rPr>
          <w:rFonts w:ascii="Times New Roman" w:eastAsia="仿宋_GB2312" w:hAnsi="Times New Roman" w:cs="仿宋_GB2312" w:hint="eastAsia"/>
          <w:color w:val="000000"/>
          <w:kern w:val="0"/>
          <w:sz w:val="32"/>
          <w:szCs w:val="32"/>
          <w:lang w:bidi="ar"/>
        </w:rPr>
        <w:t>年</w:t>
      </w:r>
      <w:r>
        <w:rPr>
          <w:rFonts w:ascii="Times New Roman" w:eastAsia="仿宋_GB2312" w:hAnsi="Times New Roman" w:cs="仿宋_GB2312" w:hint="eastAsia"/>
          <w:color w:val="000000"/>
          <w:kern w:val="0"/>
          <w:sz w:val="32"/>
          <w:szCs w:val="32"/>
          <w:lang w:bidi="ar"/>
        </w:rPr>
        <w:t>12</w:t>
      </w:r>
      <w:r>
        <w:rPr>
          <w:rFonts w:ascii="Times New Roman" w:eastAsia="仿宋_GB2312" w:hAnsi="Times New Roman" w:cs="仿宋_GB2312" w:hint="eastAsia"/>
          <w:color w:val="000000"/>
          <w:kern w:val="0"/>
          <w:sz w:val="32"/>
          <w:szCs w:val="32"/>
          <w:lang w:bidi="ar"/>
        </w:rPr>
        <w:t>月</w:t>
      </w:r>
    </w:p>
    <w:p w14:paraId="1E3D719C" w14:textId="77777777" w:rsidR="00C97237" w:rsidRDefault="00000000">
      <w:pPr>
        <w:spacing w:line="59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kern w:val="0"/>
          <w:sz w:val="32"/>
          <w:szCs w:val="32"/>
          <w:lang w:bidi="ar"/>
        </w:rPr>
        <w:t>责任单位：区投促中心、商务局、发展改革委、工信局、开发区、文化广电和旅游局、科技局、各镇（街道）</w:t>
      </w:r>
    </w:p>
    <w:p w14:paraId="363C3920" w14:textId="77777777" w:rsidR="00C97237" w:rsidRDefault="00000000">
      <w:pPr>
        <w:spacing w:line="590" w:lineRule="exact"/>
        <w:ind w:firstLineChars="200" w:firstLine="640"/>
        <w:rPr>
          <w:rFonts w:ascii="Times New Roman" w:eastAsia="仿宋_GB2312" w:hAnsi="Times New Roman" w:cs="仿宋_GB2312"/>
          <w:color w:val="000000"/>
          <w:sz w:val="32"/>
          <w:szCs w:val="32"/>
        </w:rPr>
      </w:pPr>
      <w:r>
        <w:rPr>
          <w:rFonts w:ascii="Times New Roman" w:eastAsia="楷体" w:hAnsi="Times New Roman" w:cs="楷体" w:hint="eastAsia"/>
          <w:color w:val="000000"/>
          <w:kern w:val="0"/>
          <w:sz w:val="32"/>
          <w:szCs w:val="32"/>
          <w:lang w:bidi="ar"/>
        </w:rPr>
        <w:t>（二）</w:t>
      </w:r>
      <w:r>
        <w:rPr>
          <w:rFonts w:ascii="Times New Roman" w:eastAsia="楷体" w:hAnsi="Times New Roman" w:cs="楷体" w:hint="eastAsia"/>
          <w:b/>
          <w:bCs/>
          <w:color w:val="000000"/>
          <w:kern w:val="0"/>
          <w:sz w:val="32"/>
          <w:szCs w:val="32"/>
          <w:lang w:bidi="ar"/>
        </w:rPr>
        <w:t>实施风口产业精准招商行动。</w:t>
      </w:r>
      <w:r>
        <w:rPr>
          <w:rFonts w:ascii="Times New Roman" w:eastAsia="仿宋_GB2312" w:hAnsi="Times New Roman" w:cs="仿宋_GB2312" w:hint="eastAsia"/>
          <w:b/>
          <w:bCs/>
          <w:color w:val="000000"/>
          <w:sz w:val="32"/>
          <w:szCs w:val="32"/>
        </w:rPr>
        <w:t>一是</w:t>
      </w:r>
      <w:r>
        <w:rPr>
          <w:rFonts w:ascii="Times New Roman" w:eastAsia="仿宋_GB2312" w:hAnsi="Times New Roman" w:cs="仿宋_GB2312" w:hint="eastAsia"/>
          <w:color w:val="000000"/>
          <w:sz w:val="32"/>
          <w:szCs w:val="32"/>
        </w:rPr>
        <w:t>积极围绕</w:t>
      </w:r>
      <w:r>
        <w:rPr>
          <w:rFonts w:ascii="Times New Roman" w:eastAsia="仿宋_GB2312" w:hAnsi="Times New Roman" w:cs="仿宋_GB2312" w:hint="eastAsia"/>
          <w:color w:val="000000"/>
          <w:sz w:val="32"/>
          <w:szCs w:val="32"/>
        </w:rPr>
        <w:t>8</w:t>
      </w:r>
      <w:r>
        <w:rPr>
          <w:rFonts w:ascii="Times New Roman" w:eastAsia="仿宋_GB2312" w:hAnsi="Times New Roman" w:cs="仿宋_GB2312" w:hint="eastAsia"/>
          <w:color w:val="000000"/>
          <w:sz w:val="32"/>
          <w:szCs w:val="32"/>
        </w:rPr>
        <w:t>大风口产业（即：数字经济、医疗器械、集成电路、新型显示、机器人产业、锂电产业、新能源汽车、光伏产业），全面落实洛阳市委“</w:t>
      </w:r>
      <w:r>
        <w:rPr>
          <w:rFonts w:ascii="Times New Roman" w:eastAsia="仿宋_GB2312" w:hAnsi="Times New Roman" w:cs="仿宋_GB2312" w:hint="eastAsia"/>
          <w:color w:val="000000"/>
          <w:sz w:val="32"/>
          <w:szCs w:val="32"/>
        </w:rPr>
        <w:t>136</w:t>
      </w:r>
      <w:r>
        <w:rPr>
          <w:rFonts w:ascii="Times New Roman" w:eastAsia="仿宋_GB2312" w:hAnsi="Times New Roman" w:cs="仿宋_GB2312" w:hint="eastAsia"/>
          <w:color w:val="000000"/>
          <w:sz w:val="32"/>
          <w:szCs w:val="32"/>
        </w:rPr>
        <w:t>”产业发展思路，结合偃师“</w:t>
      </w:r>
      <w:r>
        <w:rPr>
          <w:rFonts w:ascii="Times New Roman" w:eastAsia="仿宋_GB2312" w:hAnsi="Times New Roman" w:cs="仿宋_GB2312" w:hint="eastAsia"/>
          <w:color w:val="000000"/>
          <w:sz w:val="32"/>
          <w:szCs w:val="32"/>
        </w:rPr>
        <w:t>322</w:t>
      </w:r>
      <w:r>
        <w:rPr>
          <w:rFonts w:ascii="Times New Roman" w:eastAsia="仿宋_GB2312" w:hAnsi="Times New Roman" w:cs="仿宋_GB2312" w:hint="eastAsia"/>
          <w:color w:val="000000"/>
          <w:sz w:val="32"/>
          <w:szCs w:val="32"/>
        </w:rPr>
        <w:t>”产业体系发展规划，依托各镇（街道）特色产业，精准引进一批风口产业项目，力促我区传统产业向风口产业关联转型，主导产业向高端化、智能化、绿色化方向挺进，推动相关产业建链、延链、补链、强链，尽快提档升级，走高质化、差异化发展道路。</w:t>
      </w:r>
    </w:p>
    <w:p w14:paraId="3F685718"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时间节点：</w:t>
      </w:r>
      <w:r>
        <w:rPr>
          <w:rFonts w:ascii="Times New Roman" w:eastAsia="仿宋_GB2312" w:hAnsi="Times New Roman" w:cs="仿宋_GB2312" w:hint="eastAsia"/>
          <w:color w:val="000000"/>
          <w:kern w:val="0"/>
          <w:sz w:val="32"/>
          <w:szCs w:val="32"/>
          <w:lang w:bidi="ar"/>
        </w:rPr>
        <w:t>2022</w:t>
      </w:r>
      <w:r>
        <w:rPr>
          <w:rFonts w:ascii="Times New Roman" w:eastAsia="仿宋_GB2312" w:hAnsi="Times New Roman" w:cs="仿宋_GB2312" w:hint="eastAsia"/>
          <w:color w:val="000000"/>
          <w:kern w:val="0"/>
          <w:sz w:val="32"/>
          <w:szCs w:val="32"/>
          <w:lang w:bidi="ar"/>
        </w:rPr>
        <w:t>年</w:t>
      </w:r>
      <w:r>
        <w:rPr>
          <w:rFonts w:ascii="Times New Roman" w:eastAsia="仿宋_GB2312" w:hAnsi="Times New Roman" w:cs="仿宋_GB2312" w:hint="eastAsia"/>
          <w:color w:val="000000"/>
          <w:kern w:val="0"/>
          <w:sz w:val="32"/>
          <w:szCs w:val="32"/>
          <w:lang w:bidi="ar"/>
        </w:rPr>
        <w:t>12</w:t>
      </w:r>
      <w:r>
        <w:rPr>
          <w:rFonts w:ascii="Times New Roman" w:eastAsia="仿宋_GB2312" w:hAnsi="Times New Roman" w:cs="仿宋_GB2312" w:hint="eastAsia"/>
          <w:color w:val="000000"/>
          <w:kern w:val="0"/>
          <w:sz w:val="32"/>
          <w:szCs w:val="32"/>
          <w:lang w:bidi="ar"/>
        </w:rPr>
        <w:t>月</w:t>
      </w:r>
    </w:p>
    <w:p w14:paraId="20E1FEB9"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责任单位：区投促中心、区发展改革委、工信局、文化广电和旅游局、科技局、各镇（街道）</w:t>
      </w:r>
    </w:p>
    <w:p w14:paraId="18F5D23B" w14:textId="77777777" w:rsidR="00C97237" w:rsidRDefault="00000000">
      <w:pPr>
        <w:numPr>
          <w:ilvl w:val="0"/>
          <w:numId w:val="12"/>
        </w:numPr>
        <w:spacing w:line="590" w:lineRule="exact"/>
        <w:ind w:firstLineChars="200" w:firstLine="643"/>
        <w:rPr>
          <w:rFonts w:ascii="Times New Roman" w:eastAsia="仿宋_GB2312" w:hAnsi="Times New Roman" w:cs="Times New Roman"/>
          <w:color w:val="000000"/>
          <w:sz w:val="32"/>
          <w:szCs w:val="32"/>
        </w:rPr>
      </w:pPr>
      <w:r>
        <w:rPr>
          <w:rFonts w:ascii="Times New Roman" w:eastAsia="楷体" w:hAnsi="Times New Roman" w:cs="楷体" w:hint="eastAsia"/>
          <w:b/>
          <w:bCs/>
          <w:color w:val="000000"/>
          <w:kern w:val="0"/>
          <w:sz w:val="32"/>
          <w:szCs w:val="32"/>
          <w:lang w:bidi="ar"/>
        </w:rPr>
        <w:t>提升外资企业服务质量。</w:t>
      </w:r>
      <w:r>
        <w:rPr>
          <w:rFonts w:ascii="Times New Roman" w:eastAsia="仿宋_GB2312" w:hAnsi="Times New Roman" w:cs="Times New Roman" w:hint="eastAsia"/>
          <w:b/>
          <w:bCs/>
          <w:color w:val="000000"/>
          <w:sz w:val="32"/>
          <w:szCs w:val="32"/>
        </w:rPr>
        <w:t>一是</w:t>
      </w:r>
      <w:r>
        <w:rPr>
          <w:rFonts w:ascii="Times New Roman" w:eastAsia="仿宋_GB2312" w:hAnsi="Times New Roman" w:cs="Times New Roman" w:hint="eastAsia"/>
          <w:color w:val="000000"/>
          <w:sz w:val="32"/>
          <w:szCs w:val="32"/>
        </w:rPr>
        <w:t>进一步注重为辖区外资企业纾困解难，及时了解外资企业在运营和建设中遇到的各类困难问题，召开专题会议进行解决。二</w:t>
      </w:r>
      <w:r>
        <w:rPr>
          <w:rFonts w:ascii="Times New Roman" w:eastAsia="仿宋_GB2312" w:hAnsi="Times New Roman" w:cs="仿宋_GB2312" w:hint="eastAsia"/>
          <w:b/>
          <w:bCs/>
          <w:color w:val="000000"/>
          <w:sz w:val="32"/>
          <w:szCs w:val="32"/>
        </w:rPr>
        <w:t>是</w:t>
      </w:r>
      <w:r>
        <w:rPr>
          <w:rFonts w:ascii="Times New Roman" w:eastAsia="仿宋_GB2312" w:hAnsi="Times New Roman" w:cs="Times New Roman" w:hint="eastAsia"/>
          <w:color w:val="000000"/>
          <w:sz w:val="32"/>
          <w:szCs w:val="32"/>
        </w:rPr>
        <w:t>充分掌握现有外资企业增资、新上项目、境外借款、购买设备等情况，</w:t>
      </w:r>
      <w:r>
        <w:rPr>
          <w:rFonts w:ascii="仿宋_GB2312" w:eastAsia="仿宋_GB2312" w:hint="eastAsia"/>
          <w:color w:val="000000"/>
          <w:sz w:val="32"/>
          <w:szCs w:val="32"/>
          <w:shd w:val="clear" w:color="auto" w:fill="FFFFFF"/>
        </w:rPr>
        <w:t>对经营效益较好的外资企业，进一步了解其发展思路，鼓励</w:t>
      </w:r>
      <w:r>
        <w:rPr>
          <w:rFonts w:ascii="仿宋_GB2312" w:eastAsia="仿宋_GB2312" w:hint="eastAsia"/>
          <w:color w:val="000000"/>
          <w:sz w:val="32"/>
          <w:szCs w:val="32"/>
          <w:shd w:val="clear" w:color="auto" w:fill="FFFFFF"/>
        </w:rPr>
        <w:lastRenderedPageBreak/>
        <w:t>其进行增资扩产，引导</w:t>
      </w:r>
      <w:r>
        <w:rPr>
          <w:rFonts w:ascii="Times New Roman" w:eastAsia="仿宋_GB2312" w:hAnsi="Times New Roman" w:cs="Times New Roman" w:hint="eastAsia"/>
          <w:color w:val="000000"/>
          <w:sz w:val="32"/>
          <w:szCs w:val="32"/>
        </w:rPr>
        <w:t>企业争取境外资金用于企业发展和新上项目建设，力争</w:t>
      </w:r>
      <w:r>
        <w:rPr>
          <w:rFonts w:ascii="Times New Roman" w:eastAsia="仿宋_GB2312" w:hAnsi="Times New Roman" w:cs="仿宋_GB2312" w:hint="eastAsia"/>
          <w:color w:val="000000"/>
          <w:kern w:val="0"/>
          <w:sz w:val="32"/>
          <w:szCs w:val="32"/>
          <w:lang w:bidi="ar"/>
        </w:rPr>
        <w:t>实际利用外资突破</w:t>
      </w:r>
      <w:r>
        <w:rPr>
          <w:rFonts w:ascii="Times New Roman" w:eastAsia="仿宋_GB2312" w:hAnsi="Times New Roman" w:cs="仿宋_GB2312" w:hint="eastAsia"/>
          <w:color w:val="000000"/>
          <w:kern w:val="0"/>
          <w:sz w:val="32"/>
          <w:szCs w:val="32"/>
          <w:lang w:bidi="ar"/>
        </w:rPr>
        <w:t>26593</w:t>
      </w:r>
      <w:r>
        <w:rPr>
          <w:rFonts w:ascii="Times New Roman" w:eastAsia="仿宋_GB2312" w:hAnsi="Times New Roman" w:cs="仿宋_GB2312" w:hint="eastAsia"/>
          <w:color w:val="000000"/>
          <w:kern w:val="0"/>
          <w:sz w:val="32"/>
          <w:szCs w:val="32"/>
          <w:lang w:bidi="ar"/>
        </w:rPr>
        <w:t>万美元。</w:t>
      </w:r>
      <w:r>
        <w:rPr>
          <w:rFonts w:ascii="Times New Roman" w:eastAsia="仿宋_GB2312" w:hAnsi="Times New Roman" w:cs="Times New Roman" w:hint="eastAsia"/>
          <w:b/>
          <w:bCs/>
          <w:color w:val="000000"/>
          <w:sz w:val="32"/>
          <w:szCs w:val="32"/>
        </w:rPr>
        <w:t>三是</w:t>
      </w:r>
      <w:r>
        <w:rPr>
          <w:rFonts w:ascii="Times New Roman" w:eastAsia="仿宋_GB2312" w:hAnsi="Times New Roman" w:cs="Times New Roman" w:hint="eastAsia"/>
          <w:color w:val="000000"/>
          <w:sz w:val="32"/>
          <w:szCs w:val="32"/>
        </w:rPr>
        <w:t>强化网络招商、委托招商、以商招商和小分队招商等多种方式，加大对知名跨国公司、港澳台企业、境外上市企业招商引资力度，力争新签约落地一批外资项目。</w:t>
      </w:r>
    </w:p>
    <w:p w14:paraId="298EDECD"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仿宋_GB2312" w:hAnsi="Times New Roman" w:cs="仿宋_GB2312" w:hint="eastAsia"/>
          <w:color w:val="000000"/>
          <w:kern w:val="0"/>
          <w:sz w:val="32"/>
          <w:szCs w:val="32"/>
          <w:lang w:bidi="ar"/>
        </w:rPr>
        <w:t>时间节点：</w:t>
      </w:r>
      <w:r>
        <w:rPr>
          <w:rFonts w:ascii="Times New Roman" w:eastAsia="仿宋_GB2312" w:hAnsi="Times New Roman" w:cs="仿宋_GB2312" w:hint="eastAsia"/>
          <w:color w:val="000000"/>
          <w:kern w:val="0"/>
          <w:sz w:val="32"/>
          <w:szCs w:val="32"/>
          <w:lang w:bidi="ar"/>
        </w:rPr>
        <w:t>2022</w:t>
      </w:r>
      <w:r>
        <w:rPr>
          <w:rFonts w:ascii="Times New Roman" w:eastAsia="仿宋_GB2312" w:hAnsi="Times New Roman" w:cs="仿宋_GB2312" w:hint="eastAsia"/>
          <w:color w:val="000000"/>
          <w:kern w:val="0"/>
          <w:sz w:val="32"/>
          <w:szCs w:val="32"/>
          <w:lang w:bidi="ar"/>
        </w:rPr>
        <w:t>年</w:t>
      </w:r>
      <w:r>
        <w:rPr>
          <w:rFonts w:ascii="Times New Roman" w:eastAsia="仿宋_GB2312" w:hAnsi="Times New Roman" w:cs="仿宋_GB2312" w:hint="eastAsia"/>
          <w:color w:val="000000"/>
          <w:kern w:val="0"/>
          <w:sz w:val="32"/>
          <w:szCs w:val="32"/>
          <w:lang w:bidi="ar"/>
        </w:rPr>
        <w:t>12</w:t>
      </w:r>
      <w:r>
        <w:rPr>
          <w:rFonts w:ascii="Times New Roman" w:eastAsia="仿宋_GB2312" w:hAnsi="Times New Roman" w:cs="仿宋_GB2312" w:hint="eastAsia"/>
          <w:color w:val="000000"/>
          <w:kern w:val="0"/>
          <w:sz w:val="32"/>
          <w:szCs w:val="32"/>
          <w:lang w:bidi="ar"/>
        </w:rPr>
        <w:t>月</w:t>
      </w:r>
    </w:p>
    <w:p w14:paraId="69062F3E" w14:textId="77777777" w:rsidR="00C97237" w:rsidRDefault="00000000">
      <w:pPr>
        <w:spacing w:line="59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kern w:val="0"/>
          <w:sz w:val="32"/>
          <w:szCs w:val="32"/>
          <w:lang w:bidi="ar"/>
        </w:rPr>
        <w:t>责任单位：区投促中心、商务局、发展改革委、工信局、开发区、文化广电和旅游局、科技局、相关镇（街道）</w:t>
      </w:r>
    </w:p>
    <w:p w14:paraId="2D4F5662"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黑体" w:hAnsi="Times New Roman" w:cs="黑体" w:hint="eastAsia"/>
          <w:color w:val="000000"/>
          <w:kern w:val="0"/>
          <w:sz w:val="32"/>
          <w:szCs w:val="32"/>
          <w:lang w:bidi="ar"/>
        </w:rPr>
        <w:t>四、保障措施</w:t>
      </w:r>
    </w:p>
    <w:p w14:paraId="57B1C6EA"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楷体" w:hAnsi="Times New Roman" w:cs="楷体" w:hint="eastAsia"/>
          <w:color w:val="000000"/>
          <w:kern w:val="0"/>
          <w:sz w:val="32"/>
          <w:szCs w:val="32"/>
          <w:lang w:bidi="ar"/>
        </w:rPr>
        <w:t>（一）强化组织领导。</w:t>
      </w:r>
      <w:r>
        <w:rPr>
          <w:rFonts w:ascii="Times New Roman" w:eastAsia="仿宋_GB2312" w:hAnsi="Times New Roman" w:cs="仿宋_GB2312" w:hint="eastAsia"/>
          <w:color w:val="000000"/>
          <w:kern w:val="0"/>
          <w:sz w:val="32"/>
          <w:szCs w:val="32"/>
          <w:lang w:bidi="ar"/>
        </w:rPr>
        <w:t>市场开放度指标各相关任务责任单位要高度重视指标提升工作，主动承担起各自负责领域的重点任务落实责任，完善工作推进机制，精准施策，持续提升市场开放水平，各相关责任单位要积极配合指标牵头部门，加强涉及工作的研究谋划，会同牵头部门共同解决工作推进中的重大问题。各相关单位要树立“全区一盘棋”的大局意识，积极沟通衔接，相互支持配合、打通堵点难点，齐心协力抓好各项工作落地落实。</w:t>
      </w:r>
    </w:p>
    <w:p w14:paraId="5A28ECA0"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楷体" w:hAnsi="Times New Roman" w:cs="楷体" w:hint="eastAsia"/>
          <w:color w:val="000000"/>
          <w:kern w:val="0"/>
          <w:sz w:val="32"/>
          <w:szCs w:val="32"/>
          <w:lang w:bidi="ar"/>
        </w:rPr>
        <w:t>（二）完善配套政策。</w:t>
      </w:r>
      <w:r>
        <w:rPr>
          <w:rFonts w:ascii="Times New Roman" w:eastAsia="仿宋_GB2312" w:hAnsi="Times New Roman" w:cs="仿宋_GB2312" w:hint="eastAsia"/>
          <w:color w:val="000000"/>
          <w:kern w:val="0"/>
          <w:sz w:val="32"/>
          <w:szCs w:val="32"/>
          <w:lang w:bidi="ar"/>
        </w:rPr>
        <w:t>各部门要结合自身职责分工，坚持问题导向，定期梳理分析本领域工作进展和存在问题，围绕市场开放度指标密切相关的事项，研究制定针对性强、操作性强的政策举措，推动指标提升工作有序开展。要坚持目标导向，对标国内一流，强化改革创新，加强先进经验复制推广，创造更多管用可行的创新举措。</w:t>
      </w:r>
    </w:p>
    <w:p w14:paraId="6F0AAC5C"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楷体" w:hAnsi="Times New Roman" w:cs="楷体" w:hint="eastAsia"/>
          <w:color w:val="000000"/>
          <w:kern w:val="0"/>
          <w:sz w:val="32"/>
          <w:szCs w:val="32"/>
          <w:lang w:bidi="ar"/>
        </w:rPr>
        <w:lastRenderedPageBreak/>
        <w:t>（三）压实工作责任。</w:t>
      </w:r>
      <w:r>
        <w:rPr>
          <w:rFonts w:ascii="Times New Roman" w:eastAsia="仿宋_GB2312" w:hAnsi="Times New Roman" w:cs="仿宋_GB2312" w:hint="eastAsia"/>
          <w:color w:val="000000"/>
          <w:kern w:val="0"/>
          <w:sz w:val="32"/>
          <w:szCs w:val="32"/>
          <w:lang w:bidi="ar"/>
        </w:rPr>
        <w:t>各部门要围绕方案确定的目标，建立工作台账，倒排工期、挂图作战，明确具体责任人，层层压实责任。及时发现问题，高效整改，确保各项工作扎实推进，按期保证完成。</w:t>
      </w:r>
    </w:p>
    <w:p w14:paraId="07833764" w14:textId="77777777" w:rsidR="00C97237" w:rsidRDefault="00000000">
      <w:pPr>
        <w:spacing w:line="590" w:lineRule="exact"/>
        <w:ind w:firstLineChars="200" w:firstLine="640"/>
        <w:rPr>
          <w:rFonts w:ascii="Times New Roman" w:eastAsia="仿宋_GB2312" w:hAnsi="Times New Roman" w:cs="仿宋_GB2312"/>
          <w:color w:val="000000"/>
          <w:kern w:val="0"/>
          <w:sz w:val="32"/>
          <w:szCs w:val="32"/>
          <w:lang w:bidi="ar"/>
        </w:rPr>
      </w:pPr>
      <w:r>
        <w:rPr>
          <w:rFonts w:ascii="Times New Roman" w:eastAsia="楷体" w:hAnsi="Times New Roman" w:cs="楷体" w:hint="eastAsia"/>
          <w:color w:val="000000"/>
          <w:kern w:val="0"/>
          <w:sz w:val="32"/>
          <w:szCs w:val="32"/>
          <w:lang w:bidi="ar"/>
        </w:rPr>
        <w:t>（四）扩大宣传引导。</w:t>
      </w:r>
      <w:r>
        <w:rPr>
          <w:rFonts w:ascii="Times New Roman" w:eastAsia="仿宋_GB2312" w:hAnsi="Times New Roman" w:cs="仿宋_GB2312" w:hint="eastAsia"/>
          <w:color w:val="000000"/>
          <w:kern w:val="0"/>
          <w:sz w:val="32"/>
          <w:szCs w:val="32"/>
          <w:lang w:bidi="ar"/>
        </w:rPr>
        <w:t>各部门要增强优化营商环境的责任感和主动性，充分利用网络、广播电视，报纸杂志等多种媒体，加大本领域本系统优化营商环境政策措施和先进典型的宣传力度，积极引导社会公众广泛参与，营造良好的营商环境舆论宣传氛围。</w:t>
      </w:r>
    </w:p>
    <w:p w14:paraId="4FF0B571" w14:textId="77777777" w:rsidR="00C97237" w:rsidRDefault="00C97237">
      <w:pPr>
        <w:spacing w:line="580" w:lineRule="exact"/>
        <w:rPr>
          <w:rFonts w:ascii="黑体" w:eastAsia="黑体" w:hAnsi="黑体" w:cs="黑体"/>
          <w:sz w:val="44"/>
          <w:szCs w:val="44"/>
        </w:rPr>
      </w:pPr>
    </w:p>
    <w:p w14:paraId="606DA024" w14:textId="77777777" w:rsidR="00C97237" w:rsidRDefault="00C97237">
      <w:pPr>
        <w:spacing w:line="580" w:lineRule="exact"/>
        <w:rPr>
          <w:rFonts w:ascii="黑体" w:eastAsia="黑体" w:hAnsi="黑体" w:cs="黑体"/>
          <w:sz w:val="44"/>
          <w:szCs w:val="44"/>
        </w:rPr>
      </w:pPr>
    </w:p>
    <w:p w14:paraId="68A57B17" w14:textId="77777777" w:rsidR="00C97237" w:rsidRDefault="00C97237">
      <w:pPr>
        <w:spacing w:line="580" w:lineRule="exact"/>
        <w:rPr>
          <w:rFonts w:ascii="黑体" w:eastAsia="黑体" w:hAnsi="黑体" w:cs="黑体"/>
          <w:sz w:val="44"/>
          <w:szCs w:val="44"/>
        </w:rPr>
      </w:pPr>
    </w:p>
    <w:p w14:paraId="2F6FFE6B" w14:textId="77777777" w:rsidR="00C97237" w:rsidRDefault="00C97237">
      <w:pPr>
        <w:spacing w:line="580" w:lineRule="exact"/>
        <w:rPr>
          <w:rFonts w:ascii="黑体" w:eastAsia="黑体" w:hAnsi="黑体" w:cs="黑体"/>
          <w:sz w:val="44"/>
          <w:szCs w:val="44"/>
        </w:rPr>
      </w:pPr>
    </w:p>
    <w:p w14:paraId="76801946" w14:textId="77777777" w:rsidR="00C97237" w:rsidRDefault="00C97237">
      <w:pPr>
        <w:spacing w:line="580" w:lineRule="exact"/>
        <w:rPr>
          <w:rFonts w:ascii="黑体" w:eastAsia="黑体" w:hAnsi="黑体" w:cs="黑体"/>
          <w:sz w:val="44"/>
          <w:szCs w:val="44"/>
        </w:rPr>
      </w:pPr>
    </w:p>
    <w:p w14:paraId="2B567A6F" w14:textId="77777777" w:rsidR="00C97237" w:rsidRDefault="00C97237">
      <w:pPr>
        <w:spacing w:line="580" w:lineRule="exact"/>
        <w:rPr>
          <w:rFonts w:ascii="黑体" w:eastAsia="黑体" w:hAnsi="黑体" w:cs="黑体"/>
          <w:sz w:val="44"/>
          <w:szCs w:val="44"/>
        </w:rPr>
      </w:pPr>
    </w:p>
    <w:p w14:paraId="2FA3AC4C" w14:textId="77777777" w:rsidR="00C97237" w:rsidRDefault="00C97237">
      <w:pPr>
        <w:spacing w:line="580" w:lineRule="exact"/>
        <w:rPr>
          <w:rFonts w:ascii="黑体" w:eastAsia="黑体" w:hAnsi="黑体" w:cs="黑体"/>
          <w:sz w:val="44"/>
          <w:szCs w:val="44"/>
        </w:rPr>
      </w:pPr>
    </w:p>
    <w:p w14:paraId="3515AD63" w14:textId="77777777" w:rsidR="00C97237" w:rsidRDefault="00C97237">
      <w:pPr>
        <w:spacing w:line="580" w:lineRule="exact"/>
        <w:rPr>
          <w:rFonts w:ascii="黑体" w:eastAsia="黑体" w:hAnsi="黑体" w:cs="黑体"/>
          <w:sz w:val="44"/>
          <w:szCs w:val="44"/>
        </w:rPr>
      </w:pPr>
    </w:p>
    <w:p w14:paraId="1BA97746" w14:textId="77777777" w:rsidR="00C97237" w:rsidRDefault="00C97237">
      <w:pPr>
        <w:spacing w:line="580" w:lineRule="exact"/>
        <w:rPr>
          <w:rFonts w:ascii="黑体" w:eastAsia="黑体" w:hAnsi="黑体" w:cs="黑体"/>
          <w:sz w:val="44"/>
          <w:szCs w:val="44"/>
        </w:rPr>
      </w:pPr>
    </w:p>
    <w:p w14:paraId="4F5176C5" w14:textId="77777777" w:rsidR="00C97237" w:rsidRDefault="00C97237">
      <w:pPr>
        <w:spacing w:line="580" w:lineRule="exact"/>
        <w:rPr>
          <w:rFonts w:ascii="黑体" w:eastAsia="黑体" w:hAnsi="黑体" w:cs="黑体"/>
          <w:sz w:val="44"/>
          <w:szCs w:val="44"/>
        </w:rPr>
      </w:pPr>
    </w:p>
    <w:p w14:paraId="03464234" w14:textId="77777777" w:rsidR="00C97237" w:rsidRDefault="00C97237">
      <w:pPr>
        <w:spacing w:line="580" w:lineRule="exact"/>
        <w:rPr>
          <w:rFonts w:ascii="黑体" w:eastAsia="黑体" w:hAnsi="黑体" w:cs="黑体"/>
          <w:sz w:val="44"/>
          <w:szCs w:val="44"/>
        </w:rPr>
      </w:pPr>
    </w:p>
    <w:p w14:paraId="3966882D" w14:textId="77777777" w:rsidR="00C97237" w:rsidRDefault="00C97237">
      <w:pPr>
        <w:spacing w:line="580" w:lineRule="exact"/>
        <w:rPr>
          <w:rFonts w:ascii="黑体" w:eastAsia="黑体" w:hAnsi="黑体" w:cs="黑体"/>
          <w:sz w:val="44"/>
          <w:szCs w:val="44"/>
        </w:rPr>
      </w:pPr>
    </w:p>
    <w:p w14:paraId="2D830489" w14:textId="77777777" w:rsidR="00C97237" w:rsidRDefault="00C97237">
      <w:pPr>
        <w:spacing w:line="580" w:lineRule="exact"/>
        <w:rPr>
          <w:rFonts w:ascii="黑体" w:eastAsia="黑体" w:hAnsi="黑体" w:cs="黑体"/>
          <w:sz w:val="44"/>
          <w:szCs w:val="44"/>
        </w:rPr>
      </w:pPr>
    </w:p>
    <w:p w14:paraId="1651D29D" w14:textId="77777777" w:rsidR="00C97237" w:rsidRDefault="00C97237">
      <w:pPr>
        <w:spacing w:line="580" w:lineRule="exact"/>
        <w:rPr>
          <w:rFonts w:ascii="黑体" w:eastAsia="黑体" w:hAnsi="黑体" w:cs="黑体"/>
          <w:sz w:val="44"/>
          <w:szCs w:val="44"/>
        </w:rPr>
      </w:pPr>
    </w:p>
    <w:p w14:paraId="5C099884" w14:textId="77777777" w:rsidR="00C97237" w:rsidRDefault="00000000">
      <w:pPr>
        <w:spacing w:line="580" w:lineRule="exact"/>
        <w:rPr>
          <w:rFonts w:ascii="黑体" w:eastAsia="黑体" w:hAnsi="黑体" w:cs="黑体"/>
          <w:sz w:val="44"/>
          <w:szCs w:val="44"/>
        </w:rPr>
      </w:pPr>
      <w:r>
        <w:rPr>
          <w:rFonts w:ascii="黑体" w:eastAsia="黑体" w:hAnsi="黑体" w:cs="黑体" w:hint="eastAsia"/>
          <w:sz w:val="44"/>
          <w:szCs w:val="44"/>
        </w:rPr>
        <w:lastRenderedPageBreak/>
        <w:t>附件26</w:t>
      </w:r>
    </w:p>
    <w:p w14:paraId="772CE4BB"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t>偃师区公共文化服务能力提升专项</w:t>
      </w:r>
    </w:p>
    <w:p w14:paraId="104FBF8A"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t>行动方案</w:t>
      </w:r>
    </w:p>
    <w:p w14:paraId="5E73D04C" w14:textId="77777777" w:rsidR="00C97237" w:rsidRDefault="00000000">
      <w:pPr>
        <w:spacing w:line="64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为贯彻落实优化营商环境工作部署，全力推进营商环境改革，加快</w:t>
      </w:r>
      <w:r>
        <w:rPr>
          <w:rFonts w:ascii="Times New Roman" w:eastAsia="仿宋" w:hAnsi="Times New Roman" w:cs="Times New Roman"/>
          <w:sz w:val="32"/>
          <w:szCs w:val="32"/>
        </w:rPr>
        <w:t>提升公共文化服务效能</w:t>
      </w:r>
      <w:r>
        <w:rPr>
          <w:rFonts w:ascii="Times New Roman" w:eastAsia="仿宋" w:hAnsi="Times New Roman" w:cs="Times New Roman" w:hint="eastAsia"/>
          <w:sz w:val="32"/>
          <w:szCs w:val="32"/>
        </w:rPr>
        <w:t>，高标准、高水平、深层次推动全</w:t>
      </w:r>
      <w:r>
        <w:rPr>
          <w:rFonts w:ascii="Times New Roman" w:eastAsia="仿宋" w:hAnsi="Times New Roman" w:cs="Times New Roman"/>
          <w:sz w:val="32"/>
          <w:szCs w:val="32"/>
        </w:rPr>
        <w:t>市</w:t>
      </w:r>
      <w:r>
        <w:rPr>
          <w:rFonts w:ascii="Times New Roman" w:eastAsia="仿宋" w:hAnsi="Times New Roman" w:cs="Times New Roman" w:hint="eastAsia"/>
          <w:sz w:val="32"/>
          <w:szCs w:val="32"/>
        </w:rPr>
        <w:t>营商环境建设工作，制定本方案</w:t>
      </w:r>
      <w:r>
        <w:rPr>
          <w:rFonts w:ascii="Times New Roman" w:eastAsia="仿宋" w:hAnsi="Times New Roman" w:cs="Times New Roman"/>
          <w:sz w:val="32"/>
          <w:szCs w:val="32"/>
        </w:rPr>
        <w:t>。</w:t>
      </w:r>
    </w:p>
    <w:p w14:paraId="1C0AD22C" w14:textId="77777777" w:rsidR="00C97237" w:rsidRDefault="00000000">
      <w:pPr>
        <w:numPr>
          <w:ilvl w:val="0"/>
          <w:numId w:val="13"/>
        </w:numPr>
        <w:spacing w:line="640" w:lineRule="exact"/>
        <w:ind w:firstLine="640"/>
        <w:rPr>
          <w:rFonts w:ascii="黑体" w:eastAsia="黑体" w:hAnsi="黑体" w:cs="黑体"/>
          <w:sz w:val="32"/>
          <w:szCs w:val="32"/>
        </w:rPr>
      </w:pPr>
      <w:r>
        <w:rPr>
          <w:rFonts w:ascii="黑体" w:eastAsia="黑体" w:hAnsi="黑体" w:cs="黑体" w:hint="eastAsia"/>
          <w:sz w:val="32"/>
          <w:szCs w:val="32"/>
        </w:rPr>
        <w:t>要求和目标</w:t>
      </w:r>
    </w:p>
    <w:p w14:paraId="662D9E4D" w14:textId="77777777" w:rsidR="00C97237" w:rsidRDefault="00000000">
      <w:pPr>
        <w:spacing w:line="640" w:lineRule="exact"/>
        <w:ind w:firstLineChars="200" w:firstLine="640"/>
        <w:rPr>
          <w:rFonts w:ascii="Times New Roman" w:eastAsia="仿宋" w:hAnsi="Times New Roman" w:cs="Times New Roman"/>
          <w:sz w:val="32"/>
          <w:szCs w:val="32"/>
        </w:rPr>
      </w:pPr>
      <w:r>
        <w:rPr>
          <w:rFonts w:ascii="仿宋" w:eastAsia="仿宋" w:hAnsi="仿宋" w:cs="仿宋" w:hint="eastAsia"/>
          <w:color w:val="000000"/>
          <w:sz w:val="32"/>
          <w:szCs w:val="32"/>
        </w:rPr>
        <w:t>丰富</w:t>
      </w:r>
      <w:r>
        <w:rPr>
          <w:rFonts w:ascii="仿宋" w:eastAsia="仿宋" w:hAnsi="仿宋" w:cs="仿宋"/>
          <w:color w:val="000000"/>
          <w:sz w:val="32"/>
          <w:szCs w:val="32"/>
        </w:rPr>
        <w:t>公共文化服务</w:t>
      </w:r>
      <w:r>
        <w:rPr>
          <w:rFonts w:ascii="仿宋" w:eastAsia="仿宋" w:hAnsi="仿宋" w:cs="仿宋" w:hint="eastAsia"/>
          <w:color w:val="000000"/>
          <w:sz w:val="32"/>
          <w:szCs w:val="32"/>
        </w:rPr>
        <w:t>产品供给，</w:t>
      </w:r>
      <w:r>
        <w:rPr>
          <w:rFonts w:ascii="仿宋" w:eastAsia="仿宋" w:hAnsi="仿宋" w:cs="仿宋"/>
          <w:color w:val="000000"/>
          <w:sz w:val="32"/>
          <w:szCs w:val="32"/>
        </w:rPr>
        <w:t>加强基层文化工作队伍培训</w:t>
      </w:r>
      <w:r>
        <w:rPr>
          <w:rFonts w:ascii="仿宋" w:eastAsia="仿宋" w:hAnsi="仿宋" w:cs="仿宋" w:hint="eastAsia"/>
          <w:color w:val="000000"/>
          <w:sz w:val="32"/>
          <w:szCs w:val="32"/>
        </w:rPr>
        <w:t>，</w:t>
      </w:r>
      <w:r>
        <w:rPr>
          <w:rFonts w:ascii="仿宋" w:eastAsia="仿宋" w:hAnsi="仿宋" w:cs="仿宋"/>
          <w:color w:val="000000"/>
          <w:sz w:val="32"/>
          <w:szCs w:val="32"/>
        </w:rPr>
        <w:t>进一步完善网络健全、结构合理、发展均衡、</w:t>
      </w:r>
      <w:r>
        <w:rPr>
          <w:rFonts w:ascii="仿宋" w:eastAsia="仿宋" w:hAnsi="仿宋" w:cs="仿宋" w:hint="eastAsia"/>
          <w:color w:val="000000"/>
          <w:sz w:val="32"/>
          <w:szCs w:val="32"/>
        </w:rPr>
        <w:t>覆盖城乡、惠及全民</w:t>
      </w:r>
      <w:r>
        <w:rPr>
          <w:rFonts w:ascii="仿宋" w:eastAsia="仿宋" w:hAnsi="仿宋" w:cs="仿宋"/>
          <w:color w:val="000000"/>
          <w:sz w:val="32"/>
          <w:szCs w:val="32"/>
        </w:rPr>
        <w:t>的公共文化服务体系。</w:t>
      </w:r>
      <w:r>
        <w:rPr>
          <w:rFonts w:ascii="Times New Roman" w:eastAsia="仿宋" w:hAnsi="Times New Roman" w:cs="Times New Roman"/>
          <w:sz w:val="32"/>
          <w:szCs w:val="32"/>
        </w:rPr>
        <w:t>202</w:t>
      </w:r>
      <w:r>
        <w:rPr>
          <w:rFonts w:ascii="Times New Roman" w:eastAsia="仿宋" w:hAnsi="Times New Roman" w:cs="Times New Roman" w:hint="eastAsia"/>
          <w:sz w:val="32"/>
          <w:szCs w:val="32"/>
        </w:rPr>
        <w:t>2</w:t>
      </w:r>
      <w:r>
        <w:rPr>
          <w:rFonts w:ascii="Times New Roman" w:eastAsia="仿宋" w:hAnsi="Times New Roman" w:cs="Times New Roman"/>
          <w:sz w:val="32"/>
          <w:szCs w:val="32"/>
        </w:rPr>
        <w:t>年底，公共文化服务设施持续升级，形成一批</w:t>
      </w:r>
      <w:r>
        <w:rPr>
          <w:rFonts w:ascii="Times New Roman" w:eastAsia="仿宋" w:hAnsi="Times New Roman" w:cs="Times New Roman"/>
          <w:sz w:val="32"/>
          <w:szCs w:val="32"/>
        </w:rPr>
        <w:t>15</w:t>
      </w:r>
      <w:r>
        <w:rPr>
          <w:rFonts w:ascii="Times New Roman" w:eastAsia="仿宋" w:hAnsi="Times New Roman" w:cs="Times New Roman"/>
          <w:sz w:val="32"/>
          <w:szCs w:val="32"/>
        </w:rPr>
        <w:t>分钟文化生活圈，全年开展</w:t>
      </w:r>
      <w:r>
        <w:rPr>
          <w:rFonts w:ascii="Times New Roman" w:eastAsia="仿宋_GB2312" w:hAnsi="Times New Roman" w:cs="Times New Roman"/>
          <w:color w:val="000000"/>
          <w:sz w:val="32"/>
          <w:szCs w:val="32"/>
        </w:rPr>
        <w:t>送戏下乡演出</w:t>
      </w:r>
      <w:r>
        <w:rPr>
          <w:rFonts w:ascii="Times New Roman" w:eastAsia="仿宋_GB2312" w:hAnsi="Times New Roman" w:cs="Times New Roman"/>
          <w:color w:val="000000"/>
          <w:sz w:val="32"/>
          <w:szCs w:val="32"/>
        </w:rPr>
        <w:t>226</w:t>
      </w:r>
      <w:r>
        <w:rPr>
          <w:rFonts w:ascii="Times New Roman" w:eastAsia="仿宋_GB2312" w:hAnsi="Times New Roman" w:cs="Times New Roman"/>
          <w:color w:val="000000"/>
          <w:sz w:val="32"/>
          <w:szCs w:val="32"/>
        </w:rPr>
        <w:t>场以上，农村数字免费电影</w:t>
      </w:r>
      <w:r>
        <w:rPr>
          <w:rFonts w:ascii="Times New Roman" w:eastAsia="仿宋_GB2312" w:hAnsi="Times New Roman" w:cs="Times New Roman"/>
          <w:color w:val="000000"/>
          <w:sz w:val="32"/>
          <w:szCs w:val="32"/>
        </w:rPr>
        <w:t>2712</w:t>
      </w:r>
      <w:r>
        <w:rPr>
          <w:rFonts w:ascii="Times New Roman" w:eastAsia="仿宋_GB2312" w:hAnsi="Times New Roman" w:cs="Times New Roman"/>
          <w:color w:val="000000"/>
          <w:sz w:val="32"/>
          <w:szCs w:val="32"/>
        </w:rPr>
        <w:t>场，周末免费电影</w:t>
      </w:r>
      <w:r>
        <w:rPr>
          <w:rFonts w:ascii="Times New Roman" w:eastAsia="仿宋_GB2312" w:hAnsi="Times New Roman" w:cs="Times New Roman"/>
          <w:color w:val="000000"/>
          <w:sz w:val="32"/>
          <w:szCs w:val="32"/>
        </w:rPr>
        <w:t>52</w:t>
      </w:r>
      <w:r>
        <w:rPr>
          <w:rFonts w:ascii="Times New Roman" w:eastAsia="仿宋_GB2312" w:hAnsi="Times New Roman" w:cs="Times New Roman"/>
          <w:color w:val="000000"/>
          <w:sz w:val="32"/>
          <w:szCs w:val="32"/>
        </w:rPr>
        <w:t>场，舞台艺术送农民</w:t>
      </w:r>
      <w:r>
        <w:rPr>
          <w:rFonts w:ascii="Times New Roman" w:eastAsia="仿宋_GB2312" w:hAnsi="Times New Roman" w:cs="Times New Roman"/>
          <w:color w:val="000000"/>
          <w:sz w:val="32"/>
          <w:szCs w:val="32"/>
        </w:rPr>
        <w:t>9</w:t>
      </w:r>
      <w:r>
        <w:rPr>
          <w:rFonts w:ascii="Times New Roman" w:eastAsia="仿宋_GB2312" w:hAnsi="Times New Roman" w:cs="Times New Roman"/>
          <w:color w:val="000000"/>
          <w:sz w:val="32"/>
          <w:szCs w:val="32"/>
        </w:rPr>
        <w:t>场以上，保障每个行政村每月放映</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场公益电影，每个行政村每年看</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场以上戏剧或文艺演出</w:t>
      </w:r>
      <w:r>
        <w:rPr>
          <w:rFonts w:ascii="Times New Roman" w:eastAsia="仿宋_GB2312" w:hAnsi="Times New Roman" w:cs="Times New Roman" w:hint="eastAsia"/>
          <w:color w:val="000000"/>
          <w:sz w:val="32"/>
          <w:szCs w:val="32"/>
        </w:rPr>
        <w:t>，使</w:t>
      </w:r>
      <w:r>
        <w:rPr>
          <w:rFonts w:ascii="仿宋" w:eastAsia="仿宋" w:hAnsi="仿宋" w:cs="仿宋" w:hint="eastAsia"/>
          <w:color w:val="000000"/>
          <w:sz w:val="32"/>
          <w:szCs w:val="32"/>
        </w:rPr>
        <w:t>人民群众精神文化生活更加丰富。</w:t>
      </w:r>
    </w:p>
    <w:p w14:paraId="7F1ED246" w14:textId="77777777" w:rsidR="00C97237" w:rsidRDefault="00000000">
      <w:pPr>
        <w:tabs>
          <w:tab w:val="center" w:pos="4153"/>
        </w:tabs>
        <w:spacing w:line="560" w:lineRule="exact"/>
        <w:ind w:firstLineChars="200" w:firstLine="643"/>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二、主要内容</w:t>
      </w:r>
    </w:p>
    <w:p w14:paraId="5C75D39E" w14:textId="77777777" w:rsidR="00C97237" w:rsidRDefault="00000000">
      <w:pPr>
        <w:pStyle w:val="ab"/>
        <w:widowControl/>
        <w:numPr>
          <w:ilvl w:val="0"/>
          <w:numId w:val="14"/>
        </w:numPr>
        <w:wordWrap w:val="0"/>
        <w:spacing w:line="600" w:lineRule="exact"/>
        <w:ind w:firstLineChars="200" w:firstLine="640"/>
        <w:rPr>
          <w:rFonts w:ascii="Times New Roman" w:eastAsia="仿宋" w:hAnsi="Times New Roman" w:cs="Times New Roman"/>
          <w:sz w:val="32"/>
          <w:szCs w:val="32"/>
        </w:rPr>
      </w:pPr>
      <w:r>
        <w:rPr>
          <w:rFonts w:ascii="仿宋_GB2312" w:eastAsia="仿宋_GB2312" w:hAnsi="仿宋_GB2312" w:cs="仿宋_GB2312" w:hint="eastAsia"/>
          <w:sz w:val="32"/>
          <w:szCs w:val="32"/>
        </w:rPr>
        <w:t>完善县（市、区）、乡镇（街道）、村（社区）三级公共文化设施，实现公共文化设施网络化的有效覆盖</w:t>
      </w:r>
      <w:r>
        <w:rPr>
          <w:rFonts w:ascii="Times New Roman" w:eastAsia="仿宋" w:hAnsi="Times New Roman" w:cs="Times New Roman"/>
          <w:sz w:val="32"/>
          <w:szCs w:val="32"/>
        </w:rPr>
        <w:t>，</w:t>
      </w:r>
      <w:r>
        <w:rPr>
          <w:rFonts w:ascii="Times New Roman" w:eastAsia="仿宋" w:hAnsi="Times New Roman" w:cs="Times New Roman"/>
          <w:sz w:val="32"/>
          <w:szCs w:val="32"/>
        </w:rPr>
        <w:t>202</w:t>
      </w:r>
      <w:r>
        <w:rPr>
          <w:rFonts w:ascii="Times New Roman" w:eastAsia="仿宋" w:hAnsi="Times New Roman" w:cs="Times New Roman" w:hint="eastAsia"/>
          <w:sz w:val="32"/>
          <w:szCs w:val="32"/>
        </w:rPr>
        <w:t>2</w:t>
      </w:r>
      <w:r>
        <w:rPr>
          <w:rFonts w:ascii="Times New Roman" w:eastAsia="仿宋" w:hAnsi="Times New Roman" w:cs="Times New Roman"/>
          <w:sz w:val="32"/>
          <w:szCs w:val="32"/>
        </w:rPr>
        <w:t>年底前进一步提升综合性文化服务中心</w:t>
      </w:r>
      <w:r>
        <w:rPr>
          <w:rFonts w:ascii="Times New Roman" w:eastAsia="仿宋" w:hAnsi="Times New Roman" w:cs="Times New Roman" w:hint="eastAsia"/>
          <w:sz w:val="32"/>
          <w:szCs w:val="32"/>
        </w:rPr>
        <w:t>服务</w:t>
      </w:r>
      <w:r>
        <w:rPr>
          <w:rFonts w:ascii="Times New Roman" w:eastAsia="仿宋" w:hAnsi="Times New Roman" w:cs="Times New Roman"/>
          <w:sz w:val="32"/>
          <w:szCs w:val="32"/>
        </w:rPr>
        <w:t>效能。</w:t>
      </w:r>
    </w:p>
    <w:p w14:paraId="2F444EE8" w14:textId="77777777" w:rsidR="00C97237" w:rsidRDefault="00000000">
      <w:pPr>
        <w:pStyle w:val="ab"/>
        <w:widowControl/>
        <w:numPr>
          <w:ilvl w:val="0"/>
          <w:numId w:val="14"/>
        </w:numPr>
        <w:wordWrap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强化城市书房日常管理，开展阅读推广活动，提升城市书房服务效能。</w:t>
      </w:r>
    </w:p>
    <w:p w14:paraId="6A93F372" w14:textId="77777777" w:rsidR="00C97237" w:rsidRDefault="00000000">
      <w:pPr>
        <w:pStyle w:val="ab"/>
        <w:widowControl/>
        <w:numPr>
          <w:ilvl w:val="0"/>
          <w:numId w:val="14"/>
        </w:numPr>
        <w:wordWrap w:val="0"/>
        <w:spacing w:line="60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color w:val="000000"/>
          <w:sz w:val="32"/>
          <w:szCs w:val="32"/>
        </w:rPr>
        <w:lastRenderedPageBreak/>
        <w:t>加快实现数字化文化信息共享。借助</w:t>
      </w:r>
      <w:r>
        <w:rPr>
          <w:rFonts w:ascii="Times New Roman" w:eastAsia="仿宋_GB2312" w:hAnsi="Times New Roman" w:cs="Times New Roman" w:hint="eastAsia"/>
          <w:color w:val="000000"/>
          <w:sz w:val="32"/>
          <w:szCs w:val="32"/>
        </w:rPr>
        <w:t>于总分馆制建设及</w:t>
      </w:r>
      <w:r>
        <w:rPr>
          <w:rFonts w:ascii="Times New Roman" w:eastAsia="仿宋_GB2312" w:hAnsi="Times New Roman" w:cs="Times New Roman"/>
          <w:color w:val="000000"/>
          <w:sz w:val="32"/>
          <w:szCs w:val="32"/>
        </w:rPr>
        <w:t>农村远程教育服务网站，不断完善文化信息资源共享工程，构建基于多网络、多终端、全媒体的数字图书馆服务体系，</w:t>
      </w:r>
      <w:r>
        <w:rPr>
          <w:rFonts w:ascii="Times New Roman" w:eastAsia="仿宋_GB2312" w:hAnsi="Times New Roman" w:cs="Times New Roman"/>
          <w:color w:val="000000"/>
          <w:sz w:val="32"/>
          <w:szCs w:val="32"/>
        </w:rPr>
        <w:t>100%</w:t>
      </w:r>
      <w:r>
        <w:rPr>
          <w:rFonts w:ascii="Times New Roman" w:eastAsia="仿宋_GB2312" w:hAnsi="Times New Roman" w:cs="Times New Roman"/>
          <w:color w:val="000000"/>
          <w:sz w:val="32"/>
          <w:szCs w:val="32"/>
        </w:rPr>
        <w:t>的镇（办）配备公共电子阅览室；实现专职共享工程管理人员、规章制度、服务记录健全，每周活动不少于一次，大力开展公益性服务。</w:t>
      </w:r>
    </w:p>
    <w:p w14:paraId="48EF3C19" w14:textId="77777777" w:rsidR="00C97237" w:rsidRDefault="00000000">
      <w:pPr>
        <w:pStyle w:val="ab"/>
        <w:widowControl/>
        <w:numPr>
          <w:ilvl w:val="0"/>
          <w:numId w:val="14"/>
        </w:numPr>
        <w:wordWrap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创新实施文化惠民工程，统筹开展</w:t>
      </w:r>
      <w:r>
        <w:rPr>
          <w:rFonts w:ascii="Times New Roman" w:eastAsia="仿宋" w:hAnsi="Times New Roman" w:cs="Times New Roman" w:hint="eastAsia"/>
          <w:sz w:val="32"/>
          <w:szCs w:val="32"/>
        </w:rPr>
        <w:t>“文化进社区”活动、“</w:t>
      </w:r>
      <w:r>
        <w:rPr>
          <w:rFonts w:ascii="Times New Roman" w:eastAsia="仿宋_GB2312" w:hAnsi="Times New Roman" w:cs="Times New Roman"/>
          <w:color w:val="000000"/>
          <w:sz w:val="32"/>
          <w:szCs w:val="32"/>
        </w:rPr>
        <w:t>送戏下乡</w:t>
      </w:r>
      <w:r>
        <w:rPr>
          <w:rFonts w:ascii="Times New Roman" w:eastAsia="仿宋_GB2312" w:hAnsi="Times New Roman" w:cs="Times New Roman" w:hint="eastAsia"/>
          <w:color w:val="000000"/>
          <w:sz w:val="32"/>
          <w:szCs w:val="32"/>
        </w:rPr>
        <w:t>”惠民</w:t>
      </w:r>
      <w:r>
        <w:rPr>
          <w:rFonts w:ascii="Times New Roman" w:eastAsia="仿宋_GB2312" w:hAnsi="Times New Roman" w:cs="Times New Roman"/>
          <w:color w:val="000000"/>
          <w:sz w:val="32"/>
          <w:szCs w:val="32"/>
        </w:rPr>
        <w:t>演出</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农村数字免费电影</w:t>
      </w:r>
      <w:r>
        <w:rPr>
          <w:rFonts w:ascii="Times New Roman" w:eastAsia="仿宋_GB2312" w:hAnsi="Times New Roman" w:cs="Times New Roman" w:hint="eastAsia"/>
          <w:color w:val="000000"/>
          <w:sz w:val="32"/>
          <w:szCs w:val="32"/>
        </w:rPr>
        <w:t>放映、</w:t>
      </w:r>
      <w:r>
        <w:rPr>
          <w:rFonts w:ascii="Times New Roman" w:eastAsia="仿宋_GB2312" w:hAnsi="Times New Roman" w:cs="Times New Roman"/>
          <w:color w:val="000000"/>
          <w:sz w:val="32"/>
          <w:szCs w:val="32"/>
        </w:rPr>
        <w:t>周末免费电影</w:t>
      </w:r>
      <w:r>
        <w:rPr>
          <w:rFonts w:ascii="Times New Roman" w:eastAsia="仿宋_GB2312" w:hAnsi="Times New Roman" w:cs="Times New Roman" w:hint="eastAsia"/>
          <w:color w:val="000000"/>
          <w:sz w:val="32"/>
          <w:szCs w:val="32"/>
        </w:rPr>
        <w:t>放映、</w:t>
      </w:r>
      <w:r>
        <w:rPr>
          <w:rFonts w:ascii="Times New Roman" w:eastAsia="仿宋_GB2312" w:hAnsi="Times New Roman" w:cs="Times New Roman"/>
          <w:color w:val="000000"/>
          <w:sz w:val="32"/>
          <w:szCs w:val="32"/>
        </w:rPr>
        <w:t>舞台艺术送</w:t>
      </w:r>
      <w:r>
        <w:rPr>
          <w:rFonts w:ascii="Times New Roman" w:eastAsia="仿宋_GB2312" w:hAnsi="Times New Roman" w:cs="Times New Roman" w:hint="eastAsia"/>
          <w:color w:val="000000"/>
          <w:sz w:val="32"/>
          <w:szCs w:val="32"/>
        </w:rPr>
        <w:t>基层、社区精品演出等惠民活动：</w:t>
      </w:r>
      <w:r>
        <w:rPr>
          <w:rFonts w:ascii="Times New Roman" w:eastAsia="仿宋_GB2312" w:hAnsi="Times New Roman" w:cs="Times New Roman"/>
          <w:sz w:val="32"/>
          <w:szCs w:val="32"/>
        </w:rPr>
        <w:t>做好非物质文化遗产保护传承</w:t>
      </w:r>
      <w:r>
        <w:rPr>
          <w:rFonts w:ascii="Times New Roman" w:eastAsia="仿宋_GB2312" w:hAnsi="Times New Roman" w:cs="Times New Roman" w:hint="eastAsia"/>
          <w:sz w:val="32"/>
          <w:szCs w:val="32"/>
        </w:rPr>
        <w:t>工作及</w:t>
      </w:r>
      <w:r>
        <w:rPr>
          <w:rFonts w:ascii="Times New Roman" w:eastAsia="仿宋_GB2312" w:hAnsi="Times New Roman" w:cs="Times New Roman"/>
          <w:sz w:val="32"/>
          <w:szCs w:val="32"/>
        </w:rPr>
        <w:t>河洛大鼓进校园活动</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持续开展好“周月文化集会”活动、</w:t>
      </w:r>
      <w:r>
        <w:rPr>
          <w:rFonts w:ascii="Times New Roman" w:eastAsia="仿宋_GB2312" w:hAnsi="Times New Roman" w:cs="Times New Roman" w:hint="eastAsia"/>
          <w:sz w:val="32"/>
          <w:szCs w:val="32"/>
        </w:rPr>
        <w:t>“快乐星期天”主题文化活动和红色文艺轻骑兵</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品牌活动。</w:t>
      </w:r>
    </w:p>
    <w:p w14:paraId="1CE16333" w14:textId="77777777" w:rsidR="00C97237" w:rsidRDefault="00000000">
      <w:pPr>
        <w:pStyle w:val="ab"/>
        <w:widowControl/>
        <w:numPr>
          <w:ilvl w:val="0"/>
          <w:numId w:val="14"/>
        </w:numPr>
        <w:wordWrap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实现</w:t>
      </w:r>
      <w:r>
        <w:rPr>
          <w:rFonts w:ascii="Times New Roman" w:eastAsia="仿宋" w:hAnsi="Times New Roman" w:cs="Times New Roman" w:hint="eastAsia"/>
          <w:sz w:val="32"/>
          <w:szCs w:val="32"/>
        </w:rPr>
        <w:t>县（区）</w:t>
      </w:r>
      <w:r>
        <w:rPr>
          <w:rFonts w:ascii="Times New Roman" w:eastAsia="仿宋" w:hAnsi="Times New Roman" w:cs="Times New Roman"/>
          <w:sz w:val="32"/>
          <w:szCs w:val="32"/>
        </w:rPr>
        <w:t>级公共图书馆每年开展流动服务</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60</w:t>
      </w:r>
      <w:r>
        <w:rPr>
          <w:rFonts w:ascii="Times New Roman" w:eastAsia="仿宋" w:hAnsi="Times New Roman" w:cs="Times New Roman"/>
          <w:sz w:val="32"/>
          <w:szCs w:val="32"/>
        </w:rPr>
        <w:t>次以上，</w:t>
      </w:r>
      <w:r>
        <w:rPr>
          <w:rFonts w:ascii="Times New Roman" w:eastAsia="仿宋" w:hAnsi="Times New Roman" w:cs="Times New Roman" w:hint="eastAsia"/>
          <w:sz w:val="32"/>
          <w:szCs w:val="32"/>
        </w:rPr>
        <w:t>县（区）</w:t>
      </w:r>
      <w:r>
        <w:rPr>
          <w:rFonts w:ascii="Times New Roman" w:eastAsia="仿宋" w:hAnsi="Times New Roman" w:cs="Times New Roman"/>
          <w:sz w:val="32"/>
          <w:szCs w:val="32"/>
        </w:rPr>
        <w:t>级文化馆每年开展流动服务</w:t>
      </w:r>
      <w:r>
        <w:rPr>
          <w:rFonts w:ascii="Times New Roman" w:eastAsia="仿宋" w:hAnsi="Times New Roman" w:cs="Times New Roman"/>
          <w:sz w:val="32"/>
          <w:szCs w:val="32"/>
        </w:rPr>
        <w:t xml:space="preserve"> 40 </w:t>
      </w:r>
      <w:r>
        <w:rPr>
          <w:rFonts w:ascii="Times New Roman" w:eastAsia="仿宋" w:hAnsi="Times New Roman" w:cs="Times New Roman"/>
          <w:sz w:val="32"/>
          <w:szCs w:val="32"/>
        </w:rPr>
        <w:t>场次以上。</w:t>
      </w:r>
    </w:p>
    <w:p w14:paraId="0DA76662" w14:textId="77777777" w:rsidR="00C97237" w:rsidRDefault="00000000">
      <w:pPr>
        <w:spacing w:line="640" w:lineRule="exact"/>
        <w:ind w:firstLineChars="200" w:firstLine="640"/>
        <w:rPr>
          <w:rFonts w:ascii="黑体" w:eastAsia="黑体" w:hAnsi="黑体" w:cs="黑体"/>
          <w:sz w:val="32"/>
          <w:szCs w:val="32"/>
        </w:rPr>
      </w:pPr>
      <w:r>
        <w:rPr>
          <w:rFonts w:ascii="黑体" w:eastAsia="黑体" w:hAnsi="黑体" w:cs="黑体" w:hint="eastAsia"/>
          <w:sz w:val="32"/>
          <w:szCs w:val="32"/>
        </w:rPr>
        <w:t>三、保障措施</w:t>
      </w:r>
    </w:p>
    <w:p w14:paraId="6A0F82AF" w14:textId="77777777" w:rsidR="00C97237" w:rsidRDefault="00000000">
      <w:pPr>
        <w:spacing w:line="64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（一）强化领导。</w:t>
      </w:r>
      <w:r>
        <w:rPr>
          <w:rFonts w:eastAsia="仿宋_GB2312" w:hint="eastAsia"/>
          <w:kern w:val="0"/>
          <w:sz w:val="32"/>
          <w:szCs w:val="32"/>
        </w:rPr>
        <w:t>提高认识，</w:t>
      </w:r>
      <w:r>
        <w:rPr>
          <w:rFonts w:ascii="Times New Roman" w:eastAsia="仿宋" w:hAnsi="Times New Roman" w:cs="Times New Roman"/>
          <w:sz w:val="32"/>
          <w:szCs w:val="32"/>
        </w:rPr>
        <w:t>完善工作推进机制，</w:t>
      </w:r>
      <w:r>
        <w:rPr>
          <w:rFonts w:eastAsia="仿宋_GB2312" w:hint="eastAsia"/>
          <w:kern w:val="0"/>
          <w:sz w:val="32"/>
          <w:szCs w:val="32"/>
        </w:rPr>
        <w:t>坚决克服放松、懈怠思想，</w:t>
      </w:r>
      <w:r>
        <w:rPr>
          <w:rFonts w:eastAsia="仿宋_GB2312"/>
          <w:kern w:val="0"/>
          <w:sz w:val="32"/>
          <w:szCs w:val="32"/>
        </w:rPr>
        <w:t>紧盯目标任务，</w:t>
      </w:r>
      <w:r>
        <w:rPr>
          <w:rFonts w:eastAsia="仿宋_GB2312" w:hint="eastAsia"/>
          <w:kern w:val="0"/>
          <w:sz w:val="32"/>
          <w:szCs w:val="32"/>
        </w:rPr>
        <w:t>坚持标准不降、力度不减</w:t>
      </w:r>
      <w:r>
        <w:rPr>
          <w:rFonts w:eastAsia="仿宋_GB2312"/>
          <w:kern w:val="0"/>
          <w:sz w:val="32"/>
          <w:szCs w:val="32"/>
        </w:rPr>
        <w:t>，</w:t>
      </w:r>
      <w:r>
        <w:rPr>
          <w:rFonts w:ascii="Times New Roman" w:eastAsia="仿宋" w:hAnsi="Times New Roman" w:cs="Times New Roman"/>
          <w:sz w:val="32"/>
          <w:szCs w:val="32"/>
        </w:rPr>
        <w:t>抓好各项工作落实。</w:t>
      </w:r>
    </w:p>
    <w:p w14:paraId="70155F8B" w14:textId="77777777" w:rsidR="00C97237" w:rsidRDefault="00000000">
      <w:pPr>
        <w:spacing w:line="6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（二）压实责任。</w:t>
      </w:r>
      <w:r>
        <w:rPr>
          <w:rFonts w:ascii="Times New Roman" w:eastAsia="仿宋" w:hAnsi="Times New Roman" w:cs="Times New Roman"/>
          <w:sz w:val="32"/>
          <w:szCs w:val="32"/>
        </w:rPr>
        <w:t>建立工作台账，明确具体责任人，层层压实责任。建立工作推进动态监测机制，对进展缓慢的及时通报，促进问题精准发现、及时整改，确保各项工作扎实推进，保证按期完成任务。</w:t>
      </w:r>
    </w:p>
    <w:p w14:paraId="7EFF4DE1" w14:textId="77777777" w:rsidR="00C97237" w:rsidRDefault="00000000">
      <w:pPr>
        <w:spacing w:line="64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lastRenderedPageBreak/>
        <w:t>（三）扩大宣传。</w:t>
      </w:r>
      <w:r>
        <w:rPr>
          <w:rFonts w:ascii="Times New Roman" w:eastAsia="仿宋" w:hAnsi="Times New Roman" w:cs="Times New Roman"/>
          <w:sz w:val="32"/>
          <w:szCs w:val="32"/>
        </w:rPr>
        <w:t>增强优化营商环境的责任感和主动性，充分利用网络、报纸杂志等多种媒体，加大营商环境政策措施宣传力度，积极引导社会公众广泛参与，营造良好的营商环境舆论宣传氛围。</w:t>
      </w:r>
    </w:p>
    <w:p w14:paraId="235BB0A5" w14:textId="77777777" w:rsidR="00C97237" w:rsidRDefault="00C97237">
      <w:pPr>
        <w:spacing w:line="580" w:lineRule="exact"/>
        <w:jc w:val="center"/>
        <w:rPr>
          <w:rFonts w:ascii="黑体" w:eastAsia="黑体" w:hAnsi="黑体" w:cs="黑体"/>
          <w:sz w:val="44"/>
          <w:szCs w:val="44"/>
        </w:rPr>
      </w:pPr>
    </w:p>
    <w:p w14:paraId="0F945FD1" w14:textId="77777777" w:rsidR="00C97237" w:rsidRDefault="00C97237">
      <w:pPr>
        <w:spacing w:line="580" w:lineRule="exact"/>
        <w:jc w:val="center"/>
        <w:rPr>
          <w:rFonts w:ascii="黑体" w:eastAsia="黑体" w:hAnsi="黑体" w:cs="黑体"/>
          <w:sz w:val="44"/>
          <w:szCs w:val="44"/>
        </w:rPr>
      </w:pPr>
    </w:p>
    <w:p w14:paraId="4A2C9F67" w14:textId="77777777" w:rsidR="00C97237" w:rsidRDefault="00C97237">
      <w:pPr>
        <w:spacing w:line="580" w:lineRule="exact"/>
        <w:jc w:val="center"/>
        <w:rPr>
          <w:rFonts w:ascii="黑体" w:eastAsia="黑体" w:hAnsi="黑体" w:cs="黑体"/>
          <w:sz w:val="44"/>
          <w:szCs w:val="44"/>
        </w:rPr>
      </w:pPr>
    </w:p>
    <w:p w14:paraId="2CEC2163" w14:textId="77777777" w:rsidR="00C97237" w:rsidRDefault="00C97237">
      <w:pPr>
        <w:spacing w:line="580" w:lineRule="exact"/>
        <w:jc w:val="center"/>
        <w:rPr>
          <w:rFonts w:ascii="黑体" w:eastAsia="黑体" w:hAnsi="黑体" w:cs="黑体"/>
          <w:sz w:val="44"/>
          <w:szCs w:val="44"/>
        </w:rPr>
      </w:pPr>
    </w:p>
    <w:p w14:paraId="79C9AD2D" w14:textId="77777777" w:rsidR="00C97237" w:rsidRDefault="00C97237">
      <w:pPr>
        <w:spacing w:line="580" w:lineRule="exact"/>
        <w:jc w:val="center"/>
        <w:rPr>
          <w:rFonts w:ascii="黑体" w:eastAsia="黑体" w:hAnsi="黑体" w:cs="黑体"/>
          <w:sz w:val="44"/>
          <w:szCs w:val="44"/>
        </w:rPr>
      </w:pPr>
    </w:p>
    <w:p w14:paraId="49058BDC" w14:textId="77777777" w:rsidR="00C97237" w:rsidRDefault="00C97237">
      <w:pPr>
        <w:spacing w:line="580" w:lineRule="exact"/>
        <w:jc w:val="center"/>
        <w:rPr>
          <w:rFonts w:ascii="黑体" w:eastAsia="黑体" w:hAnsi="黑体" w:cs="黑体"/>
          <w:sz w:val="44"/>
          <w:szCs w:val="44"/>
        </w:rPr>
      </w:pPr>
    </w:p>
    <w:p w14:paraId="74D36224" w14:textId="77777777" w:rsidR="00C97237" w:rsidRDefault="00C97237">
      <w:pPr>
        <w:spacing w:line="580" w:lineRule="exact"/>
        <w:jc w:val="center"/>
        <w:rPr>
          <w:rFonts w:ascii="黑体" w:eastAsia="黑体" w:hAnsi="黑体" w:cs="黑体"/>
          <w:sz w:val="44"/>
          <w:szCs w:val="44"/>
        </w:rPr>
      </w:pPr>
    </w:p>
    <w:p w14:paraId="6C68FC81" w14:textId="77777777" w:rsidR="00C97237" w:rsidRDefault="00C97237">
      <w:pPr>
        <w:spacing w:line="580" w:lineRule="exact"/>
        <w:jc w:val="center"/>
        <w:rPr>
          <w:rFonts w:ascii="黑体" w:eastAsia="黑体" w:hAnsi="黑体" w:cs="黑体"/>
          <w:sz w:val="44"/>
          <w:szCs w:val="44"/>
        </w:rPr>
      </w:pPr>
    </w:p>
    <w:p w14:paraId="12ABE3C4" w14:textId="77777777" w:rsidR="00C97237" w:rsidRDefault="00C97237">
      <w:pPr>
        <w:spacing w:line="580" w:lineRule="exact"/>
        <w:jc w:val="center"/>
        <w:rPr>
          <w:rFonts w:ascii="黑体" w:eastAsia="黑体" w:hAnsi="黑体" w:cs="黑体"/>
          <w:sz w:val="44"/>
          <w:szCs w:val="44"/>
        </w:rPr>
      </w:pPr>
    </w:p>
    <w:p w14:paraId="674D9644" w14:textId="77777777" w:rsidR="00C97237" w:rsidRDefault="00C97237">
      <w:pPr>
        <w:spacing w:line="580" w:lineRule="exact"/>
        <w:jc w:val="center"/>
        <w:rPr>
          <w:rFonts w:ascii="黑体" w:eastAsia="黑体" w:hAnsi="黑体" w:cs="黑体"/>
          <w:sz w:val="44"/>
          <w:szCs w:val="44"/>
        </w:rPr>
      </w:pPr>
    </w:p>
    <w:p w14:paraId="268A9428" w14:textId="77777777" w:rsidR="00C97237" w:rsidRDefault="00C97237">
      <w:pPr>
        <w:spacing w:line="580" w:lineRule="exact"/>
        <w:jc w:val="center"/>
        <w:rPr>
          <w:rFonts w:ascii="黑体" w:eastAsia="黑体" w:hAnsi="黑体" w:cs="黑体"/>
          <w:sz w:val="44"/>
          <w:szCs w:val="44"/>
        </w:rPr>
      </w:pPr>
    </w:p>
    <w:p w14:paraId="2D629A20" w14:textId="77777777" w:rsidR="00C97237" w:rsidRDefault="00C97237">
      <w:pPr>
        <w:spacing w:line="580" w:lineRule="exact"/>
        <w:jc w:val="center"/>
        <w:rPr>
          <w:rFonts w:ascii="黑体" w:eastAsia="黑体" w:hAnsi="黑体" w:cs="黑体"/>
          <w:sz w:val="44"/>
          <w:szCs w:val="44"/>
        </w:rPr>
      </w:pPr>
    </w:p>
    <w:p w14:paraId="3ABF7E10" w14:textId="77777777" w:rsidR="00C97237" w:rsidRDefault="00C97237">
      <w:pPr>
        <w:spacing w:line="580" w:lineRule="exact"/>
        <w:jc w:val="center"/>
        <w:rPr>
          <w:rFonts w:ascii="黑体" w:eastAsia="黑体" w:hAnsi="黑体" w:cs="黑体"/>
          <w:sz w:val="44"/>
          <w:szCs w:val="44"/>
        </w:rPr>
      </w:pPr>
    </w:p>
    <w:p w14:paraId="5F540DBE" w14:textId="77777777" w:rsidR="00C97237" w:rsidRDefault="00C97237">
      <w:pPr>
        <w:spacing w:line="580" w:lineRule="exact"/>
        <w:jc w:val="center"/>
        <w:rPr>
          <w:rFonts w:ascii="黑体" w:eastAsia="黑体" w:hAnsi="黑体" w:cs="黑体"/>
          <w:sz w:val="44"/>
          <w:szCs w:val="44"/>
        </w:rPr>
      </w:pPr>
    </w:p>
    <w:p w14:paraId="36A01B60" w14:textId="77777777" w:rsidR="00C97237" w:rsidRDefault="00C97237">
      <w:pPr>
        <w:spacing w:line="580" w:lineRule="exact"/>
        <w:jc w:val="center"/>
        <w:rPr>
          <w:rFonts w:ascii="黑体" w:eastAsia="黑体" w:hAnsi="黑体" w:cs="黑体"/>
          <w:sz w:val="44"/>
          <w:szCs w:val="44"/>
        </w:rPr>
      </w:pPr>
    </w:p>
    <w:p w14:paraId="3746F430" w14:textId="77777777" w:rsidR="00C97237" w:rsidRDefault="00C97237">
      <w:pPr>
        <w:spacing w:line="580" w:lineRule="exact"/>
        <w:jc w:val="center"/>
        <w:rPr>
          <w:rFonts w:ascii="黑体" w:eastAsia="黑体" w:hAnsi="黑体" w:cs="黑体"/>
          <w:sz w:val="44"/>
          <w:szCs w:val="44"/>
        </w:rPr>
      </w:pPr>
    </w:p>
    <w:p w14:paraId="3812A5C3" w14:textId="77777777" w:rsidR="00C97237" w:rsidRDefault="00C97237">
      <w:pPr>
        <w:spacing w:line="580" w:lineRule="exact"/>
        <w:jc w:val="center"/>
        <w:rPr>
          <w:rFonts w:ascii="黑体" w:eastAsia="黑体" w:hAnsi="黑体" w:cs="黑体"/>
          <w:sz w:val="44"/>
          <w:szCs w:val="44"/>
        </w:rPr>
      </w:pPr>
    </w:p>
    <w:p w14:paraId="3E6DF8E4" w14:textId="77777777" w:rsidR="00C97237" w:rsidRDefault="00000000">
      <w:pPr>
        <w:spacing w:line="580" w:lineRule="exact"/>
        <w:rPr>
          <w:rFonts w:ascii="黑体" w:eastAsia="黑体" w:hAnsi="黑体" w:cs="黑体"/>
          <w:sz w:val="44"/>
          <w:szCs w:val="44"/>
        </w:rPr>
      </w:pPr>
      <w:r>
        <w:rPr>
          <w:rFonts w:ascii="黑体" w:eastAsia="黑体" w:hAnsi="黑体" w:cs="黑体" w:hint="eastAsia"/>
          <w:sz w:val="44"/>
          <w:szCs w:val="44"/>
        </w:rPr>
        <w:t>附件27偃师区公共教育、体育服务能力</w:t>
      </w:r>
    </w:p>
    <w:p w14:paraId="1BF20E82"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t>提升专项行动方案</w:t>
      </w:r>
    </w:p>
    <w:p w14:paraId="3023563D" w14:textId="77777777" w:rsidR="00C97237" w:rsidRDefault="00C97237">
      <w:pPr>
        <w:pStyle w:val="a0"/>
        <w:spacing w:before="0" w:line="580" w:lineRule="exact"/>
        <w:ind w:firstLineChars="200" w:firstLine="621"/>
        <w:rPr>
          <w:rFonts w:ascii="仿宋" w:hAnsi="仿宋" w:cs="仿宋"/>
          <w:spacing w:val="4"/>
          <w:w w:val="95"/>
          <w:szCs w:val="32"/>
        </w:rPr>
      </w:pPr>
    </w:p>
    <w:p w14:paraId="56B020CD" w14:textId="77777777" w:rsidR="00C97237" w:rsidRDefault="00000000">
      <w:pPr>
        <w:pStyle w:val="a0"/>
        <w:spacing w:before="0" w:line="580" w:lineRule="exact"/>
        <w:ind w:firstLineChars="200" w:firstLine="621"/>
        <w:rPr>
          <w:rFonts w:ascii="仿宋" w:hAnsi="仿宋" w:cs="仿宋"/>
          <w:szCs w:val="32"/>
        </w:rPr>
      </w:pPr>
      <w:r>
        <w:rPr>
          <w:rFonts w:ascii="仿宋" w:hAnsi="仿宋" w:cs="仿宋" w:hint="eastAsia"/>
          <w:spacing w:val="4"/>
          <w:w w:val="95"/>
          <w:szCs w:val="32"/>
        </w:rPr>
        <w:t>为持续优化营商环境，着力提升我区公共教育、体育服务能力， 激发市场活力和创造力，按照区委、区政府工作部署，结合省市和偃师区营商环境提升总体方</w:t>
      </w:r>
      <w:r>
        <w:rPr>
          <w:rFonts w:ascii="仿宋" w:hAnsi="仿宋" w:cs="仿宋" w:hint="eastAsia"/>
          <w:szCs w:val="32"/>
        </w:rPr>
        <w:t>案，制定本方案。</w:t>
      </w:r>
    </w:p>
    <w:p w14:paraId="3DE72C9E" w14:textId="77777777" w:rsidR="00C97237" w:rsidRDefault="00000000">
      <w:pPr>
        <w:pStyle w:val="a0"/>
        <w:spacing w:before="0" w:line="580" w:lineRule="exact"/>
        <w:ind w:firstLineChars="200" w:firstLine="605"/>
        <w:rPr>
          <w:rFonts w:ascii="黑体" w:eastAsia="黑体" w:hAnsi="黑体" w:cs="黑体"/>
          <w:szCs w:val="32"/>
        </w:rPr>
      </w:pPr>
      <w:r>
        <w:rPr>
          <w:rFonts w:ascii="黑体" w:eastAsia="黑体" w:hAnsi="黑体" w:cs="黑体" w:hint="eastAsia"/>
          <w:w w:val="95"/>
          <w:szCs w:val="32"/>
        </w:rPr>
        <w:t>一、总体要求</w:t>
      </w:r>
    </w:p>
    <w:p w14:paraId="68A78290" w14:textId="77777777" w:rsidR="00C97237" w:rsidRDefault="00000000">
      <w:pPr>
        <w:pStyle w:val="a0"/>
        <w:spacing w:before="0" w:line="580" w:lineRule="exact"/>
        <w:ind w:firstLineChars="200" w:firstLine="621"/>
        <w:rPr>
          <w:rFonts w:ascii="仿宋" w:hAnsi="仿宋" w:cs="仿宋"/>
          <w:spacing w:val="4"/>
          <w:w w:val="95"/>
          <w:szCs w:val="32"/>
        </w:rPr>
      </w:pPr>
      <w:r>
        <w:rPr>
          <w:rFonts w:ascii="仿宋" w:hAnsi="仿宋" w:cs="仿宋" w:hint="eastAsia"/>
          <w:spacing w:val="4"/>
          <w:w w:val="95"/>
          <w:szCs w:val="32"/>
        </w:rPr>
        <w:t>以习近平新时代中国特色社会主义思想为指导，深入贯彻党的十九大和十九届二中、三中、四中、五中、六中全会精神，全面落实习近平总书记视察河南重要讲话精神，坚持问题导向、目标导向，对标一流，强化改革创新，大幅提升包容普惠创新水平，推动基本公共服务建设，增强群众的获得感、满意度。</w:t>
      </w:r>
    </w:p>
    <w:p w14:paraId="7D48ADFE" w14:textId="77777777" w:rsidR="00C97237" w:rsidRDefault="00000000">
      <w:pPr>
        <w:pStyle w:val="a0"/>
        <w:spacing w:before="0" w:line="580" w:lineRule="exact"/>
        <w:ind w:firstLineChars="200" w:firstLine="605"/>
        <w:rPr>
          <w:rFonts w:ascii="黑体" w:eastAsia="黑体" w:hAnsi="黑体" w:cs="黑体"/>
          <w:w w:val="95"/>
          <w:szCs w:val="32"/>
        </w:rPr>
      </w:pPr>
      <w:r>
        <w:rPr>
          <w:rFonts w:ascii="黑体" w:eastAsia="黑体" w:hAnsi="黑体" w:cs="黑体" w:hint="eastAsia"/>
          <w:w w:val="95"/>
          <w:szCs w:val="32"/>
        </w:rPr>
        <w:t>二、工作目标</w:t>
      </w:r>
    </w:p>
    <w:p w14:paraId="6847E7C0" w14:textId="77777777" w:rsidR="00C97237" w:rsidRDefault="00000000">
      <w:pPr>
        <w:pStyle w:val="a0"/>
        <w:spacing w:before="0" w:line="580" w:lineRule="exact"/>
        <w:ind w:firstLineChars="200" w:firstLine="621"/>
        <w:rPr>
          <w:rFonts w:ascii="仿宋" w:hAnsi="仿宋" w:cs="仿宋"/>
          <w:spacing w:val="4"/>
          <w:w w:val="95"/>
          <w:szCs w:val="32"/>
        </w:rPr>
      </w:pPr>
      <w:r>
        <w:rPr>
          <w:rFonts w:ascii="仿宋" w:hAnsi="仿宋" w:cs="仿宋" w:hint="eastAsia"/>
          <w:spacing w:val="4"/>
          <w:w w:val="95"/>
          <w:szCs w:val="32"/>
        </w:rPr>
        <w:t>到2022年底，基本公共教育、体育服务水平显著提升，举办各类区级及以上群众喜闻乐见的体育赛事活动；学前教育普惠性幼儿园覆盖率稳定在85%以上，义务教育阶段基本消除56人以上大班额（含超大班额），全面消除66人以上超大班额。</w:t>
      </w:r>
    </w:p>
    <w:p w14:paraId="2992A1F8" w14:textId="77777777" w:rsidR="00C97237" w:rsidRDefault="00000000">
      <w:pPr>
        <w:pStyle w:val="a0"/>
        <w:spacing w:before="0" w:line="580" w:lineRule="exact"/>
        <w:ind w:firstLineChars="200" w:firstLine="605"/>
        <w:rPr>
          <w:rFonts w:ascii="黑体" w:eastAsia="黑体" w:hAnsi="黑体" w:cs="黑体"/>
          <w:w w:val="95"/>
          <w:szCs w:val="32"/>
        </w:rPr>
      </w:pPr>
      <w:r>
        <w:rPr>
          <w:rFonts w:ascii="黑体" w:eastAsia="黑体" w:hAnsi="黑体" w:cs="黑体" w:hint="eastAsia"/>
          <w:w w:val="95"/>
          <w:szCs w:val="32"/>
        </w:rPr>
        <w:t>三、主要举措</w:t>
      </w:r>
    </w:p>
    <w:p w14:paraId="795C6C2D" w14:textId="77777777" w:rsidR="00C97237" w:rsidRDefault="00000000">
      <w:pPr>
        <w:pStyle w:val="a0"/>
        <w:spacing w:before="0" w:line="580" w:lineRule="exact"/>
        <w:ind w:firstLineChars="200" w:firstLine="640"/>
        <w:rPr>
          <w:rFonts w:ascii="仿宋" w:hAnsi="仿宋" w:cs="仿宋"/>
          <w:bCs w:val="0"/>
          <w:szCs w:val="32"/>
        </w:rPr>
      </w:pPr>
      <w:r>
        <w:rPr>
          <w:rFonts w:ascii="仿宋" w:hAnsi="仿宋" w:cs="仿宋" w:hint="eastAsia"/>
          <w:bCs w:val="0"/>
          <w:szCs w:val="32"/>
        </w:rPr>
        <w:t>（一）提升公共体育服务能力水平</w:t>
      </w:r>
    </w:p>
    <w:p w14:paraId="69AEE651" w14:textId="77777777" w:rsidR="00C97237" w:rsidRDefault="00000000">
      <w:pPr>
        <w:pStyle w:val="a0"/>
        <w:spacing w:before="0" w:line="580" w:lineRule="exact"/>
        <w:ind w:firstLineChars="200" w:firstLine="621"/>
        <w:rPr>
          <w:rFonts w:ascii="仿宋" w:hAnsi="仿宋" w:cs="仿宋"/>
          <w:spacing w:val="4"/>
          <w:w w:val="95"/>
          <w:szCs w:val="32"/>
        </w:rPr>
      </w:pPr>
      <w:r>
        <w:rPr>
          <w:rFonts w:ascii="仿宋" w:hAnsi="仿宋" w:cs="仿宋" w:hint="eastAsia"/>
          <w:spacing w:val="4"/>
          <w:w w:val="95"/>
          <w:szCs w:val="32"/>
        </w:rPr>
        <w:t>加大力度建设群众身边的体育健身场地，基本公共教育、体育服务水平显著提升，2022年举办“全民健身月”“全民健身日”等系列活动赛事，同时积极承办国家级、省级等各类区级及以上群众喜闻乐见的体育赛事活动</w:t>
      </w:r>
    </w:p>
    <w:p w14:paraId="75C6A7E2" w14:textId="77777777" w:rsidR="00C97237" w:rsidRDefault="00000000">
      <w:pPr>
        <w:pStyle w:val="a0"/>
        <w:spacing w:before="0" w:line="580" w:lineRule="exact"/>
        <w:ind w:firstLineChars="200" w:firstLine="621"/>
        <w:rPr>
          <w:rFonts w:ascii="仿宋" w:hAnsi="仿宋" w:cs="仿宋"/>
          <w:spacing w:val="4"/>
          <w:w w:val="95"/>
          <w:szCs w:val="32"/>
        </w:rPr>
      </w:pPr>
      <w:r>
        <w:rPr>
          <w:rFonts w:ascii="仿宋" w:hAnsi="仿宋" w:cs="仿宋" w:hint="eastAsia"/>
          <w:spacing w:val="4"/>
          <w:w w:val="95"/>
          <w:szCs w:val="32"/>
        </w:rPr>
        <w:lastRenderedPageBreak/>
        <w:t>时间节点：2022年12月</w:t>
      </w:r>
    </w:p>
    <w:p w14:paraId="61238FF9" w14:textId="77777777" w:rsidR="00C97237" w:rsidRDefault="00000000">
      <w:pPr>
        <w:pStyle w:val="a0"/>
        <w:spacing w:before="0" w:line="580" w:lineRule="exact"/>
        <w:ind w:firstLineChars="200" w:firstLine="621"/>
        <w:rPr>
          <w:rFonts w:ascii="仿宋" w:hAnsi="仿宋" w:cs="仿宋"/>
          <w:spacing w:val="4"/>
          <w:w w:val="95"/>
          <w:szCs w:val="32"/>
        </w:rPr>
      </w:pPr>
      <w:r>
        <w:rPr>
          <w:rFonts w:ascii="仿宋" w:hAnsi="仿宋" w:cs="仿宋" w:hint="eastAsia"/>
          <w:spacing w:val="4"/>
          <w:w w:val="95"/>
          <w:szCs w:val="32"/>
        </w:rPr>
        <w:t>责任单位：区教体局（体卫站）</w:t>
      </w:r>
    </w:p>
    <w:p w14:paraId="2C571B80" w14:textId="77777777" w:rsidR="00C97237" w:rsidRDefault="00000000">
      <w:pPr>
        <w:pStyle w:val="a0"/>
        <w:spacing w:before="0" w:line="580" w:lineRule="exact"/>
        <w:ind w:firstLineChars="200" w:firstLine="640"/>
        <w:rPr>
          <w:rFonts w:ascii="仿宋" w:hAnsi="仿宋" w:cs="仿宋"/>
          <w:bCs w:val="0"/>
          <w:szCs w:val="32"/>
        </w:rPr>
      </w:pPr>
      <w:r>
        <w:rPr>
          <w:rFonts w:ascii="仿宋" w:hAnsi="仿宋" w:cs="仿宋" w:hint="eastAsia"/>
          <w:bCs w:val="0"/>
          <w:szCs w:val="32"/>
        </w:rPr>
        <w:t>（二）推动公共教育服务优质发展</w:t>
      </w:r>
    </w:p>
    <w:p w14:paraId="24C6C163" w14:textId="77777777" w:rsidR="00C97237" w:rsidRDefault="00000000">
      <w:pPr>
        <w:pStyle w:val="a0"/>
        <w:spacing w:before="0" w:line="580" w:lineRule="exact"/>
        <w:ind w:firstLineChars="200" w:firstLine="621"/>
        <w:rPr>
          <w:rFonts w:ascii="仿宋" w:hAnsi="仿宋" w:cs="仿宋"/>
          <w:spacing w:val="4"/>
          <w:w w:val="95"/>
          <w:szCs w:val="32"/>
        </w:rPr>
      </w:pPr>
      <w:r>
        <w:rPr>
          <w:rFonts w:ascii="仿宋" w:hAnsi="仿宋" w:cs="仿宋" w:hint="eastAsia"/>
          <w:spacing w:val="4"/>
          <w:w w:val="95"/>
          <w:szCs w:val="32"/>
        </w:rPr>
        <w:t>扩大普惠性学前教育资源供给，加快学前教育普及普惠建设，新建改扩建幼儿园1所，区人民政府办标准化公办园不少于4所，区教育事业统计公办幼儿园和普惠性幼儿园在园幼儿占比分别达到50％、85％以上。合理规划城乡义务教育布局，有序扩大城区学校学位供给，加快补齐中心城区学前和义务教育学位短缺。有效解决“大班额”问题，全区义务教育阶段基本消除56人以上大班额（含超大班额），全面消除66人以上超大班额。2022年城市区新建改扩建小学1所，新建改扩建初中2所。持续加强标准化寄宿制学校建设，新建改扩建农村寄宿制学校2所。积极推动农村小学向中心村和乡镇集中、中学向中心镇和县城集中，完成6个镇（街道）中心初中和小学建设任务。</w:t>
      </w:r>
    </w:p>
    <w:p w14:paraId="77F5BC2B" w14:textId="77777777" w:rsidR="00C97237" w:rsidRDefault="00000000">
      <w:pPr>
        <w:pStyle w:val="a0"/>
        <w:spacing w:before="0" w:line="580" w:lineRule="exact"/>
        <w:ind w:firstLineChars="200" w:firstLine="621"/>
        <w:rPr>
          <w:rFonts w:ascii="仿宋" w:hAnsi="仿宋" w:cs="仿宋"/>
          <w:spacing w:val="4"/>
          <w:w w:val="95"/>
          <w:szCs w:val="32"/>
        </w:rPr>
      </w:pPr>
      <w:r>
        <w:rPr>
          <w:rFonts w:ascii="仿宋" w:hAnsi="仿宋" w:cs="仿宋" w:hint="eastAsia"/>
          <w:spacing w:val="4"/>
          <w:w w:val="95"/>
          <w:szCs w:val="32"/>
        </w:rPr>
        <w:t>时间节点：2022年12月</w:t>
      </w:r>
    </w:p>
    <w:p w14:paraId="2940A938" w14:textId="77777777" w:rsidR="00C97237" w:rsidRDefault="00000000">
      <w:pPr>
        <w:pStyle w:val="a0"/>
        <w:spacing w:before="0" w:line="580" w:lineRule="exact"/>
        <w:ind w:firstLineChars="200" w:firstLine="621"/>
        <w:rPr>
          <w:rFonts w:ascii="仿宋" w:hAnsi="仿宋" w:cs="仿宋"/>
          <w:spacing w:val="4"/>
          <w:w w:val="95"/>
          <w:szCs w:val="32"/>
        </w:rPr>
      </w:pPr>
      <w:r>
        <w:rPr>
          <w:rFonts w:ascii="仿宋" w:hAnsi="仿宋" w:cs="仿宋" w:hint="eastAsia"/>
          <w:spacing w:val="4"/>
          <w:w w:val="95"/>
          <w:szCs w:val="32"/>
        </w:rPr>
        <w:t>责任单位：区教体局（幼教中心、普教科、项目办）</w:t>
      </w:r>
    </w:p>
    <w:p w14:paraId="30A89CE4" w14:textId="77777777" w:rsidR="00C97237" w:rsidRDefault="00000000">
      <w:pPr>
        <w:pStyle w:val="a0"/>
        <w:spacing w:before="0" w:line="580" w:lineRule="exact"/>
        <w:ind w:firstLineChars="200" w:firstLine="605"/>
        <w:rPr>
          <w:rFonts w:ascii="黑体" w:eastAsia="黑体" w:hAnsi="黑体" w:cs="黑体"/>
          <w:w w:val="95"/>
          <w:szCs w:val="32"/>
        </w:rPr>
      </w:pPr>
      <w:r>
        <w:rPr>
          <w:rFonts w:ascii="黑体" w:eastAsia="黑体" w:hAnsi="黑体" w:cs="黑体" w:hint="eastAsia"/>
          <w:w w:val="95"/>
          <w:szCs w:val="32"/>
        </w:rPr>
        <w:t>四、指标对标</w:t>
      </w:r>
    </w:p>
    <w:tbl>
      <w:tblPr>
        <w:tblStyle w:val="ac"/>
        <w:tblW w:w="9100" w:type="dxa"/>
        <w:tblLayout w:type="fixed"/>
        <w:tblLook w:val="04A0" w:firstRow="1" w:lastRow="0" w:firstColumn="1" w:lastColumn="0" w:noHBand="0" w:noVBand="1"/>
      </w:tblPr>
      <w:tblGrid>
        <w:gridCol w:w="1820"/>
        <w:gridCol w:w="1820"/>
        <w:gridCol w:w="1820"/>
        <w:gridCol w:w="1835"/>
        <w:gridCol w:w="1805"/>
      </w:tblGrid>
      <w:tr w:rsidR="00C97237" w14:paraId="497D1B03" w14:textId="77777777">
        <w:trPr>
          <w:trHeight w:val="871"/>
        </w:trPr>
        <w:tc>
          <w:tcPr>
            <w:tcW w:w="1820" w:type="dxa"/>
            <w:vAlign w:val="center"/>
          </w:tcPr>
          <w:p w14:paraId="4F979E9C"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指标</w:t>
            </w:r>
          </w:p>
        </w:tc>
        <w:tc>
          <w:tcPr>
            <w:tcW w:w="1820" w:type="dxa"/>
            <w:vAlign w:val="center"/>
          </w:tcPr>
          <w:p w14:paraId="06ACA0F7"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现状水平</w:t>
            </w:r>
          </w:p>
        </w:tc>
        <w:tc>
          <w:tcPr>
            <w:tcW w:w="1820" w:type="dxa"/>
            <w:vAlign w:val="center"/>
          </w:tcPr>
          <w:p w14:paraId="27A7D27D"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省里指标</w:t>
            </w:r>
          </w:p>
        </w:tc>
        <w:tc>
          <w:tcPr>
            <w:tcW w:w="1835" w:type="dxa"/>
            <w:vAlign w:val="center"/>
          </w:tcPr>
          <w:p w14:paraId="6C42C612"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升级版目标</w:t>
            </w:r>
          </w:p>
        </w:tc>
        <w:tc>
          <w:tcPr>
            <w:tcW w:w="1805" w:type="dxa"/>
            <w:vAlign w:val="center"/>
          </w:tcPr>
          <w:p w14:paraId="58B59760" w14:textId="77777777" w:rsidR="00C97237" w:rsidRDefault="00000000">
            <w:pPr>
              <w:spacing w:line="580" w:lineRule="exact"/>
              <w:jc w:val="center"/>
              <w:rPr>
                <w:rFonts w:ascii="仿宋" w:eastAsia="仿宋" w:hAnsi="仿宋" w:cs="仿宋"/>
                <w:sz w:val="32"/>
                <w:szCs w:val="32"/>
              </w:rPr>
            </w:pPr>
            <w:r>
              <w:rPr>
                <w:rFonts w:ascii="仿宋" w:eastAsia="仿宋" w:hAnsi="仿宋" w:cs="仿宋" w:hint="eastAsia"/>
                <w:sz w:val="32"/>
                <w:szCs w:val="32"/>
              </w:rPr>
              <w:t>国内前沿水平</w:t>
            </w:r>
          </w:p>
        </w:tc>
      </w:tr>
      <w:tr w:rsidR="00C97237" w14:paraId="49F30FEA" w14:textId="77777777">
        <w:trPr>
          <w:trHeight w:val="871"/>
        </w:trPr>
        <w:tc>
          <w:tcPr>
            <w:tcW w:w="1820" w:type="dxa"/>
            <w:vAlign w:val="center"/>
          </w:tcPr>
          <w:p w14:paraId="5F821376"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推动公共教育服务优质发展</w:t>
            </w:r>
          </w:p>
        </w:tc>
        <w:tc>
          <w:tcPr>
            <w:tcW w:w="1820" w:type="dxa"/>
            <w:vAlign w:val="center"/>
          </w:tcPr>
          <w:p w14:paraId="1C3179C0"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全市学前教育普惠性幼儿园覆盖率</w:t>
            </w:r>
            <w:r>
              <w:rPr>
                <w:rFonts w:ascii="仿宋" w:eastAsia="仿宋" w:hAnsi="仿宋" w:cs="仿宋" w:hint="eastAsia"/>
                <w:sz w:val="32"/>
                <w:szCs w:val="32"/>
              </w:rPr>
              <w:lastRenderedPageBreak/>
              <w:t>达到85%以上。</w:t>
            </w:r>
          </w:p>
        </w:tc>
        <w:tc>
          <w:tcPr>
            <w:tcW w:w="1820" w:type="dxa"/>
            <w:vAlign w:val="center"/>
          </w:tcPr>
          <w:p w14:paraId="31187319"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lastRenderedPageBreak/>
              <w:t>全市学前教育普惠性幼儿园覆盖率</w:t>
            </w:r>
            <w:r>
              <w:rPr>
                <w:rFonts w:ascii="仿宋" w:eastAsia="仿宋" w:hAnsi="仿宋" w:cs="仿宋" w:hint="eastAsia"/>
                <w:sz w:val="32"/>
                <w:szCs w:val="32"/>
              </w:rPr>
              <w:lastRenderedPageBreak/>
              <w:t>达到80%以上。</w:t>
            </w:r>
          </w:p>
        </w:tc>
        <w:tc>
          <w:tcPr>
            <w:tcW w:w="1835" w:type="dxa"/>
            <w:vAlign w:val="center"/>
          </w:tcPr>
          <w:p w14:paraId="12045057"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lastRenderedPageBreak/>
              <w:t>学前教育普惠性幼儿园覆盖率达到</w:t>
            </w:r>
            <w:r>
              <w:rPr>
                <w:rFonts w:ascii="仿宋" w:eastAsia="仿宋" w:hAnsi="仿宋" w:cs="仿宋" w:hint="eastAsia"/>
                <w:sz w:val="32"/>
                <w:szCs w:val="32"/>
              </w:rPr>
              <w:lastRenderedPageBreak/>
              <w:t>85%以上。</w:t>
            </w:r>
          </w:p>
        </w:tc>
        <w:tc>
          <w:tcPr>
            <w:tcW w:w="1805" w:type="dxa"/>
            <w:vAlign w:val="center"/>
          </w:tcPr>
          <w:p w14:paraId="4A8ACD4E"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lastRenderedPageBreak/>
              <w:t>无相关对比数据</w:t>
            </w:r>
          </w:p>
        </w:tc>
      </w:tr>
      <w:tr w:rsidR="00C97237" w14:paraId="154B81E7" w14:textId="77777777">
        <w:trPr>
          <w:trHeight w:val="2269"/>
        </w:trPr>
        <w:tc>
          <w:tcPr>
            <w:tcW w:w="1820" w:type="dxa"/>
            <w:vAlign w:val="center"/>
          </w:tcPr>
          <w:p w14:paraId="0CB6510A"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推动公共教育服务优质发展</w:t>
            </w:r>
          </w:p>
        </w:tc>
        <w:tc>
          <w:tcPr>
            <w:tcW w:w="1820" w:type="dxa"/>
            <w:vAlign w:val="center"/>
          </w:tcPr>
          <w:p w14:paraId="494F959E"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义务教育阶段56人以上大班额比例0.81%，无超大班额。</w:t>
            </w:r>
          </w:p>
        </w:tc>
        <w:tc>
          <w:tcPr>
            <w:tcW w:w="1820" w:type="dxa"/>
            <w:vAlign w:val="center"/>
          </w:tcPr>
          <w:p w14:paraId="0D2BB5F4"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全省义务教育阶段基本消除56人以上大班额（含超大班额），全面消除66人以上超大班额。</w:t>
            </w:r>
          </w:p>
        </w:tc>
        <w:tc>
          <w:tcPr>
            <w:tcW w:w="1835" w:type="dxa"/>
            <w:vAlign w:val="center"/>
          </w:tcPr>
          <w:p w14:paraId="60F0062A"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义务教育阶段基本消除56人以上大班额（含超大班额），持续巩固全面消除超大班额。</w:t>
            </w:r>
          </w:p>
        </w:tc>
        <w:tc>
          <w:tcPr>
            <w:tcW w:w="1805" w:type="dxa"/>
            <w:vAlign w:val="center"/>
          </w:tcPr>
          <w:p w14:paraId="73295FC2" w14:textId="77777777" w:rsidR="00C97237" w:rsidRDefault="00000000">
            <w:pPr>
              <w:spacing w:line="580" w:lineRule="exact"/>
              <w:rPr>
                <w:rFonts w:ascii="仿宋" w:eastAsia="仿宋" w:hAnsi="仿宋" w:cs="仿宋"/>
                <w:sz w:val="32"/>
                <w:szCs w:val="32"/>
              </w:rPr>
            </w:pPr>
            <w:r>
              <w:rPr>
                <w:rFonts w:ascii="仿宋" w:eastAsia="仿宋" w:hAnsi="仿宋" w:cs="仿宋" w:hint="eastAsia"/>
                <w:sz w:val="32"/>
                <w:szCs w:val="32"/>
              </w:rPr>
              <w:t>无相关对比数据</w:t>
            </w:r>
          </w:p>
        </w:tc>
      </w:tr>
    </w:tbl>
    <w:p w14:paraId="0CC3281A" w14:textId="77777777" w:rsidR="00C97237" w:rsidRDefault="00000000">
      <w:pPr>
        <w:pStyle w:val="a0"/>
        <w:spacing w:before="0" w:line="580" w:lineRule="exact"/>
        <w:ind w:firstLineChars="200" w:firstLine="605"/>
        <w:rPr>
          <w:rFonts w:ascii="黑体" w:eastAsia="黑体" w:hAnsi="黑体" w:cs="黑体"/>
          <w:w w:val="95"/>
          <w:szCs w:val="32"/>
        </w:rPr>
      </w:pPr>
      <w:r>
        <w:rPr>
          <w:rFonts w:ascii="黑体" w:eastAsia="黑体" w:hAnsi="黑体" w:cs="黑体" w:hint="eastAsia"/>
          <w:w w:val="95"/>
          <w:szCs w:val="32"/>
        </w:rPr>
        <w:t>五、保障措施</w:t>
      </w:r>
    </w:p>
    <w:p w14:paraId="35E6353A" w14:textId="77777777" w:rsidR="00C97237" w:rsidRDefault="00000000">
      <w:pPr>
        <w:pStyle w:val="a0"/>
        <w:spacing w:before="0" w:line="580" w:lineRule="exact"/>
        <w:ind w:firstLineChars="200" w:firstLine="628"/>
        <w:rPr>
          <w:rFonts w:ascii="仿宋" w:hAnsi="仿宋" w:cs="仿宋"/>
          <w:spacing w:val="4"/>
          <w:w w:val="95"/>
          <w:szCs w:val="32"/>
        </w:rPr>
      </w:pPr>
      <w:r>
        <w:rPr>
          <w:rFonts w:ascii="仿宋" w:hAnsi="仿宋" w:cs="仿宋" w:hint="eastAsia"/>
          <w:b/>
          <w:spacing w:val="4"/>
          <w:w w:val="95"/>
          <w:szCs w:val="32"/>
        </w:rPr>
        <w:t>（一）强化组织领导。</w:t>
      </w:r>
      <w:r>
        <w:rPr>
          <w:rFonts w:ascii="仿宋" w:hAnsi="仿宋" w:cs="仿宋" w:hint="eastAsia"/>
          <w:spacing w:val="4"/>
          <w:w w:val="95"/>
          <w:szCs w:val="32"/>
        </w:rPr>
        <w:t>进一步提高做好营商环境工作重要性的大局意识，建立偃师区教育体育局提升公共教育、体育服务能力工作专班，逐步理顺工作推进机制，强化协作，精准施策，持续提升教育体育公共服务水平。</w:t>
      </w:r>
    </w:p>
    <w:p w14:paraId="5B94CC5C" w14:textId="77777777" w:rsidR="00C97237" w:rsidRDefault="00000000">
      <w:pPr>
        <w:pStyle w:val="a0"/>
        <w:spacing w:before="0" w:line="580" w:lineRule="exact"/>
        <w:ind w:firstLineChars="200" w:firstLine="628"/>
        <w:rPr>
          <w:rFonts w:ascii="仿宋" w:hAnsi="仿宋" w:cs="仿宋"/>
          <w:spacing w:val="4"/>
          <w:w w:val="95"/>
          <w:szCs w:val="32"/>
        </w:rPr>
      </w:pPr>
      <w:r>
        <w:rPr>
          <w:rFonts w:ascii="仿宋" w:hAnsi="仿宋" w:cs="仿宋" w:hint="eastAsia"/>
          <w:b/>
          <w:spacing w:val="4"/>
          <w:w w:val="95"/>
          <w:szCs w:val="32"/>
        </w:rPr>
        <w:t>（二）压实部门责任。</w:t>
      </w:r>
      <w:r>
        <w:rPr>
          <w:rFonts w:ascii="仿宋" w:hAnsi="仿宋" w:cs="仿宋" w:hint="eastAsia"/>
          <w:spacing w:val="4"/>
          <w:w w:val="95"/>
          <w:szCs w:val="32"/>
        </w:rPr>
        <w:t>进一步强化单位主体责任，围绕方案制定的目标，建立区级工作台账，明确具体责任人，层层压实责任。建立工作推进动态监测机制和定期考核机制，对进展缓慢、存在问题的工作及时通报，及时整改，确保各项工作扎实推进，按期完成年度任务。</w:t>
      </w:r>
    </w:p>
    <w:p w14:paraId="7670BA8A" w14:textId="77777777" w:rsidR="00C97237" w:rsidRDefault="00000000">
      <w:pPr>
        <w:pStyle w:val="a0"/>
        <w:spacing w:before="0" w:line="580" w:lineRule="exact"/>
        <w:ind w:firstLineChars="200" w:firstLine="628"/>
        <w:rPr>
          <w:rFonts w:ascii="仿宋" w:hAnsi="仿宋" w:cs="仿宋"/>
          <w:spacing w:val="4"/>
          <w:w w:val="95"/>
          <w:szCs w:val="32"/>
        </w:rPr>
      </w:pPr>
      <w:r>
        <w:rPr>
          <w:rFonts w:ascii="仿宋" w:hAnsi="仿宋" w:cs="仿宋" w:hint="eastAsia"/>
          <w:b/>
          <w:spacing w:val="4"/>
          <w:w w:val="95"/>
          <w:szCs w:val="32"/>
        </w:rPr>
        <w:t>（三）加强宣传引导。</w:t>
      </w:r>
      <w:r>
        <w:rPr>
          <w:rFonts w:ascii="仿宋" w:hAnsi="仿宋" w:cs="仿宋" w:hint="eastAsia"/>
          <w:spacing w:val="4"/>
          <w:w w:val="95"/>
          <w:szCs w:val="32"/>
        </w:rPr>
        <w:t>充分利用网络、报纸、微信公众号等多媒体渠道，加大对我区营商环境政策措施宣传力度，积极</w:t>
      </w:r>
      <w:r>
        <w:rPr>
          <w:rFonts w:ascii="仿宋" w:hAnsi="仿宋" w:cs="仿宋" w:hint="eastAsia"/>
          <w:spacing w:val="4"/>
          <w:w w:val="95"/>
          <w:szCs w:val="32"/>
        </w:rPr>
        <w:lastRenderedPageBreak/>
        <w:t>引导社会公众广泛参与，营造良好的营商环境舆论宣传氛围。</w:t>
      </w:r>
    </w:p>
    <w:p w14:paraId="5DB12728" w14:textId="77777777" w:rsidR="00C97237" w:rsidRDefault="00C97237">
      <w:pPr>
        <w:spacing w:line="580" w:lineRule="exact"/>
        <w:ind w:firstLineChars="200" w:firstLine="628"/>
        <w:rPr>
          <w:rFonts w:ascii="仿宋" w:eastAsia="仿宋" w:hAnsi="仿宋" w:cs="仿宋"/>
          <w:spacing w:val="-3"/>
          <w:sz w:val="32"/>
          <w:szCs w:val="32"/>
        </w:rPr>
      </w:pPr>
    </w:p>
    <w:p w14:paraId="70382071" w14:textId="77777777" w:rsidR="00C97237" w:rsidRDefault="00C97237">
      <w:pPr>
        <w:spacing w:line="580" w:lineRule="exact"/>
        <w:ind w:left="2240" w:hangingChars="700" w:hanging="2240"/>
        <w:rPr>
          <w:rFonts w:ascii="仿宋" w:eastAsia="仿宋" w:hAnsi="仿宋" w:cs="仿宋"/>
          <w:sz w:val="32"/>
          <w:szCs w:val="32"/>
        </w:rPr>
      </w:pPr>
    </w:p>
    <w:p w14:paraId="34417302" w14:textId="77777777" w:rsidR="00C97237" w:rsidRDefault="00C97237">
      <w:pPr>
        <w:spacing w:line="580" w:lineRule="exact"/>
        <w:ind w:left="3080" w:hangingChars="700" w:hanging="3080"/>
        <w:rPr>
          <w:rFonts w:ascii="黑体" w:eastAsia="黑体" w:hAnsi="黑体" w:cs="黑体"/>
          <w:sz w:val="44"/>
          <w:szCs w:val="44"/>
        </w:rPr>
      </w:pPr>
    </w:p>
    <w:p w14:paraId="4DE5D331" w14:textId="77777777" w:rsidR="00C97237" w:rsidRDefault="00C97237">
      <w:pPr>
        <w:spacing w:line="580" w:lineRule="exact"/>
        <w:ind w:left="3080" w:hangingChars="700" w:hanging="3080"/>
        <w:rPr>
          <w:rFonts w:ascii="黑体" w:eastAsia="黑体" w:hAnsi="黑体" w:cs="黑体"/>
          <w:sz w:val="44"/>
          <w:szCs w:val="44"/>
        </w:rPr>
      </w:pPr>
    </w:p>
    <w:p w14:paraId="04E3D2E0" w14:textId="77777777" w:rsidR="00C97237" w:rsidRDefault="00C97237">
      <w:pPr>
        <w:spacing w:line="580" w:lineRule="exact"/>
        <w:ind w:left="3080" w:hangingChars="700" w:hanging="3080"/>
        <w:rPr>
          <w:rFonts w:ascii="黑体" w:eastAsia="黑体" w:hAnsi="黑体" w:cs="黑体"/>
          <w:sz w:val="44"/>
          <w:szCs w:val="44"/>
        </w:rPr>
      </w:pPr>
    </w:p>
    <w:p w14:paraId="331D8736" w14:textId="77777777" w:rsidR="00C97237" w:rsidRDefault="00C97237">
      <w:pPr>
        <w:spacing w:line="580" w:lineRule="exact"/>
        <w:ind w:left="3080" w:hangingChars="700" w:hanging="3080"/>
        <w:rPr>
          <w:rFonts w:ascii="黑体" w:eastAsia="黑体" w:hAnsi="黑体" w:cs="黑体"/>
          <w:sz w:val="44"/>
          <w:szCs w:val="44"/>
        </w:rPr>
      </w:pPr>
    </w:p>
    <w:p w14:paraId="0ED8E010" w14:textId="77777777" w:rsidR="00C97237" w:rsidRDefault="00C97237">
      <w:pPr>
        <w:spacing w:line="580" w:lineRule="exact"/>
        <w:ind w:left="3080" w:hangingChars="700" w:hanging="3080"/>
        <w:rPr>
          <w:rFonts w:ascii="黑体" w:eastAsia="黑体" w:hAnsi="黑体" w:cs="黑体"/>
          <w:sz w:val="44"/>
          <w:szCs w:val="44"/>
        </w:rPr>
      </w:pPr>
    </w:p>
    <w:p w14:paraId="31187731" w14:textId="77777777" w:rsidR="00C97237" w:rsidRDefault="00C97237">
      <w:pPr>
        <w:spacing w:line="580" w:lineRule="exact"/>
        <w:ind w:left="3080" w:hangingChars="700" w:hanging="3080"/>
        <w:rPr>
          <w:rFonts w:ascii="黑体" w:eastAsia="黑体" w:hAnsi="黑体" w:cs="黑体"/>
          <w:sz w:val="44"/>
          <w:szCs w:val="44"/>
        </w:rPr>
      </w:pPr>
    </w:p>
    <w:p w14:paraId="12A1612E" w14:textId="77777777" w:rsidR="00C97237" w:rsidRDefault="00C97237">
      <w:pPr>
        <w:spacing w:line="580" w:lineRule="exact"/>
        <w:ind w:left="3080" w:hangingChars="700" w:hanging="3080"/>
        <w:rPr>
          <w:rFonts w:ascii="黑体" w:eastAsia="黑体" w:hAnsi="黑体" w:cs="黑体"/>
          <w:sz w:val="44"/>
          <w:szCs w:val="44"/>
        </w:rPr>
      </w:pPr>
    </w:p>
    <w:p w14:paraId="5419D509" w14:textId="77777777" w:rsidR="00C97237" w:rsidRDefault="00C97237">
      <w:pPr>
        <w:spacing w:line="580" w:lineRule="exact"/>
        <w:ind w:left="3080" w:hangingChars="700" w:hanging="3080"/>
        <w:rPr>
          <w:rFonts w:ascii="黑体" w:eastAsia="黑体" w:hAnsi="黑体" w:cs="黑体"/>
          <w:sz w:val="44"/>
          <w:szCs w:val="44"/>
        </w:rPr>
      </w:pPr>
    </w:p>
    <w:p w14:paraId="7E0EA45D" w14:textId="77777777" w:rsidR="00C97237" w:rsidRDefault="00C97237">
      <w:pPr>
        <w:spacing w:line="580" w:lineRule="exact"/>
        <w:ind w:left="3080" w:hangingChars="700" w:hanging="3080"/>
        <w:rPr>
          <w:rFonts w:ascii="黑体" w:eastAsia="黑体" w:hAnsi="黑体" w:cs="黑体"/>
          <w:sz w:val="44"/>
          <w:szCs w:val="44"/>
        </w:rPr>
      </w:pPr>
    </w:p>
    <w:p w14:paraId="12C48BC8" w14:textId="77777777" w:rsidR="00C97237" w:rsidRDefault="00C97237">
      <w:pPr>
        <w:spacing w:line="580" w:lineRule="exact"/>
        <w:ind w:left="3080" w:hangingChars="700" w:hanging="3080"/>
        <w:rPr>
          <w:rFonts w:ascii="黑体" w:eastAsia="黑体" w:hAnsi="黑体" w:cs="黑体"/>
          <w:sz w:val="44"/>
          <w:szCs w:val="44"/>
        </w:rPr>
      </w:pPr>
    </w:p>
    <w:p w14:paraId="19334536" w14:textId="77777777" w:rsidR="00C97237" w:rsidRDefault="00C97237">
      <w:pPr>
        <w:spacing w:line="580" w:lineRule="exact"/>
        <w:ind w:left="3080" w:hangingChars="700" w:hanging="3080"/>
        <w:rPr>
          <w:rFonts w:ascii="黑体" w:eastAsia="黑体" w:hAnsi="黑体" w:cs="黑体"/>
          <w:sz w:val="44"/>
          <w:szCs w:val="44"/>
        </w:rPr>
      </w:pPr>
    </w:p>
    <w:p w14:paraId="5EF2DC04" w14:textId="77777777" w:rsidR="00C97237" w:rsidRDefault="00C97237">
      <w:pPr>
        <w:spacing w:line="580" w:lineRule="exact"/>
        <w:ind w:left="3080" w:hangingChars="700" w:hanging="3080"/>
        <w:rPr>
          <w:rFonts w:ascii="黑体" w:eastAsia="黑体" w:hAnsi="黑体" w:cs="黑体"/>
          <w:sz w:val="44"/>
          <w:szCs w:val="44"/>
        </w:rPr>
      </w:pPr>
    </w:p>
    <w:p w14:paraId="25EF7686" w14:textId="77777777" w:rsidR="00C97237" w:rsidRDefault="00C97237">
      <w:pPr>
        <w:spacing w:line="580" w:lineRule="exact"/>
        <w:ind w:left="3080" w:hangingChars="700" w:hanging="3080"/>
        <w:rPr>
          <w:rFonts w:ascii="黑体" w:eastAsia="黑体" w:hAnsi="黑体" w:cs="黑体"/>
          <w:sz w:val="44"/>
          <w:szCs w:val="44"/>
        </w:rPr>
      </w:pPr>
    </w:p>
    <w:p w14:paraId="6EA2A9D3" w14:textId="77777777" w:rsidR="00C97237" w:rsidRDefault="00C97237">
      <w:pPr>
        <w:spacing w:line="580" w:lineRule="exact"/>
        <w:ind w:left="3080" w:hangingChars="700" w:hanging="3080"/>
        <w:rPr>
          <w:rFonts w:ascii="黑体" w:eastAsia="黑体" w:hAnsi="黑体" w:cs="黑体"/>
          <w:sz w:val="44"/>
          <w:szCs w:val="44"/>
        </w:rPr>
      </w:pPr>
    </w:p>
    <w:p w14:paraId="7159F7DD" w14:textId="77777777" w:rsidR="00C97237" w:rsidRDefault="00C97237">
      <w:pPr>
        <w:spacing w:line="580" w:lineRule="exact"/>
        <w:ind w:left="3080" w:hangingChars="700" w:hanging="3080"/>
        <w:rPr>
          <w:rFonts w:ascii="黑体" w:eastAsia="黑体" w:hAnsi="黑体" w:cs="黑体"/>
          <w:sz w:val="44"/>
          <w:szCs w:val="44"/>
        </w:rPr>
      </w:pPr>
    </w:p>
    <w:p w14:paraId="2386CF00" w14:textId="77777777" w:rsidR="00C97237" w:rsidRDefault="00000000">
      <w:pPr>
        <w:spacing w:line="580" w:lineRule="exact"/>
        <w:ind w:left="3080" w:hangingChars="700" w:hanging="3080"/>
        <w:rPr>
          <w:rFonts w:ascii="黑体" w:eastAsia="黑体" w:hAnsi="黑体" w:cs="黑体"/>
          <w:sz w:val="44"/>
          <w:szCs w:val="44"/>
        </w:rPr>
      </w:pPr>
      <w:r>
        <w:rPr>
          <w:rFonts w:ascii="黑体" w:eastAsia="黑体" w:hAnsi="黑体" w:cs="黑体" w:hint="eastAsia"/>
          <w:sz w:val="44"/>
          <w:szCs w:val="44"/>
        </w:rPr>
        <w:t>附件28</w:t>
      </w:r>
    </w:p>
    <w:p w14:paraId="05BFF444" w14:textId="77777777" w:rsidR="00C97237" w:rsidRDefault="00000000">
      <w:pPr>
        <w:spacing w:line="580" w:lineRule="exact"/>
        <w:ind w:left="3080" w:hangingChars="700" w:hanging="3080"/>
        <w:rPr>
          <w:rFonts w:ascii="黑体" w:eastAsia="黑体" w:hAnsi="黑体" w:cs="黑体"/>
          <w:sz w:val="44"/>
          <w:szCs w:val="44"/>
        </w:rPr>
      </w:pPr>
      <w:r>
        <w:rPr>
          <w:rFonts w:ascii="黑体" w:eastAsia="黑体" w:hAnsi="黑体" w:cs="黑体" w:hint="eastAsia"/>
          <w:sz w:val="44"/>
          <w:szCs w:val="44"/>
        </w:rPr>
        <w:t>偃师区基本公共医疗服务满意度提升专项行动方案</w:t>
      </w:r>
    </w:p>
    <w:p w14:paraId="300A9033" w14:textId="77777777" w:rsidR="00C97237" w:rsidRDefault="00C97237">
      <w:pPr>
        <w:pStyle w:val="ab"/>
        <w:widowControl/>
        <w:shd w:val="clear" w:color="auto" w:fill="FFFFFF"/>
        <w:spacing w:before="0" w:beforeAutospacing="0" w:after="0" w:afterAutospacing="0" w:line="580" w:lineRule="exact"/>
        <w:rPr>
          <w:rFonts w:ascii="仿宋" w:eastAsia="仿宋" w:hAnsi="仿宋" w:cs="仿宋"/>
          <w:color w:val="333333"/>
          <w:sz w:val="32"/>
          <w:szCs w:val="32"/>
          <w:shd w:val="clear" w:color="auto" w:fill="FFFFFF"/>
        </w:rPr>
      </w:pPr>
    </w:p>
    <w:p w14:paraId="204AB08C" w14:textId="77777777" w:rsidR="00C97237" w:rsidRDefault="00000000">
      <w:pPr>
        <w:pStyle w:val="a0"/>
        <w:autoSpaceDE w:val="0"/>
        <w:autoSpaceDN w:val="0"/>
        <w:spacing w:before="0" w:line="580" w:lineRule="exact"/>
        <w:ind w:firstLine="640"/>
        <w:rPr>
          <w:rFonts w:ascii="仿宋" w:hAnsi="仿宋" w:cs="仿宋"/>
          <w:szCs w:val="32"/>
        </w:rPr>
      </w:pPr>
      <w:r>
        <w:rPr>
          <w:rFonts w:ascii="仿宋" w:hAnsi="仿宋" w:cs="仿宋" w:hint="eastAsia"/>
          <w:szCs w:val="32"/>
        </w:rPr>
        <w:t>为持续优化营商环境，着力提升公共服务满意度水平，</w:t>
      </w:r>
      <w:r>
        <w:rPr>
          <w:rFonts w:ascii="仿宋" w:hAnsi="仿宋" w:cs="仿宋" w:hint="eastAsia"/>
          <w:szCs w:val="32"/>
        </w:rPr>
        <w:lastRenderedPageBreak/>
        <w:t>激发市场活力和创造力，按照区委、区政府工作部署，对照省、市方案，结合我区实际，制定本方案。</w:t>
      </w:r>
    </w:p>
    <w:p w14:paraId="6C63B14A" w14:textId="77777777" w:rsidR="00C97237" w:rsidRDefault="00000000">
      <w:pPr>
        <w:pStyle w:val="a0"/>
        <w:autoSpaceDE w:val="0"/>
        <w:autoSpaceDN w:val="0"/>
        <w:spacing w:before="0" w:line="580" w:lineRule="exact"/>
        <w:ind w:firstLineChars="200" w:firstLine="640"/>
        <w:rPr>
          <w:rFonts w:ascii="黑体" w:eastAsia="黑体" w:hAnsi="黑体" w:cs="黑体"/>
          <w:szCs w:val="32"/>
        </w:rPr>
      </w:pPr>
      <w:r>
        <w:rPr>
          <w:rFonts w:ascii="黑体" w:eastAsia="黑体" w:hAnsi="黑体" w:cs="黑体" w:hint="eastAsia"/>
          <w:szCs w:val="32"/>
        </w:rPr>
        <w:t>一、总体要求</w:t>
      </w:r>
    </w:p>
    <w:p w14:paraId="47955A32" w14:textId="77777777" w:rsidR="00C97237" w:rsidRDefault="00000000">
      <w:pPr>
        <w:pStyle w:val="a0"/>
        <w:autoSpaceDE w:val="0"/>
        <w:autoSpaceDN w:val="0"/>
        <w:spacing w:before="0" w:line="580" w:lineRule="exact"/>
        <w:ind w:firstLine="640"/>
        <w:rPr>
          <w:rFonts w:ascii="仿宋" w:hAnsi="仿宋" w:cs="仿宋"/>
          <w:szCs w:val="32"/>
        </w:rPr>
      </w:pPr>
      <w:r>
        <w:rPr>
          <w:rFonts w:ascii="仿宋" w:hAnsi="仿宋" w:cs="仿宋" w:hint="eastAsia"/>
          <w:szCs w:val="32"/>
        </w:rPr>
        <w:t>以习近平新时代中国特色社会主义思想为指导，深入贯彻党的十九大和十九届六中全会精神，全面落实习近平总书记视察河南重要讲话精神，坚持问题导向、目标导向，对标一流，强化改革创新，大幅提升公共服务水平，推动基本公共服务建设，增强群众的就医获得感、医疗服务满意度。</w:t>
      </w:r>
    </w:p>
    <w:p w14:paraId="47B202CF" w14:textId="77777777" w:rsidR="00C97237" w:rsidRDefault="00000000">
      <w:pPr>
        <w:pStyle w:val="a0"/>
        <w:autoSpaceDE w:val="0"/>
        <w:autoSpaceDN w:val="0"/>
        <w:spacing w:before="0" w:line="580" w:lineRule="exact"/>
        <w:ind w:firstLineChars="200" w:firstLine="640"/>
        <w:rPr>
          <w:rFonts w:ascii="黑体" w:eastAsia="黑体" w:hAnsi="黑体" w:cs="黑体"/>
          <w:szCs w:val="32"/>
        </w:rPr>
      </w:pPr>
      <w:r>
        <w:rPr>
          <w:rFonts w:ascii="黑体" w:eastAsia="黑体" w:hAnsi="黑体" w:cs="黑体" w:hint="eastAsia"/>
          <w:szCs w:val="32"/>
        </w:rPr>
        <w:t>二、工作目标</w:t>
      </w:r>
    </w:p>
    <w:p w14:paraId="1322A674"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进一步完善医疗卫生服务体系，不断增强群众的就医获得感、幸福感、安全感，继续加大医疗卫生基础设施建设、人才队伍建设等重点投入，到2022年底，区域内每十万人拥有医院数达到1.4所，每千人拥有医疗卫生机构床位数达到6.51张，每千常住人口执业（助理）医师数达到2.86人，每千常住人口执业注册护士数达到3.4人。二级以上综合医院设老年医学科比例达到50%及以上，三级中医医院设置康复科比例达到100%，80%以上的医疗机构达到老年友善医疗机构标准。推行区域点数法总额预算和按病种分值付费相结合的医保支付方式改革，确保全区二级以上医疗机构全覆盖。</w:t>
      </w:r>
    </w:p>
    <w:p w14:paraId="33586F28" w14:textId="77777777" w:rsidR="00C97237" w:rsidRDefault="00000000">
      <w:pPr>
        <w:pStyle w:val="a0"/>
        <w:autoSpaceDE w:val="0"/>
        <w:autoSpaceDN w:val="0"/>
        <w:spacing w:before="0" w:line="580" w:lineRule="exact"/>
        <w:ind w:firstLineChars="200" w:firstLine="640"/>
        <w:rPr>
          <w:rFonts w:ascii="黑体" w:eastAsia="黑体" w:hAnsi="黑体" w:cs="黑体"/>
          <w:szCs w:val="32"/>
        </w:rPr>
      </w:pPr>
      <w:r>
        <w:rPr>
          <w:rFonts w:ascii="黑体" w:eastAsia="黑体" w:hAnsi="黑体" w:cs="黑体" w:hint="eastAsia"/>
          <w:szCs w:val="32"/>
        </w:rPr>
        <w:t>三、主要举措</w:t>
      </w:r>
    </w:p>
    <w:p w14:paraId="62AD2227" w14:textId="77777777" w:rsidR="00C97237" w:rsidRDefault="00000000">
      <w:pPr>
        <w:pStyle w:val="a0"/>
        <w:autoSpaceDE w:val="0"/>
        <w:autoSpaceDN w:val="0"/>
        <w:spacing w:before="0" w:line="580" w:lineRule="exact"/>
        <w:ind w:firstLineChars="200" w:firstLine="640"/>
        <w:rPr>
          <w:rFonts w:ascii="仿宋" w:hAnsi="仿宋" w:cs="仿宋"/>
          <w:szCs w:val="32"/>
        </w:rPr>
      </w:pPr>
      <w:r>
        <w:rPr>
          <w:rFonts w:ascii="仿宋" w:hAnsi="仿宋" w:cs="仿宋" w:hint="eastAsia"/>
          <w:szCs w:val="32"/>
        </w:rPr>
        <w:t>（一）提升公共医疗服务质量。完善医疗大数据和“互联网+医疗健康”建设，缩短各类突发事件的应急处置时间，</w:t>
      </w:r>
      <w:r>
        <w:rPr>
          <w:rFonts w:ascii="仿宋" w:hAnsi="仿宋" w:cs="仿宋" w:hint="eastAsia"/>
          <w:szCs w:val="32"/>
        </w:rPr>
        <w:lastRenderedPageBreak/>
        <w:t>继续优化“健康洛阳”APP（电子健康卡）功能，方便群众就医，为非急症患者、慢性病患者提供在线诊疗服务。偃师人民医院在河科大一附院的对口帮扶下，积极创建三级甲等医院；区中医院进一步巩固创建成果，充分发挥</w:t>
      </w:r>
      <w:r>
        <w:rPr>
          <w:rFonts w:ascii="仿宋" w:hAnsi="仿宋" w:cs="仿宋" w:hint="eastAsia"/>
          <w:kern w:val="0"/>
          <w:szCs w:val="32"/>
        </w:rPr>
        <w:t>“中医特色”</w:t>
      </w:r>
      <w:r>
        <w:rPr>
          <w:rFonts w:ascii="仿宋" w:hAnsi="仿宋" w:cs="仿宋" w:hint="eastAsia"/>
          <w:szCs w:val="32"/>
        </w:rPr>
        <w:t>，创建数字化、智慧化医院；区妇幼保健院争创二级甲等妇幼保健院；翟镇镇卫生院年底前力争完成二级综合医院创建；顾县镇卫生院、大口镇卫生院、翟镇镇卫生院、城关镇卫生院创建省级示范性中医馆；继续推进山化镇卫生院、高龙镇卫生院医养结合服务中心建设，完善合作服务机制、医疗巡诊服务机制，通过在医院入口处增设老年人绿色通道，配备轮椅、老花镜、平板车等，做好老年人便利就医服务工作。支持养老机构设立医疗机构，促进医养结合健康发展，建立医养转诊服务机制，持续增强医疗机构创新发展动力；各医疗机构积极按照省标准，完成老年医学科、老年友善医疗机构创建。</w:t>
      </w:r>
    </w:p>
    <w:p w14:paraId="27041D18" w14:textId="77777777" w:rsidR="00C97237" w:rsidRDefault="00000000">
      <w:pPr>
        <w:pStyle w:val="a0"/>
        <w:autoSpaceDE w:val="0"/>
        <w:autoSpaceDN w:val="0"/>
        <w:spacing w:before="0" w:line="580" w:lineRule="exact"/>
        <w:ind w:firstLineChars="200" w:firstLine="640"/>
        <w:rPr>
          <w:rFonts w:ascii="仿宋" w:hAnsi="仿宋" w:cs="仿宋"/>
          <w:szCs w:val="32"/>
        </w:rPr>
      </w:pPr>
      <w:r>
        <w:rPr>
          <w:rFonts w:ascii="仿宋" w:hAnsi="仿宋" w:cs="仿宋" w:hint="eastAsia"/>
          <w:szCs w:val="32"/>
        </w:rPr>
        <w:t>（二）加强医疗卫生基础设施建设。新区医院建设项目按照时间节点推进，年底前主体完工；申报启动区中医院扩建综合病房楼项目和区妇幼保健院综合服务能力提升项目；加强医防融合，落实常态化疫情防控要求，在偃师城区设立便民核酸采样屋18个，每个乡镇至少设立一个固定采样屋，面向社会开放服务，满足全区及外来人员“愿检尽检”“应检尽检”需求；完善区域院前急救网络体系建设，府店镇卫生院、高龙镇卫生院10月底前建设标准化急救站点，打造城</w:t>
      </w:r>
      <w:r>
        <w:rPr>
          <w:rFonts w:ascii="仿宋" w:hAnsi="仿宋" w:cs="仿宋" w:hint="eastAsia"/>
          <w:szCs w:val="32"/>
        </w:rPr>
        <w:lastRenderedPageBreak/>
        <w:t>区“15分钟急救圈”、乡镇“30分钟急救圈”。</w:t>
      </w:r>
    </w:p>
    <w:p w14:paraId="63DCDCE9" w14:textId="77777777" w:rsidR="00C97237" w:rsidRDefault="00000000">
      <w:pPr>
        <w:pStyle w:val="a0"/>
        <w:autoSpaceDE w:val="0"/>
        <w:autoSpaceDN w:val="0"/>
        <w:spacing w:before="0" w:line="580" w:lineRule="exact"/>
        <w:ind w:firstLineChars="200" w:firstLine="640"/>
        <w:rPr>
          <w:rFonts w:ascii="仿宋" w:hAnsi="仿宋" w:cs="仿宋"/>
          <w:szCs w:val="32"/>
        </w:rPr>
      </w:pPr>
      <w:r>
        <w:rPr>
          <w:rFonts w:ascii="仿宋" w:hAnsi="仿宋" w:cs="仿宋" w:hint="eastAsia"/>
          <w:szCs w:val="32"/>
        </w:rPr>
        <w:t>时间节点：2022年12月</w:t>
      </w:r>
    </w:p>
    <w:p w14:paraId="2B13C384" w14:textId="77777777" w:rsidR="00C97237" w:rsidRDefault="00000000">
      <w:pPr>
        <w:pStyle w:val="a0"/>
        <w:autoSpaceDE w:val="0"/>
        <w:autoSpaceDN w:val="0"/>
        <w:spacing w:before="0" w:line="580" w:lineRule="exact"/>
        <w:ind w:firstLineChars="200" w:firstLine="640"/>
        <w:rPr>
          <w:rFonts w:ascii="仿宋" w:hAnsi="仿宋" w:cs="仿宋"/>
          <w:szCs w:val="32"/>
        </w:rPr>
      </w:pPr>
      <w:r>
        <w:rPr>
          <w:rFonts w:ascii="仿宋" w:hAnsi="仿宋" w:cs="仿宋" w:hint="eastAsia"/>
          <w:szCs w:val="32"/>
        </w:rPr>
        <w:t>责任单位：区卫健委</w:t>
      </w:r>
    </w:p>
    <w:p w14:paraId="304075DF" w14:textId="77777777" w:rsidR="00C97237" w:rsidRDefault="00000000">
      <w:pPr>
        <w:ind w:firstLineChars="200" w:firstLine="640"/>
        <w:rPr>
          <w:rFonts w:ascii="仿宋" w:eastAsia="仿宋" w:hAnsi="仿宋" w:cs="仿宋"/>
          <w:sz w:val="32"/>
          <w:szCs w:val="32"/>
        </w:rPr>
      </w:pPr>
      <w:r>
        <w:rPr>
          <w:rFonts w:ascii="仿宋" w:eastAsia="仿宋" w:hAnsi="仿宋" w:cs="仿宋" w:hint="eastAsia"/>
          <w:sz w:val="32"/>
          <w:szCs w:val="32"/>
        </w:rPr>
        <w:t>（四）推进医保支付方式改革。持续推行区域点数法总额预算和按病种分值付费相结合的医保支付方式改革，按照省、市统一安排部署，紧扣国家“实现四个全覆盖、建立完善四个工作机制、加强四项基础建设、做到四个到位”目标任务，分阶段、抓重点、阶梯式推进改革工作，2022年底将启动全区二级以上定点医疗机构DIP运行工作。</w:t>
      </w:r>
    </w:p>
    <w:p w14:paraId="33F6BA76" w14:textId="77777777" w:rsidR="00C97237" w:rsidRDefault="00000000">
      <w:pPr>
        <w:pStyle w:val="a0"/>
        <w:autoSpaceDE w:val="0"/>
        <w:autoSpaceDN w:val="0"/>
        <w:spacing w:before="0" w:line="580" w:lineRule="exact"/>
        <w:ind w:firstLineChars="200" w:firstLine="640"/>
        <w:rPr>
          <w:rFonts w:ascii="仿宋" w:hAnsi="仿宋" w:cs="仿宋"/>
          <w:szCs w:val="32"/>
        </w:rPr>
      </w:pPr>
      <w:r>
        <w:rPr>
          <w:rFonts w:ascii="仿宋" w:hAnsi="仿宋" w:cs="仿宋" w:hint="eastAsia"/>
          <w:szCs w:val="32"/>
        </w:rPr>
        <w:t>时间节点：2022年12月</w:t>
      </w:r>
    </w:p>
    <w:p w14:paraId="1B5C2187" w14:textId="77777777" w:rsidR="00C97237" w:rsidRDefault="00000000">
      <w:pPr>
        <w:pStyle w:val="a0"/>
        <w:autoSpaceDE w:val="0"/>
        <w:autoSpaceDN w:val="0"/>
        <w:spacing w:before="0" w:line="580" w:lineRule="exact"/>
        <w:ind w:firstLineChars="200" w:firstLine="640"/>
        <w:rPr>
          <w:rFonts w:ascii="仿宋" w:hAnsi="仿宋" w:cs="仿宋"/>
          <w:szCs w:val="32"/>
        </w:rPr>
      </w:pPr>
      <w:r>
        <w:rPr>
          <w:rFonts w:ascii="仿宋" w:hAnsi="仿宋" w:cs="仿宋" w:hint="eastAsia"/>
          <w:szCs w:val="32"/>
        </w:rPr>
        <w:t>责任单位：区医保局</w:t>
      </w:r>
    </w:p>
    <w:p w14:paraId="387EF7A8" w14:textId="77777777" w:rsidR="00C97237" w:rsidRDefault="00C97237">
      <w:pPr>
        <w:pStyle w:val="Default"/>
        <w:ind w:leftChars="200" w:left="420"/>
      </w:pPr>
    </w:p>
    <w:p w14:paraId="79EFCA09" w14:textId="77777777" w:rsidR="00C97237" w:rsidRDefault="00C97237">
      <w:pPr>
        <w:pStyle w:val="a0"/>
        <w:spacing w:before="1" w:line="580" w:lineRule="exact"/>
        <w:ind w:right="859"/>
        <w:jc w:val="center"/>
        <w:rPr>
          <w:rFonts w:ascii="仿宋" w:hAnsi="仿宋" w:cs="仿宋"/>
          <w:szCs w:val="32"/>
        </w:rPr>
      </w:pPr>
    </w:p>
    <w:p w14:paraId="7F26AB95" w14:textId="77777777" w:rsidR="00C97237" w:rsidRDefault="00C97237">
      <w:pPr>
        <w:pStyle w:val="a0"/>
        <w:spacing w:before="1" w:line="580" w:lineRule="exact"/>
        <w:ind w:right="859"/>
        <w:jc w:val="center"/>
        <w:rPr>
          <w:rFonts w:ascii="仿宋" w:hAnsi="仿宋" w:cs="仿宋"/>
          <w:szCs w:val="32"/>
        </w:rPr>
      </w:pPr>
    </w:p>
    <w:p w14:paraId="09917E20" w14:textId="77777777" w:rsidR="00C97237" w:rsidRDefault="00000000">
      <w:pPr>
        <w:pStyle w:val="a0"/>
        <w:spacing w:before="1" w:line="580" w:lineRule="exact"/>
        <w:ind w:right="859"/>
        <w:jc w:val="center"/>
        <w:rPr>
          <w:rFonts w:ascii="仿宋" w:hAnsi="仿宋" w:cs="仿宋"/>
          <w:szCs w:val="32"/>
        </w:rPr>
      </w:pPr>
      <w:r>
        <w:rPr>
          <w:rFonts w:ascii="仿宋" w:hAnsi="仿宋" w:cs="仿宋" w:hint="eastAsia"/>
          <w:szCs w:val="32"/>
        </w:rPr>
        <w:t>2022年基本公共医疗服务满意度提升对比表</w:t>
      </w:r>
    </w:p>
    <w:p w14:paraId="2DA04301" w14:textId="77777777" w:rsidR="00C97237" w:rsidRDefault="00C97237">
      <w:pPr>
        <w:pStyle w:val="a0"/>
        <w:spacing w:before="11" w:line="580" w:lineRule="exact"/>
        <w:rPr>
          <w:rFonts w:ascii="仿宋" w:hAnsi="仿宋" w:cs="仿宋"/>
          <w:szCs w:val="3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5"/>
        <w:gridCol w:w="843"/>
        <w:gridCol w:w="2365"/>
        <w:gridCol w:w="2551"/>
        <w:gridCol w:w="2268"/>
        <w:gridCol w:w="1258"/>
      </w:tblGrid>
      <w:tr w:rsidR="00C97237" w14:paraId="189F1C44" w14:textId="77777777">
        <w:trPr>
          <w:trHeight w:val="819"/>
          <w:jc w:val="center"/>
        </w:trPr>
        <w:tc>
          <w:tcPr>
            <w:tcW w:w="615" w:type="dxa"/>
            <w:vAlign w:val="center"/>
          </w:tcPr>
          <w:p w14:paraId="78374BBC" w14:textId="77777777" w:rsidR="00C97237" w:rsidRDefault="00000000">
            <w:pPr>
              <w:pStyle w:val="TableParagraph"/>
              <w:spacing w:before="1" w:line="580" w:lineRule="exact"/>
              <w:ind w:right="128"/>
              <w:jc w:val="center"/>
              <w:rPr>
                <w:rFonts w:ascii="仿宋" w:eastAsia="仿宋" w:hAnsi="仿宋" w:cs="仿宋"/>
                <w:sz w:val="32"/>
                <w:szCs w:val="32"/>
              </w:rPr>
            </w:pPr>
            <w:r>
              <w:rPr>
                <w:rFonts w:ascii="仿宋" w:eastAsia="仿宋" w:hAnsi="仿宋" w:cs="仿宋" w:hint="eastAsia"/>
                <w:sz w:val="32"/>
                <w:szCs w:val="32"/>
              </w:rPr>
              <w:t>序号</w:t>
            </w:r>
          </w:p>
        </w:tc>
        <w:tc>
          <w:tcPr>
            <w:tcW w:w="843" w:type="dxa"/>
            <w:vAlign w:val="center"/>
          </w:tcPr>
          <w:p w14:paraId="7C616B59" w14:textId="77777777" w:rsidR="00C97237" w:rsidRDefault="00000000">
            <w:pPr>
              <w:pStyle w:val="TableParagraph"/>
              <w:spacing w:before="1" w:line="580" w:lineRule="exact"/>
              <w:jc w:val="center"/>
              <w:rPr>
                <w:rFonts w:ascii="仿宋" w:eastAsia="仿宋" w:hAnsi="仿宋" w:cs="仿宋"/>
                <w:sz w:val="32"/>
                <w:szCs w:val="32"/>
              </w:rPr>
            </w:pPr>
            <w:r>
              <w:rPr>
                <w:rFonts w:ascii="仿宋" w:eastAsia="仿宋" w:hAnsi="仿宋" w:cs="仿宋" w:hint="eastAsia"/>
                <w:sz w:val="32"/>
                <w:szCs w:val="32"/>
              </w:rPr>
              <w:t>指标</w:t>
            </w:r>
          </w:p>
        </w:tc>
        <w:tc>
          <w:tcPr>
            <w:tcW w:w="2365" w:type="dxa"/>
            <w:vAlign w:val="center"/>
          </w:tcPr>
          <w:p w14:paraId="40601F81" w14:textId="77777777" w:rsidR="00C97237" w:rsidRDefault="00000000">
            <w:pPr>
              <w:pStyle w:val="TableParagraph"/>
              <w:spacing w:before="1" w:line="580" w:lineRule="exact"/>
              <w:ind w:left="14" w:right="7"/>
              <w:jc w:val="center"/>
              <w:rPr>
                <w:rFonts w:ascii="仿宋" w:eastAsia="仿宋" w:hAnsi="仿宋" w:cs="仿宋"/>
                <w:sz w:val="32"/>
                <w:szCs w:val="32"/>
              </w:rPr>
            </w:pPr>
            <w:r>
              <w:rPr>
                <w:rFonts w:ascii="仿宋" w:eastAsia="仿宋" w:hAnsi="仿宋" w:cs="仿宋" w:hint="eastAsia"/>
                <w:sz w:val="32"/>
                <w:szCs w:val="32"/>
              </w:rPr>
              <w:t>现状水平</w:t>
            </w:r>
          </w:p>
        </w:tc>
        <w:tc>
          <w:tcPr>
            <w:tcW w:w="2551" w:type="dxa"/>
            <w:vAlign w:val="center"/>
          </w:tcPr>
          <w:p w14:paraId="42A5808A" w14:textId="77777777" w:rsidR="00C97237" w:rsidRDefault="00000000">
            <w:pPr>
              <w:pStyle w:val="TableParagraph"/>
              <w:spacing w:before="1" w:line="580" w:lineRule="exact"/>
              <w:ind w:left="39" w:right="30"/>
              <w:jc w:val="center"/>
              <w:rPr>
                <w:rFonts w:ascii="仿宋" w:eastAsia="仿宋" w:hAnsi="仿宋" w:cs="仿宋"/>
                <w:sz w:val="32"/>
                <w:szCs w:val="32"/>
              </w:rPr>
            </w:pPr>
            <w:r>
              <w:rPr>
                <w:rFonts w:ascii="仿宋" w:eastAsia="仿宋" w:hAnsi="仿宋" w:cs="仿宋" w:hint="eastAsia"/>
                <w:sz w:val="32"/>
                <w:szCs w:val="32"/>
              </w:rPr>
              <w:t>省里目标</w:t>
            </w:r>
          </w:p>
        </w:tc>
        <w:tc>
          <w:tcPr>
            <w:tcW w:w="2268" w:type="dxa"/>
            <w:vAlign w:val="center"/>
          </w:tcPr>
          <w:p w14:paraId="6240FE74" w14:textId="77777777" w:rsidR="00C97237" w:rsidRDefault="00000000">
            <w:pPr>
              <w:pStyle w:val="TableParagraph"/>
              <w:spacing w:before="225" w:line="580" w:lineRule="exact"/>
              <w:ind w:right="742"/>
              <w:jc w:val="center"/>
              <w:rPr>
                <w:rFonts w:ascii="仿宋" w:eastAsia="仿宋" w:hAnsi="仿宋" w:cs="仿宋"/>
                <w:sz w:val="32"/>
                <w:szCs w:val="32"/>
              </w:rPr>
            </w:pPr>
            <w:r>
              <w:rPr>
                <w:rFonts w:ascii="仿宋" w:eastAsia="仿宋" w:hAnsi="仿宋" w:cs="仿宋" w:hint="eastAsia"/>
                <w:sz w:val="32"/>
                <w:szCs w:val="32"/>
              </w:rPr>
              <w:t>升级版目标</w:t>
            </w:r>
          </w:p>
        </w:tc>
        <w:tc>
          <w:tcPr>
            <w:tcW w:w="1258" w:type="dxa"/>
            <w:vAlign w:val="center"/>
          </w:tcPr>
          <w:p w14:paraId="726E9D8D" w14:textId="77777777" w:rsidR="00C97237" w:rsidRDefault="00000000">
            <w:pPr>
              <w:pStyle w:val="TableParagraph"/>
              <w:spacing w:before="225" w:line="580" w:lineRule="exact"/>
              <w:ind w:right="278"/>
              <w:jc w:val="center"/>
              <w:rPr>
                <w:rFonts w:ascii="仿宋" w:eastAsia="仿宋" w:hAnsi="仿宋" w:cs="仿宋"/>
                <w:sz w:val="32"/>
                <w:szCs w:val="32"/>
              </w:rPr>
            </w:pPr>
            <w:r>
              <w:rPr>
                <w:rFonts w:ascii="仿宋" w:eastAsia="仿宋" w:hAnsi="仿宋" w:cs="仿宋" w:hint="eastAsia"/>
                <w:sz w:val="32"/>
                <w:szCs w:val="32"/>
              </w:rPr>
              <w:t>国内前沿水平</w:t>
            </w:r>
          </w:p>
        </w:tc>
      </w:tr>
      <w:tr w:rsidR="00C97237" w14:paraId="43CD05E6" w14:textId="77777777">
        <w:trPr>
          <w:trHeight w:val="4582"/>
          <w:jc w:val="center"/>
        </w:trPr>
        <w:tc>
          <w:tcPr>
            <w:tcW w:w="615" w:type="dxa"/>
            <w:vAlign w:val="center"/>
          </w:tcPr>
          <w:p w14:paraId="2B0C21DD" w14:textId="77777777" w:rsidR="00C97237" w:rsidRDefault="00C97237">
            <w:pPr>
              <w:pStyle w:val="TableParagraph"/>
              <w:spacing w:line="580" w:lineRule="exact"/>
              <w:jc w:val="center"/>
              <w:rPr>
                <w:rFonts w:ascii="仿宋" w:eastAsia="仿宋" w:hAnsi="仿宋" w:cs="仿宋"/>
                <w:sz w:val="32"/>
                <w:szCs w:val="32"/>
              </w:rPr>
            </w:pPr>
          </w:p>
          <w:p w14:paraId="0B7BE7DE" w14:textId="77777777" w:rsidR="00C97237" w:rsidRDefault="00C97237">
            <w:pPr>
              <w:pStyle w:val="TableParagraph"/>
              <w:spacing w:line="580" w:lineRule="exact"/>
              <w:jc w:val="center"/>
              <w:rPr>
                <w:rFonts w:ascii="仿宋" w:eastAsia="仿宋" w:hAnsi="仿宋" w:cs="仿宋"/>
                <w:sz w:val="32"/>
                <w:szCs w:val="32"/>
              </w:rPr>
            </w:pPr>
          </w:p>
          <w:p w14:paraId="2B7AD530" w14:textId="77777777" w:rsidR="00C97237" w:rsidRDefault="00C97237">
            <w:pPr>
              <w:pStyle w:val="TableParagraph"/>
              <w:spacing w:line="580" w:lineRule="exact"/>
              <w:jc w:val="center"/>
              <w:rPr>
                <w:rFonts w:ascii="仿宋" w:eastAsia="仿宋" w:hAnsi="仿宋" w:cs="仿宋"/>
                <w:sz w:val="32"/>
                <w:szCs w:val="32"/>
              </w:rPr>
            </w:pPr>
          </w:p>
          <w:p w14:paraId="22516C5B" w14:textId="77777777" w:rsidR="00C97237" w:rsidRDefault="00C97237">
            <w:pPr>
              <w:pStyle w:val="TableParagraph"/>
              <w:spacing w:line="580" w:lineRule="exact"/>
              <w:jc w:val="center"/>
              <w:rPr>
                <w:rFonts w:ascii="仿宋" w:eastAsia="仿宋" w:hAnsi="仿宋" w:cs="仿宋"/>
                <w:sz w:val="32"/>
                <w:szCs w:val="32"/>
              </w:rPr>
            </w:pPr>
          </w:p>
          <w:p w14:paraId="28B69156" w14:textId="77777777" w:rsidR="00C97237" w:rsidRDefault="00C97237">
            <w:pPr>
              <w:pStyle w:val="TableParagraph"/>
              <w:spacing w:line="580" w:lineRule="exact"/>
              <w:jc w:val="center"/>
              <w:rPr>
                <w:rFonts w:ascii="仿宋" w:eastAsia="仿宋" w:hAnsi="仿宋" w:cs="仿宋"/>
                <w:sz w:val="32"/>
                <w:szCs w:val="32"/>
              </w:rPr>
            </w:pPr>
          </w:p>
          <w:p w14:paraId="7EF26582" w14:textId="77777777" w:rsidR="00C97237" w:rsidRDefault="00C97237">
            <w:pPr>
              <w:pStyle w:val="TableParagraph"/>
              <w:spacing w:before="9" w:line="580" w:lineRule="exact"/>
              <w:jc w:val="center"/>
              <w:rPr>
                <w:rFonts w:ascii="仿宋" w:eastAsia="仿宋" w:hAnsi="仿宋" w:cs="仿宋"/>
                <w:sz w:val="32"/>
                <w:szCs w:val="32"/>
              </w:rPr>
            </w:pPr>
          </w:p>
          <w:p w14:paraId="342D2131" w14:textId="77777777" w:rsidR="00C97237" w:rsidRDefault="00000000">
            <w:pPr>
              <w:pStyle w:val="TableParagraph"/>
              <w:spacing w:before="1" w:line="580" w:lineRule="exact"/>
              <w:ind w:left="9"/>
              <w:jc w:val="center"/>
              <w:rPr>
                <w:rFonts w:ascii="仿宋" w:eastAsia="仿宋" w:hAnsi="仿宋" w:cs="仿宋"/>
                <w:sz w:val="32"/>
                <w:szCs w:val="32"/>
              </w:rPr>
            </w:pPr>
            <w:r>
              <w:rPr>
                <w:rFonts w:ascii="仿宋" w:eastAsia="仿宋" w:hAnsi="仿宋" w:cs="仿宋" w:hint="eastAsia"/>
                <w:sz w:val="32"/>
                <w:szCs w:val="32"/>
              </w:rPr>
              <w:t>5</w:t>
            </w:r>
          </w:p>
        </w:tc>
        <w:tc>
          <w:tcPr>
            <w:tcW w:w="843" w:type="dxa"/>
            <w:vAlign w:val="center"/>
          </w:tcPr>
          <w:p w14:paraId="425F1D1B" w14:textId="77777777" w:rsidR="00C97237" w:rsidRDefault="00000000">
            <w:pPr>
              <w:pStyle w:val="TableParagraph"/>
              <w:spacing w:line="580" w:lineRule="exact"/>
              <w:ind w:right="73"/>
              <w:jc w:val="center"/>
              <w:rPr>
                <w:rFonts w:ascii="仿宋" w:eastAsia="仿宋" w:hAnsi="仿宋" w:cs="仿宋"/>
                <w:sz w:val="32"/>
                <w:szCs w:val="32"/>
              </w:rPr>
            </w:pPr>
            <w:r>
              <w:rPr>
                <w:rFonts w:ascii="仿宋" w:eastAsia="仿宋" w:hAnsi="仿宋" w:cs="仿宋" w:hint="eastAsia"/>
                <w:sz w:val="32"/>
                <w:szCs w:val="32"/>
              </w:rPr>
              <w:t>提升公共医疗服务质量</w:t>
            </w:r>
          </w:p>
        </w:tc>
        <w:tc>
          <w:tcPr>
            <w:tcW w:w="2365" w:type="dxa"/>
            <w:vAlign w:val="center"/>
          </w:tcPr>
          <w:p w14:paraId="55EC7983" w14:textId="77777777" w:rsidR="00C97237" w:rsidRDefault="00000000">
            <w:pPr>
              <w:pStyle w:val="TableParagraph"/>
              <w:autoSpaceDE w:val="0"/>
              <w:autoSpaceDN w:val="0"/>
              <w:spacing w:line="580" w:lineRule="exact"/>
              <w:jc w:val="center"/>
              <w:rPr>
                <w:rFonts w:ascii="仿宋" w:eastAsia="仿宋" w:hAnsi="仿宋" w:cs="仿宋"/>
                <w:sz w:val="32"/>
                <w:szCs w:val="32"/>
              </w:rPr>
            </w:pPr>
            <w:r>
              <w:rPr>
                <w:rFonts w:ascii="仿宋" w:eastAsia="仿宋" w:hAnsi="仿宋" w:cs="仿宋" w:hint="eastAsia"/>
                <w:sz w:val="32"/>
                <w:szCs w:val="32"/>
              </w:rPr>
              <w:t>2021年底，全区每千人拥有医院床位数6.40张，每千常住人口执业（助理）医师数2.79 人，每千常住人口执业注册护士数3.3人。二级以上综合医院设老年医学科比例达到50%，三级中医医院设置康复科比例达到100%。</w:t>
            </w:r>
          </w:p>
          <w:p w14:paraId="6BFE7539" w14:textId="77777777" w:rsidR="00C97237" w:rsidRDefault="00C97237">
            <w:pPr>
              <w:pStyle w:val="TableParagraph"/>
              <w:autoSpaceDE w:val="0"/>
              <w:autoSpaceDN w:val="0"/>
              <w:spacing w:line="580" w:lineRule="exact"/>
              <w:jc w:val="center"/>
              <w:rPr>
                <w:rFonts w:ascii="仿宋" w:eastAsia="仿宋" w:hAnsi="仿宋" w:cs="仿宋"/>
                <w:sz w:val="32"/>
                <w:szCs w:val="32"/>
              </w:rPr>
            </w:pPr>
          </w:p>
        </w:tc>
        <w:tc>
          <w:tcPr>
            <w:tcW w:w="2551" w:type="dxa"/>
            <w:vAlign w:val="center"/>
          </w:tcPr>
          <w:p w14:paraId="1BE3F55C" w14:textId="77777777" w:rsidR="00C97237" w:rsidRDefault="00000000">
            <w:pPr>
              <w:pStyle w:val="TableParagraph"/>
              <w:autoSpaceDE w:val="0"/>
              <w:autoSpaceDN w:val="0"/>
              <w:spacing w:line="580" w:lineRule="exact"/>
              <w:ind w:left="74" w:hanging="74"/>
              <w:jc w:val="center"/>
              <w:rPr>
                <w:rFonts w:ascii="仿宋" w:eastAsia="仿宋" w:hAnsi="仿宋" w:cs="仿宋"/>
                <w:sz w:val="32"/>
                <w:szCs w:val="32"/>
              </w:rPr>
            </w:pPr>
            <w:r>
              <w:rPr>
                <w:rFonts w:ascii="仿宋" w:eastAsia="仿宋" w:hAnsi="仿宋" w:cs="仿宋" w:hint="eastAsia"/>
                <w:sz w:val="32"/>
                <w:szCs w:val="32"/>
              </w:rPr>
              <w:t>2022年，每十万人拥有的医院数达2所，全省每千人拥有医院床位数达5.19张，每千常住人口执业（助理）医师数达2.9人，每千常住人口执业注册护士数达3.5人。每万常住人口全科医生数达2.5人，二级以上综合医院设老年医学科比例分别达到50%及以上，三级中医医院设置康复科比例达到100%。</w:t>
            </w:r>
          </w:p>
        </w:tc>
        <w:tc>
          <w:tcPr>
            <w:tcW w:w="2268" w:type="dxa"/>
            <w:vAlign w:val="center"/>
          </w:tcPr>
          <w:p w14:paraId="13488265" w14:textId="77777777" w:rsidR="00C97237" w:rsidRDefault="00000000">
            <w:pPr>
              <w:pStyle w:val="TableParagraph"/>
              <w:spacing w:line="580" w:lineRule="exact"/>
              <w:ind w:right="3"/>
              <w:rPr>
                <w:rFonts w:ascii="仿宋" w:eastAsia="仿宋" w:hAnsi="仿宋" w:cs="仿宋"/>
                <w:sz w:val="32"/>
                <w:szCs w:val="32"/>
              </w:rPr>
            </w:pPr>
            <w:r>
              <w:rPr>
                <w:rFonts w:ascii="仿宋" w:eastAsia="仿宋" w:hAnsi="仿宋" w:cs="仿宋" w:hint="eastAsia"/>
                <w:sz w:val="32"/>
                <w:szCs w:val="32"/>
              </w:rPr>
              <w:t>2022年底，全区每千人拥有医院床位数6.51张，每千常住人口执业（助理）医师数2.86人，每千常住人口执业注册护士数3.4人。二级以上综合医院设老年医学科比例达到50%及以上，三级中医医院设置康复科比例达到100%。</w:t>
            </w:r>
          </w:p>
        </w:tc>
        <w:tc>
          <w:tcPr>
            <w:tcW w:w="1258" w:type="dxa"/>
            <w:vAlign w:val="center"/>
          </w:tcPr>
          <w:p w14:paraId="5FBF2A77" w14:textId="77777777" w:rsidR="00C97237" w:rsidRDefault="00000000">
            <w:pPr>
              <w:pStyle w:val="TableParagraph"/>
              <w:autoSpaceDE w:val="0"/>
              <w:autoSpaceDN w:val="0"/>
              <w:spacing w:line="580" w:lineRule="exact"/>
              <w:jc w:val="center"/>
              <w:rPr>
                <w:rFonts w:ascii="仿宋" w:eastAsia="仿宋" w:hAnsi="仿宋" w:cs="仿宋"/>
                <w:sz w:val="32"/>
                <w:szCs w:val="32"/>
              </w:rPr>
            </w:pPr>
            <w:r>
              <w:rPr>
                <w:rFonts w:ascii="仿宋" w:eastAsia="仿宋" w:hAnsi="仿宋" w:cs="仿宋" w:hint="eastAsia"/>
                <w:sz w:val="32"/>
                <w:szCs w:val="32"/>
              </w:rPr>
              <w:t>无相关对比数据</w:t>
            </w:r>
          </w:p>
        </w:tc>
      </w:tr>
    </w:tbl>
    <w:p w14:paraId="2B682D43" w14:textId="77777777" w:rsidR="00C97237" w:rsidRDefault="00C97237">
      <w:pPr>
        <w:pStyle w:val="2"/>
        <w:keepNext w:val="0"/>
        <w:keepLines w:val="0"/>
        <w:widowControl/>
        <w:shd w:val="clear" w:color="auto" w:fill="FFFFFF"/>
        <w:spacing w:before="75" w:after="375" w:line="580" w:lineRule="exact"/>
        <w:rPr>
          <w:rFonts w:ascii="黑体" w:hAnsi="黑体" w:cs="黑体"/>
          <w:b w:val="0"/>
          <w:sz w:val="44"/>
          <w:szCs w:val="44"/>
          <w:shd w:val="clear" w:color="auto" w:fill="FFFFFF"/>
        </w:rPr>
      </w:pPr>
    </w:p>
    <w:p w14:paraId="569D1B9C" w14:textId="77777777" w:rsidR="00C97237" w:rsidRDefault="00000000">
      <w:pPr>
        <w:pStyle w:val="2"/>
        <w:keepNext w:val="0"/>
        <w:keepLines w:val="0"/>
        <w:widowControl/>
        <w:shd w:val="clear" w:color="auto" w:fill="FFFFFF"/>
        <w:spacing w:before="75" w:after="375" w:line="580" w:lineRule="exact"/>
        <w:jc w:val="left"/>
        <w:rPr>
          <w:rFonts w:ascii="黑体" w:hAnsi="黑体" w:cs="黑体"/>
          <w:b w:val="0"/>
          <w:sz w:val="44"/>
          <w:szCs w:val="44"/>
          <w:shd w:val="clear" w:color="auto" w:fill="FFFFFF"/>
        </w:rPr>
      </w:pPr>
      <w:r>
        <w:rPr>
          <w:rFonts w:ascii="黑体" w:hAnsi="黑体" w:cs="黑体" w:hint="eastAsia"/>
          <w:b w:val="0"/>
          <w:sz w:val="44"/>
          <w:szCs w:val="44"/>
          <w:shd w:val="clear" w:color="auto" w:fill="FFFFFF"/>
        </w:rPr>
        <w:t>附件29</w:t>
      </w:r>
    </w:p>
    <w:p w14:paraId="64391952" w14:textId="77777777" w:rsidR="00C97237" w:rsidRDefault="00000000">
      <w:pPr>
        <w:pStyle w:val="2"/>
        <w:keepNext w:val="0"/>
        <w:keepLines w:val="0"/>
        <w:widowControl/>
        <w:shd w:val="clear" w:color="auto" w:fill="FFFFFF"/>
        <w:spacing w:before="75" w:after="375" w:line="580" w:lineRule="exact"/>
        <w:jc w:val="center"/>
        <w:rPr>
          <w:rFonts w:ascii="黑体" w:hAnsi="黑体" w:cs="黑体"/>
          <w:b w:val="0"/>
          <w:sz w:val="44"/>
          <w:szCs w:val="44"/>
          <w:shd w:val="clear" w:color="auto" w:fill="FFFFFF"/>
        </w:rPr>
      </w:pPr>
      <w:r>
        <w:rPr>
          <w:rFonts w:ascii="黑体" w:hAnsi="黑体" w:cs="黑体" w:hint="eastAsia"/>
          <w:b w:val="0"/>
          <w:sz w:val="44"/>
          <w:szCs w:val="44"/>
          <w:shd w:val="clear" w:color="auto" w:fill="FFFFFF"/>
        </w:rPr>
        <w:t>偃师区城乡养老服务体系建设提升</w:t>
      </w:r>
    </w:p>
    <w:p w14:paraId="7D8D3CF8" w14:textId="77777777" w:rsidR="00C97237" w:rsidRDefault="00000000">
      <w:pPr>
        <w:pStyle w:val="2"/>
        <w:keepNext w:val="0"/>
        <w:keepLines w:val="0"/>
        <w:widowControl/>
        <w:shd w:val="clear" w:color="auto" w:fill="FFFFFF"/>
        <w:spacing w:before="75" w:after="375" w:line="580" w:lineRule="exact"/>
        <w:jc w:val="center"/>
        <w:rPr>
          <w:rFonts w:ascii="黑体" w:hAnsi="黑体" w:cs="黑体"/>
          <w:b w:val="0"/>
          <w:sz w:val="44"/>
          <w:szCs w:val="44"/>
        </w:rPr>
      </w:pPr>
      <w:r>
        <w:rPr>
          <w:rFonts w:ascii="黑体" w:hAnsi="黑体" w:cs="黑体" w:hint="eastAsia"/>
          <w:b w:val="0"/>
          <w:sz w:val="44"/>
          <w:szCs w:val="44"/>
          <w:shd w:val="clear" w:color="auto" w:fill="FFFFFF"/>
        </w:rPr>
        <w:lastRenderedPageBreak/>
        <w:t>行动方案</w:t>
      </w:r>
    </w:p>
    <w:p w14:paraId="2E6902A9" w14:textId="77777777" w:rsidR="00C97237" w:rsidRDefault="00000000">
      <w:pPr>
        <w:widowControl/>
        <w:spacing w:line="580" w:lineRule="exact"/>
        <w:ind w:firstLineChars="200" w:firstLine="640"/>
        <w:jc w:val="left"/>
        <w:rPr>
          <w:rFonts w:ascii="仿宋" w:eastAsia="仿宋" w:hAnsi="仿宋" w:cs="仿宋"/>
          <w:color w:val="666666"/>
          <w:sz w:val="32"/>
          <w:szCs w:val="32"/>
        </w:rPr>
      </w:pPr>
      <w:r>
        <w:rPr>
          <w:rFonts w:ascii="仿宋" w:eastAsia="仿宋" w:hAnsi="仿宋" w:cs="仿宋" w:hint="eastAsia"/>
          <w:color w:val="000000"/>
          <w:kern w:val="0"/>
          <w:sz w:val="32"/>
          <w:szCs w:val="32"/>
          <w:lang w:bidi="ar"/>
        </w:rPr>
        <w:t>为进一步满足我区老年人多层次、多样化的养老服务需求，根据《偃师区人民政府办公室关于印发偃师区居家和社区养老服务改革试点实施方案的通知》和《河南省财政厅 民政厅 人力资源和社会保障厅关于印发关于财政支持城镇社区养老服务体系建设发展的实施意见的通知》文件精神，结合我区实际，制定本方案。</w:t>
      </w:r>
    </w:p>
    <w:p w14:paraId="0D97DDF2" w14:textId="77777777" w:rsidR="00C97237" w:rsidRDefault="00000000">
      <w:pPr>
        <w:pStyle w:val="ab"/>
        <w:widowControl/>
        <w:spacing w:before="0" w:beforeAutospacing="0" w:after="0" w:afterAutospacing="0" w:line="580" w:lineRule="exact"/>
        <w:ind w:firstLineChars="200" w:firstLine="640"/>
        <w:rPr>
          <w:rFonts w:ascii="黑体" w:eastAsia="黑体" w:hAnsi="黑体" w:cs="黑体"/>
          <w:sz w:val="32"/>
          <w:szCs w:val="32"/>
        </w:rPr>
      </w:pPr>
      <w:r>
        <w:rPr>
          <w:rFonts w:ascii="黑体" w:eastAsia="黑体" w:hAnsi="黑体" w:cs="黑体" w:hint="eastAsia"/>
          <w:sz w:val="32"/>
          <w:szCs w:val="32"/>
          <w:shd w:val="clear" w:color="auto" w:fill="FFFFFF"/>
        </w:rPr>
        <w:t>一、指导思想</w:t>
      </w:r>
    </w:p>
    <w:p w14:paraId="162A4A82"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sz w:val="32"/>
          <w:szCs w:val="32"/>
        </w:rPr>
      </w:pPr>
      <w:r>
        <w:rPr>
          <w:rFonts w:ascii="仿宋" w:eastAsia="仿宋" w:hAnsi="仿宋" w:cs="仿宋" w:hint="eastAsia"/>
          <w:color w:val="000000"/>
          <w:kern w:val="0"/>
          <w:sz w:val="32"/>
          <w:szCs w:val="32"/>
          <w:lang w:bidi="ar"/>
        </w:rPr>
        <w:t>认真贯彻落实习近平总书记关于老龄工作重要指示精神和党的十九届五中全会提出的关于健全基本养老服务体系的决 策部署，实施积极应对人口老龄化国家战略，构建以经济困难和亟需照护老年人为重点，以失能照护为主要内容，覆盖 全面、保障适度、普惠均等、质量可靠、权责清晰、共建共享的基本养老服务体系，为推动我区全面建设养老服务体系</w:t>
      </w:r>
      <w:r>
        <w:rPr>
          <w:rFonts w:ascii="仿宋" w:eastAsia="仿宋" w:hAnsi="仿宋" w:cs="仿宋" w:hint="eastAsia"/>
          <w:sz w:val="32"/>
          <w:szCs w:val="32"/>
          <w:shd w:val="clear" w:color="auto" w:fill="FFFFFF"/>
        </w:rPr>
        <w:t>提供有力支撑。</w:t>
      </w:r>
    </w:p>
    <w:p w14:paraId="6F791C8A" w14:textId="77777777" w:rsidR="00C97237" w:rsidRDefault="00000000">
      <w:pPr>
        <w:pStyle w:val="ab"/>
        <w:widowControl/>
        <w:spacing w:before="0" w:beforeAutospacing="0" w:after="0" w:afterAutospacing="0"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二、工作目标</w:t>
      </w:r>
    </w:p>
    <w:p w14:paraId="1448C6A2"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000000"/>
          <w:kern w:val="0"/>
          <w:sz w:val="32"/>
          <w:szCs w:val="32"/>
          <w:lang w:bidi="ar"/>
        </w:rPr>
        <w:t>加快构建</w:t>
      </w:r>
      <w:r>
        <w:rPr>
          <w:rFonts w:ascii="仿宋" w:eastAsia="仿宋" w:hAnsi="仿宋" w:cs="仿宋" w:hint="eastAsia"/>
          <w:sz w:val="32"/>
          <w:szCs w:val="32"/>
          <w:shd w:val="clear" w:color="auto" w:fill="FFFFFF"/>
        </w:rPr>
        <w:t>“五级四类”城乡养老服务体系，实现每个街道有一处综合养老服务中心，每个社区有一处养老服务设施，</w:t>
      </w:r>
      <w:r>
        <w:rPr>
          <w:rFonts w:ascii="仿宋" w:eastAsia="仿宋" w:hAnsi="仿宋" w:cs="仿宋" w:hint="eastAsia"/>
          <w:color w:val="000000"/>
          <w:kern w:val="0"/>
          <w:sz w:val="32"/>
          <w:szCs w:val="32"/>
          <w:lang w:bidi="ar"/>
        </w:rPr>
        <w:t>到 2025 年，基本养老服务政策制度、服务供给、要素支撑、标准规范、综合监管机制基本建立，特困老年人享有兜底性养老服务，经济困难和亟需照护老年人享有基本养老服务，60 岁以上全体老年人享有普惠性养老服务，生活性</w:t>
      </w:r>
      <w:r>
        <w:rPr>
          <w:rFonts w:ascii="仿宋" w:eastAsia="仿宋" w:hAnsi="仿宋" w:cs="仿宋" w:hint="eastAsia"/>
          <w:color w:val="000000"/>
          <w:kern w:val="0"/>
          <w:sz w:val="32"/>
          <w:szCs w:val="32"/>
          <w:lang w:bidi="ar"/>
        </w:rPr>
        <w:lastRenderedPageBreak/>
        <w:t>养老服务高品质发展，城乡基本养老服务设施覆盖率达到100%。</w:t>
      </w:r>
    </w:p>
    <w:p w14:paraId="46F8E8ED" w14:textId="77777777" w:rsidR="00C97237" w:rsidRDefault="00000000">
      <w:pPr>
        <w:pStyle w:val="ab"/>
        <w:widowControl/>
        <w:spacing w:before="0" w:beforeAutospacing="0" w:after="0" w:afterAutospacing="0"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三、重点任务</w:t>
      </w:r>
    </w:p>
    <w:p w14:paraId="560CAF27" w14:textId="77777777" w:rsidR="00C97237" w:rsidRDefault="00000000">
      <w:pPr>
        <w:widowControl/>
        <w:spacing w:line="580" w:lineRule="exact"/>
        <w:ind w:firstLineChars="200" w:firstLine="640"/>
        <w:jc w:val="left"/>
        <w:rPr>
          <w:rFonts w:ascii="仿宋" w:eastAsia="仿宋" w:hAnsi="仿宋" w:cs="仿宋"/>
          <w:color w:val="666666"/>
          <w:sz w:val="32"/>
          <w:szCs w:val="32"/>
        </w:rPr>
      </w:pPr>
      <w:r>
        <w:rPr>
          <w:rFonts w:ascii="仿宋" w:eastAsia="仿宋" w:hAnsi="仿宋" w:cs="仿宋" w:hint="eastAsia"/>
          <w:color w:val="666666"/>
          <w:sz w:val="32"/>
          <w:szCs w:val="32"/>
          <w:shd w:val="clear" w:color="auto" w:fill="FFFFFF"/>
        </w:rPr>
        <w:t>1、</w:t>
      </w:r>
      <w:r>
        <w:rPr>
          <w:rFonts w:ascii="仿宋" w:eastAsia="仿宋" w:hAnsi="仿宋" w:cs="仿宋" w:hint="eastAsia"/>
          <w:color w:val="000000"/>
          <w:kern w:val="0"/>
          <w:sz w:val="32"/>
          <w:szCs w:val="32"/>
          <w:lang w:bidi="ar"/>
        </w:rPr>
        <w:t>加快五级养老服务体系主阵地建设。加快构建以偃师区养老服务中心为管理服务核心，街道综合养老服务中心、社区养老服务中心、居民小区养老服务站为服务阵地，家庭养老床位为服务重点的五级养老服务体系，作为基本养老服务供给的主要阵地。强化市养老服务中心在标准制定、监管和培训等方面职能。</w:t>
      </w:r>
    </w:p>
    <w:p w14:paraId="3FA849F4" w14:textId="77777777" w:rsidR="00C97237" w:rsidRDefault="00000000">
      <w:pPr>
        <w:widowControl/>
        <w:spacing w:line="580" w:lineRule="exact"/>
        <w:ind w:firstLineChars="200" w:firstLine="640"/>
        <w:jc w:val="left"/>
        <w:rPr>
          <w:rFonts w:ascii="仿宋" w:eastAsia="仿宋" w:hAnsi="仿宋" w:cs="仿宋"/>
          <w:sz w:val="32"/>
          <w:szCs w:val="32"/>
        </w:rPr>
      </w:pPr>
      <w:r>
        <w:rPr>
          <w:rFonts w:ascii="仿宋" w:eastAsia="仿宋" w:hAnsi="仿宋" w:cs="仿宋" w:hint="eastAsia"/>
          <w:color w:val="666666"/>
          <w:sz w:val="32"/>
          <w:szCs w:val="32"/>
          <w:shd w:val="clear" w:color="auto" w:fill="FFFFFF"/>
        </w:rPr>
        <w:t>2、</w:t>
      </w:r>
      <w:r>
        <w:rPr>
          <w:rFonts w:ascii="仿宋" w:eastAsia="仿宋" w:hAnsi="仿宋" w:cs="仿宋" w:hint="eastAsia"/>
          <w:color w:val="000000"/>
          <w:kern w:val="0"/>
          <w:sz w:val="32"/>
          <w:szCs w:val="32"/>
          <w:lang w:bidi="ar"/>
        </w:rPr>
        <w:t>坚持“不离土、不离村、不离亲”理念，在农村地区推广 “集中+居家”养老模式，构建“一中心一站两点”养老服务体 系，即在老年人集中养老意愿较强、具备条件的地方，依托乡镇敬老院建设乡镇区域集中养老服务中心，利用闲置土地房产建设集中互助养老服务站、小型集中养老服务点；在老年人居家养老意愿较强、不具备集中养老条件的地方，建设村级居家助老服务点。不断规范管理制度，提高服务能力，推动农村老年人从分散养老到集中养老、从家庭单一养老到多元化养老转变，农村老年人获得感、幸福感、安全感明显提升。</w:t>
      </w:r>
    </w:p>
    <w:p w14:paraId="3629E6DD" w14:textId="77777777" w:rsidR="00C97237" w:rsidRDefault="00000000">
      <w:pPr>
        <w:pStyle w:val="ab"/>
        <w:widowControl/>
        <w:spacing w:before="0" w:beforeAutospacing="0" w:after="0" w:afterAutospacing="0"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四、实施步骤</w:t>
      </w:r>
    </w:p>
    <w:p w14:paraId="008A823B"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1、启动实施。“优化营商环境”是贯穿全年度重点工作之一。养老服务体系各建设单位要根据本工作方案的部署，尽快制定具体实施方案，将每一项重点工作任务项目化，制定时间表、路线图。</w:t>
      </w:r>
    </w:p>
    <w:p w14:paraId="5CB2D205"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lastRenderedPageBreak/>
        <w:t>2、调查摸底。4月30日前，相关责任单位结合年度工作安排和实际情况，将目标任务分解表下达完毕，并在5月15日前上报养老服务体系建设选址统计表。</w:t>
      </w:r>
    </w:p>
    <w:p w14:paraId="532FF9AF"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3、实施建设。四个街道办建成4个综合养老服务中心，38个社区养老服务设施，5月15日至8月30日，各建设相关责任单位按照任务分工，针对养老服务建设体系容易出现的主要问题、进度不理想，标准度不高等原因分析、改进措施建议等方面精准指导，编写质量提升指导意见书，帮助提升质量管控能力。</w:t>
      </w:r>
    </w:p>
    <w:p w14:paraId="728A9B24"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4、总结提高。民政局养老服务科加强跟踪检查，评估养老服务体系建设工作取得的实际效果。各责任单位按年度上报工作总结。</w:t>
      </w:r>
    </w:p>
    <w:p w14:paraId="4A6EBBD9" w14:textId="77777777" w:rsidR="00C97237" w:rsidRDefault="00000000">
      <w:pPr>
        <w:pStyle w:val="ab"/>
        <w:widowControl/>
        <w:spacing w:before="0" w:beforeAutospacing="0" w:after="0" w:afterAutospacing="0" w:line="580" w:lineRule="exact"/>
        <w:ind w:firstLineChars="200" w:firstLine="64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五、保障措施</w:t>
      </w:r>
    </w:p>
    <w:p w14:paraId="152952C5"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1、强化组织领导。成立领导小组，主要领导主抓，其他局领导分工负责，办公室设在养老服务科，办公室要切实发挥牵头作用，各责任单位要全力配合，形成工作合力，确保高质量完成各项目标任务。</w:t>
      </w:r>
    </w:p>
    <w:p w14:paraId="6D59085C"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2、有效创新服务。主动融入养老服务体系建设发展大局，不断创新工作方式和方法，提升养老服务能力和水平，提高服务工作的针对性和有效性。</w:t>
      </w:r>
    </w:p>
    <w:p w14:paraId="0BA2A57D"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t>3、强化督查问责。建立跟踪督办制度，加强对各项重点工作落实情况的动态跟踪和督促检查，对工作落实不到位的，由局督查室牵头，对工作推动不力、不按时完成任务的，按有关规定严格问责。</w:t>
      </w:r>
    </w:p>
    <w:p w14:paraId="79B36DD2" w14:textId="77777777" w:rsidR="00C97237" w:rsidRDefault="00000000">
      <w:pPr>
        <w:pStyle w:val="ab"/>
        <w:widowControl/>
        <w:spacing w:before="0" w:beforeAutospacing="0" w:after="0" w:afterAutospacing="0" w:line="580" w:lineRule="exact"/>
        <w:ind w:firstLineChars="200" w:firstLine="640"/>
        <w:rPr>
          <w:rFonts w:ascii="仿宋" w:eastAsia="仿宋" w:hAnsi="仿宋" w:cs="仿宋"/>
          <w:sz w:val="32"/>
          <w:szCs w:val="32"/>
        </w:rPr>
      </w:pPr>
      <w:r>
        <w:rPr>
          <w:rFonts w:ascii="仿宋" w:eastAsia="仿宋" w:hAnsi="仿宋" w:cs="仿宋" w:hint="eastAsia"/>
          <w:sz w:val="32"/>
          <w:szCs w:val="32"/>
          <w:shd w:val="clear" w:color="auto" w:fill="FFFFFF"/>
        </w:rPr>
        <w:lastRenderedPageBreak/>
        <w:t>4、加强舆论宣传。充分利用网络、微信公众号等媒体，加大“优化营商环境”工作的宣传力度，扩大养老服务体系建设工作的社会影响。各责任单位要把质量提升行动工作情况、经验做法、大案要案形成工作信息，及时报送养老服务科。</w:t>
      </w:r>
    </w:p>
    <w:p w14:paraId="73890114" w14:textId="77777777" w:rsidR="00C97237" w:rsidRDefault="00C97237">
      <w:pPr>
        <w:spacing w:line="580" w:lineRule="exact"/>
        <w:rPr>
          <w:rFonts w:ascii="仿宋" w:eastAsia="仿宋" w:hAnsi="仿宋" w:cs="仿宋"/>
          <w:sz w:val="32"/>
          <w:szCs w:val="32"/>
        </w:rPr>
      </w:pPr>
    </w:p>
    <w:p w14:paraId="69FB5CC4" w14:textId="77777777" w:rsidR="00C97237" w:rsidRDefault="00C97237">
      <w:pPr>
        <w:spacing w:line="580" w:lineRule="exact"/>
        <w:rPr>
          <w:rFonts w:ascii="仿宋" w:eastAsia="仿宋" w:hAnsi="仿宋" w:cs="仿宋"/>
          <w:sz w:val="32"/>
          <w:szCs w:val="32"/>
        </w:rPr>
      </w:pPr>
    </w:p>
    <w:p w14:paraId="6B22B8D2" w14:textId="77777777" w:rsidR="00C97237" w:rsidRDefault="00C97237">
      <w:pPr>
        <w:spacing w:line="580" w:lineRule="exact"/>
        <w:rPr>
          <w:rFonts w:ascii="仿宋" w:eastAsia="仿宋" w:hAnsi="仿宋" w:cs="仿宋"/>
          <w:sz w:val="32"/>
          <w:szCs w:val="32"/>
        </w:rPr>
      </w:pPr>
    </w:p>
    <w:p w14:paraId="2E194687" w14:textId="77777777" w:rsidR="00C97237" w:rsidRDefault="00C97237">
      <w:pPr>
        <w:spacing w:line="580" w:lineRule="exact"/>
        <w:rPr>
          <w:rFonts w:ascii="仿宋" w:eastAsia="仿宋" w:hAnsi="仿宋" w:cs="仿宋"/>
          <w:sz w:val="32"/>
          <w:szCs w:val="32"/>
        </w:rPr>
      </w:pPr>
    </w:p>
    <w:p w14:paraId="1AB374CC" w14:textId="77777777" w:rsidR="00C97237" w:rsidRDefault="00C97237">
      <w:pPr>
        <w:spacing w:line="580" w:lineRule="exact"/>
        <w:rPr>
          <w:rFonts w:ascii="仿宋" w:eastAsia="仿宋" w:hAnsi="仿宋" w:cs="仿宋"/>
          <w:sz w:val="32"/>
          <w:szCs w:val="32"/>
        </w:rPr>
      </w:pPr>
    </w:p>
    <w:p w14:paraId="71948215" w14:textId="77777777" w:rsidR="00C97237" w:rsidRDefault="00C97237">
      <w:pPr>
        <w:spacing w:line="580" w:lineRule="exact"/>
        <w:rPr>
          <w:rFonts w:ascii="仿宋" w:eastAsia="仿宋" w:hAnsi="仿宋" w:cs="仿宋"/>
          <w:sz w:val="32"/>
          <w:szCs w:val="32"/>
        </w:rPr>
      </w:pPr>
    </w:p>
    <w:p w14:paraId="694F66DF" w14:textId="77777777" w:rsidR="00C97237" w:rsidRDefault="00C97237">
      <w:pPr>
        <w:spacing w:line="580" w:lineRule="exact"/>
        <w:rPr>
          <w:rFonts w:ascii="仿宋" w:eastAsia="仿宋" w:hAnsi="仿宋" w:cs="仿宋"/>
          <w:sz w:val="32"/>
          <w:szCs w:val="32"/>
        </w:rPr>
      </w:pPr>
    </w:p>
    <w:p w14:paraId="262A73F9" w14:textId="77777777" w:rsidR="00C97237" w:rsidRDefault="00C97237">
      <w:pPr>
        <w:spacing w:line="580" w:lineRule="exact"/>
        <w:rPr>
          <w:rFonts w:ascii="仿宋" w:eastAsia="仿宋" w:hAnsi="仿宋" w:cs="仿宋"/>
          <w:sz w:val="32"/>
          <w:szCs w:val="32"/>
        </w:rPr>
      </w:pPr>
    </w:p>
    <w:p w14:paraId="45AFCDB5" w14:textId="77777777" w:rsidR="00C97237" w:rsidRDefault="00C97237">
      <w:pPr>
        <w:spacing w:line="580" w:lineRule="exact"/>
        <w:rPr>
          <w:rFonts w:ascii="仿宋" w:eastAsia="仿宋" w:hAnsi="仿宋" w:cs="仿宋"/>
          <w:sz w:val="32"/>
          <w:szCs w:val="32"/>
        </w:rPr>
      </w:pPr>
    </w:p>
    <w:p w14:paraId="04735FB7" w14:textId="77777777" w:rsidR="00C97237" w:rsidRDefault="00C97237">
      <w:pPr>
        <w:spacing w:line="580" w:lineRule="exact"/>
        <w:rPr>
          <w:rFonts w:ascii="仿宋" w:eastAsia="仿宋" w:hAnsi="仿宋" w:cs="仿宋"/>
          <w:sz w:val="32"/>
          <w:szCs w:val="32"/>
        </w:rPr>
      </w:pPr>
    </w:p>
    <w:p w14:paraId="592BA37B" w14:textId="77777777" w:rsidR="00C97237" w:rsidRDefault="00C97237">
      <w:pPr>
        <w:spacing w:line="580" w:lineRule="exact"/>
        <w:rPr>
          <w:rFonts w:ascii="仿宋" w:eastAsia="仿宋" w:hAnsi="仿宋" w:cs="仿宋"/>
          <w:sz w:val="32"/>
          <w:szCs w:val="32"/>
        </w:rPr>
      </w:pPr>
    </w:p>
    <w:p w14:paraId="7A2B81C4" w14:textId="77777777" w:rsidR="00C97237" w:rsidRDefault="00C97237">
      <w:pPr>
        <w:spacing w:line="580" w:lineRule="exact"/>
        <w:rPr>
          <w:rFonts w:ascii="仿宋" w:eastAsia="仿宋" w:hAnsi="仿宋" w:cs="仿宋"/>
          <w:sz w:val="32"/>
          <w:szCs w:val="32"/>
        </w:rPr>
      </w:pPr>
    </w:p>
    <w:p w14:paraId="721E4578" w14:textId="77777777" w:rsidR="00C97237" w:rsidRDefault="00C97237">
      <w:pPr>
        <w:spacing w:line="580" w:lineRule="exact"/>
        <w:rPr>
          <w:rFonts w:ascii="仿宋" w:eastAsia="仿宋" w:hAnsi="仿宋" w:cs="仿宋"/>
          <w:sz w:val="32"/>
          <w:szCs w:val="32"/>
        </w:rPr>
      </w:pPr>
    </w:p>
    <w:p w14:paraId="0E5C03CF" w14:textId="77777777" w:rsidR="00C97237" w:rsidRDefault="00C97237">
      <w:pPr>
        <w:spacing w:line="580" w:lineRule="exact"/>
        <w:rPr>
          <w:rFonts w:ascii="仿宋" w:eastAsia="仿宋" w:hAnsi="仿宋" w:cs="仿宋"/>
          <w:sz w:val="32"/>
          <w:szCs w:val="32"/>
        </w:rPr>
      </w:pPr>
    </w:p>
    <w:p w14:paraId="7B0ACF5F" w14:textId="77777777" w:rsidR="00C97237" w:rsidRDefault="00C97237">
      <w:pPr>
        <w:spacing w:line="580" w:lineRule="exact"/>
        <w:rPr>
          <w:rFonts w:ascii="仿宋" w:eastAsia="仿宋" w:hAnsi="仿宋" w:cs="仿宋"/>
          <w:sz w:val="32"/>
          <w:szCs w:val="32"/>
        </w:rPr>
      </w:pPr>
    </w:p>
    <w:p w14:paraId="68C27209" w14:textId="77777777" w:rsidR="00C97237" w:rsidRDefault="00C97237">
      <w:pPr>
        <w:spacing w:line="580" w:lineRule="exact"/>
        <w:rPr>
          <w:rFonts w:ascii="仿宋" w:eastAsia="仿宋" w:hAnsi="仿宋" w:cs="仿宋"/>
          <w:sz w:val="32"/>
          <w:szCs w:val="32"/>
        </w:rPr>
      </w:pPr>
    </w:p>
    <w:p w14:paraId="069DAD4C" w14:textId="77777777" w:rsidR="00C97237" w:rsidRDefault="00C97237">
      <w:pPr>
        <w:spacing w:line="580" w:lineRule="exact"/>
        <w:rPr>
          <w:rFonts w:ascii="仿宋" w:eastAsia="仿宋" w:hAnsi="仿宋" w:cs="仿宋"/>
          <w:sz w:val="32"/>
          <w:szCs w:val="32"/>
        </w:rPr>
      </w:pPr>
    </w:p>
    <w:p w14:paraId="6A0DF0E8" w14:textId="77777777" w:rsidR="00C97237" w:rsidRDefault="00000000">
      <w:pPr>
        <w:spacing w:line="580" w:lineRule="exact"/>
        <w:jc w:val="left"/>
        <w:rPr>
          <w:rFonts w:ascii="黑体" w:eastAsia="黑体" w:hAnsi="黑体" w:cs="黑体"/>
          <w:sz w:val="44"/>
          <w:szCs w:val="44"/>
        </w:rPr>
      </w:pPr>
      <w:r>
        <w:rPr>
          <w:rFonts w:ascii="黑体" w:eastAsia="黑体" w:hAnsi="黑体" w:cs="黑体" w:hint="eastAsia"/>
          <w:sz w:val="44"/>
          <w:szCs w:val="44"/>
        </w:rPr>
        <w:t>附件30</w:t>
      </w:r>
    </w:p>
    <w:p w14:paraId="33DFEC3E" w14:textId="77777777" w:rsidR="00C97237" w:rsidRDefault="00000000">
      <w:pPr>
        <w:widowControl/>
        <w:spacing w:line="600" w:lineRule="exact"/>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t>偃师区蓝天碧水净土森林覆盖指数提升</w:t>
      </w:r>
    </w:p>
    <w:p w14:paraId="3076D8F2" w14:textId="77777777" w:rsidR="00C97237" w:rsidRDefault="00000000">
      <w:pPr>
        <w:widowControl/>
        <w:spacing w:line="600" w:lineRule="exact"/>
        <w:jc w:val="center"/>
        <w:rPr>
          <w:rFonts w:ascii="方正小标宋_GBK" w:eastAsia="方正小标宋_GBK" w:hAnsi="方正小标宋_GBK" w:cs="方正小标宋_GBK"/>
          <w:color w:val="000000"/>
          <w:kern w:val="0"/>
          <w:sz w:val="44"/>
          <w:szCs w:val="44"/>
          <w:lang w:bidi="ar"/>
        </w:rPr>
      </w:pPr>
      <w:r>
        <w:rPr>
          <w:rFonts w:ascii="方正小标宋_GBK" w:eastAsia="方正小标宋_GBK" w:hAnsi="方正小标宋_GBK" w:cs="方正小标宋_GBK" w:hint="eastAsia"/>
          <w:color w:val="000000"/>
          <w:kern w:val="0"/>
          <w:sz w:val="44"/>
          <w:szCs w:val="44"/>
          <w:lang w:bidi="ar"/>
        </w:rPr>
        <w:lastRenderedPageBreak/>
        <w:t>专项行动方案</w:t>
      </w:r>
    </w:p>
    <w:p w14:paraId="5A6D8E42" w14:textId="77777777" w:rsidR="00C97237" w:rsidRDefault="00C97237">
      <w:pPr>
        <w:pStyle w:val="Default"/>
      </w:pPr>
    </w:p>
    <w:p w14:paraId="37F76BB8" w14:textId="77777777" w:rsidR="00C97237" w:rsidRDefault="00000000">
      <w:pPr>
        <w:widowControl/>
        <w:ind w:firstLineChars="200" w:firstLine="620"/>
        <w:jc w:val="left"/>
      </w:pPr>
      <w:r>
        <w:rPr>
          <w:rFonts w:ascii="仿宋_GB2312" w:eastAsia="仿宋_GB2312" w:hAnsi="宋体" w:cs="仿宋_GB2312"/>
          <w:color w:val="000000"/>
          <w:kern w:val="0"/>
          <w:sz w:val="31"/>
          <w:szCs w:val="31"/>
          <w:lang w:bidi="ar"/>
        </w:rPr>
        <w:t>为持续改善我</w:t>
      </w:r>
      <w:r>
        <w:rPr>
          <w:rFonts w:ascii="仿宋_GB2312" w:eastAsia="仿宋_GB2312" w:hAnsi="宋体" w:cs="仿宋_GB2312" w:hint="eastAsia"/>
          <w:color w:val="000000"/>
          <w:kern w:val="0"/>
          <w:sz w:val="31"/>
          <w:szCs w:val="31"/>
          <w:lang w:bidi="ar"/>
        </w:rPr>
        <w:t>区</w:t>
      </w:r>
      <w:r>
        <w:rPr>
          <w:rFonts w:ascii="仿宋_GB2312" w:eastAsia="仿宋_GB2312" w:hAnsi="宋体" w:cs="仿宋_GB2312"/>
          <w:color w:val="000000"/>
          <w:kern w:val="0"/>
          <w:sz w:val="31"/>
          <w:szCs w:val="31"/>
          <w:lang w:bidi="ar"/>
        </w:rPr>
        <w:t>生态环境质量，持续推进我</w:t>
      </w:r>
      <w:r>
        <w:rPr>
          <w:rFonts w:ascii="仿宋_GB2312" w:eastAsia="仿宋_GB2312" w:hAnsi="宋体" w:cs="仿宋_GB2312" w:hint="eastAsia"/>
          <w:color w:val="000000"/>
          <w:kern w:val="0"/>
          <w:sz w:val="31"/>
          <w:szCs w:val="31"/>
          <w:lang w:bidi="ar"/>
        </w:rPr>
        <w:t>区</w:t>
      </w:r>
      <w:r>
        <w:rPr>
          <w:rFonts w:ascii="仿宋_GB2312" w:eastAsia="仿宋_GB2312" w:hAnsi="宋体" w:cs="仿宋_GB2312"/>
          <w:color w:val="000000"/>
          <w:kern w:val="0"/>
          <w:sz w:val="31"/>
          <w:szCs w:val="31"/>
          <w:lang w:bidi="ar"/>
        </w:rPr>
        <w:t>城乡绿化建</w:t>
      </w:r>
    </w:p>
    <w:p w14:paraId="29EC4158" w14:textId="77777777" w:rsidR="00C97237" w:rsidRDefault="00000000">
      <w:pPr>
        <w:widowControl/>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 xml:space="preserve">设，不断提升蓝天碧水净土森林覆盖指数各项指标，营造全区良好的宜居、宜业营商环境，根据省、市、区营商办有关文件要求，特制定本方案。 </w:t>
      </w:r>
    </w:p>
    <w:p w14:paraId="67939C17" w14:textId="77777777" w:rsidR="00C97237" w:rsidRDefault="00000000">
      <w:pPr>
        <w:widowControl/>
        <w:ind w:firstLineChars="200" w:firstLine="620"/>
        <w:jc w:val="left"/>
      </w:pPr>
      <w:r>
        <w:rPr>
          <w:rFonts w:ascii="黑体" w:eastAsia="黑体" w:hAnsi="宋体" w:cs="黑体" w:hint="eastAsia"/>
          <w:color w:val="000000"/>
          <w:kern w:val="0"/>
          <w:sz w:val="31"/>
          <w:szCs w:val="31"/>
          <w:lang w:bidi="ar"/>
        </w:rPr>
        <w:t xml:space="preserve">一、总体要求 </w:t>
      </w:r>
    </w:p>
    <w:p w14:paraId="24D8175E"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以习近平新时代中国特色社会主义思想为指导，全面贯彻党的十九大和历次全会精神，全面落实习近平总书记视察河南重要讲话精神，落实省委省政府、市委市政府、区委区政府有关要求，坚持问题导向、目标导向、对标一流，推动我区生态环境、城市环境不断改善，增强企业和群众的获得感、满意度，提升区域竞争力和吸引力。</w:t>
      </w:r>
    </w:p>
    <w:p w14:paraId="1105320A" w14:textId="77777777" w:rsidR="00C97237" w:rsidRDefault="00000000">
      <w:pPr>
        <w:widowControl/>
        <w:ind w:firstLineChars="200" w:firstLine="620"/>
        <w:jc w:val="left"/>
      </w:pPr>
      <w:r>
        <w:rPr>
          <w:rFonts w:ascii="黑体" w:eastAsia="黑体" w:hAnsi="宋体" w:cs="黑体" w:hint="eastAsia"/>
          <w:color w:val="000000"/>
          <w:kern w:val="0"/>
          <w:sz w:val="31"/>
          <w:szCs w:val="31"/>
          <w:lang w:bidi="ar"/>
        </w:rPr>
        <w:t xml:space="preserve">二、工作目标 </w:t>
      </w:r>
    </w:p>
    <w:p w14:paraId="0F5D68A7"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蓝天碧水净土森林覆盖指数各项指标持续优化。完成</w:t>
      </w:r>
      <w:r>
        <w:rPr>
          <w:rFonts w:ascii="Times New Roman" w:eastAsia="宋体" w:hAnsi="Times New Roman" w:cs="Times New Roman"/>
          <w:color w:val="000000"/>
          <w:kern w:val="0"/>
          <w:sz w:val="31"/>
          <w:szCs w:val="31"/>
          <w:lang w:bidi="ar"/>
        </w:rPr>
        <w:t>2022</w:t>
      </w:r>
      <w:r>
        <w:rPr>
          <w:rFonts w:ascii="仿宋_GB2312" w:eastAsia="仿宋_GB2312" w:hAnsi="宋体" w:cs="仿宋_GB2312" w:hint="eastAsia"/>
          <w:color w:val="000000"/>
          <w:kern w:val="0"/>
          <w:sz w:val="31"/>
          <w:szCs w:val="31"/>
          <w:lang w:bidi="ar"/>
        </w:rPr>
        <w:t xml:space="preserve">年市定生态环境保护约束性指标，大气、水、土壤环境质量继续改善。 </w:t>
      </w:r>
    </w:p>
    <w:p w14:paraId="0D8478EE" w14:textId="77777777" w:rsidR="00C97237" w:rsidRDefault="00000000">
      <w:pPr>
        <w:widowControl/>
        <w:ind w:firstLineChars="200" w:firstLine="620"/>
        <w:jc w:val="left"/>
      </w:pPr>
      <w:r>
        <w:rPr>
          <w:rFonts w:ascii="黑体" w:eastAsia="黑体" w:hAnsi="宋体" w:cs="黑体" w:hint="eastAsia"/>
          <w:color w:val="000000"/>
          <w:kern w:val="0"/>
          <w:sz w:val="31"/>
          <w:szCs w:val="31"/>
          <w:lang w:bidi="ar"/>
        </w:rPr>
        <w:t xml:space="preserve">三、主要措施 </w:t>
      </w:r>
    </w:p>
    <w:p w14:paraId="2E200706" w14:textId="77777777" w:rsidR="00C97237" w:rsidRDefault="00000000">
      <w:pPr>
        <w:widowControl/>
        <w:ind w:firstLineChars="200" w:firstLine="622"/>
        <w:jc w:val="left"/>
      </w:pPr>
      <w:r>
        <w:rPr>
          <w:rFonts w:ascii="楷体_GB2312" w:eastAsia="楷体_GB2312" w:hAnsi="宋体" w:cs="楷体_GB2312"/>
          <w:b/>
          <w:color w:val="000000"/>
          <w:kern w:val="0"/>
          <w:sz w:val="31"/>
          <w:szCs w:val="31"/>
          <w:lang w:bidi="ar"/>
        </w:rPr>
        <w:t xml:space="preserve">（一）坚决打赢蓝天保卫战 </w:t>
      </w:r>
    </w:p>
    <w:p w14:paraId="1DBA2C60" w14:textId="77777777" w:rsidR="00C97237" w:rsidRDefault="00000000">
      <w:pPr>
        <w:widowControl/>
        <w:ind w:firstLineChars="200" w:firstLine="620"/>
        <w:jc w:val="left"/>
      </w:pPr>
      <w:r>
        <w:rPr>
          <w:rFonts w:ascii="Times New Roman" w:eastAsia="宋体" w:hAnsi="Times New Roman" w:cs="Times New Roman"/>
          <w:color w:val="000000"/>
          <w:kern w:val="0"/>
          <w:sz w:val="31"/>
          <w:szCs w:val="31"/>
          <w:lang w:bidi="ar"/>
        </w:rPr>
        <w:t>1.</w:t>
      </w:r>
      <w:r>
        <w:rPr>
          <w:rFonts w:ascii="仿宋_GB2312" w:eastAsia="仿宋_GB2312" w:hAnsi="宋体" w:cs="仿宋_GB2312" w:hint="eastAsia"/>
          <w:color w:val="000000"/>
          <w:kern w:val="0"/>
          <w:sz w:val="31"/>
          <w:szCs w:val="31"/>
          <w:lang w:bidi="ar"/>
        </w:rPr>
        <w:t xml:space="preserve">以石化、化工、涂装、医药、包装印刷和油品储运销等行业领域为重点，深化 </w:t>
      </w:r>
      <w:r>
        <w:rPr>
          <w:rFonts w:ascii="Times New Roman" w:eastAsia="宋体" w:hAnsi="Times New Roman" w:cs="Times New Roman"/>
          <w:color w:val="000000"/>
          <w:kern w:val="0"/>
          <w:sz w:val="31"/>
          <w:szCs w:val="31"/>
          <w:lang w:bidi="ar"/>
        </w:rPr>
        <w:t>VOC</w:t>
      </w:r>
      <w:r>
        <w:rPr>
          <w:rFonts w:ascii="Times New Roman" w:eastAsia="宋体" w:hAnsi="Times New Roman" w:cs="Times New Roman"/>
          <w:color w:val="000000"/>
          <w:kern w:val="0"/>
          <w:sz w:val="20"/>
          <w:szCs w:val="20"/>
          <w:lang w:bidi="ar"/>
        </w:rPr>
        <w:t xml:space="preserve">S </w:t>
      </w:r>
      <w:r>
        <w:rPr>
          <w:rFonts w:ascii="仿宋_GB2312" w:eastAsia="仿宋_GB2312" w:hAnsi="宋体" w:cs="仿宋_GB2312" w:hint="eastAsia"/>
          <w:color w:val="000000"/>
          <w:kern w:val="0"/>
          <w:sz w:val="31"/>
          <w:szCs w:val="31"/>
          <w:lang w:bidi="ar"/>
        </w:rPr>
        <w:t>综合治理</w:t>
      </w:r>
      <w:r>
        <w:rPr>
          <w:rFonts w:ascii="仿宋_GB2312" w:eastAsia="仿宋_GB2312" w:hAnsi="宋体" w:cs="仿宋_GB2312" w:hint="eastAsia"/>
          <w:color w:val="0000FF"/>
          <w:kern w:val="0"/>
          <w:sz w:val="31"/>
          <w:szCs w:val="31"/>
          <w:lang w:bidi="ar"/>
        </w:rPr>
        <w:t xml:space="preserve">。 </w:t>
      </w:r>
    </w:p>
    <w:p w14:paraId="0A452563"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宋体" w:cs="仿宋_GB2312" w:hint="eastAsia"/>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宋体" w:cs="仿宋_GB2312" w:hint="eastAsia"/>
          <w:color w:val="000000"/>
          <w:kern w:val="0"/>
          <w:sz w:val="31"/>
          <w:szCs w:val="31"/>
          <w:lang w:bidi="ar"/>
        </w:rPr>
        <w:t xml:space="preserve">月 </w:t>
      </w:r>
    </w:p>
    <w:p w14:paraId="19B7F785"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 xml:space="preserve">责任单位：区生态环境局 </w:t>
      </w:r>
    </w:p>
    <w:p w14:paraId="419F77C4" w14:textId="77777777" w:rsidR="00C97237" w:rsidRDefault="00000000">
      <w:pPr>
        <w:widowControl/>
        <w:ind w:firstLineChars="200" w:firstLine="620"/>
        <w:jc w:val="left"/>
      </w:pPr>
      <w:r>
        <w:rPr>
          <w:rFonts w:ascii="Times New Roman" w:eastAsia="宋体" w:hAnsi="Times New Roman" w:cs="Times New Roman"/>
          <w:color w:val="000000"/>
          <w:kern w:val="0"/>
          <w:sz w:val="31"/>
          <w:szCs w:val="31"/>
          <w:lang w:bidi="ar"/>
        </w:rPr>
        <w:lastRenderedPageBreak/>
        <w:t>2.</w:t>
      </w:r>
      <w:r>
        <w:rPr>
          <w:rFonts w:ascii="仿宋_GB2312" w:eastAsia="仿宋_GB2312" w:hAnsi="宋体" w:cs="仿宋_GB2312" w:hint="eastAsia"/>
          <w:color w:val="000000"/>
          <w:kern w:val="0"/>
          <w:sz w:val="31"/>
          <w:szCs w:val="31"/>
          <w:lang w:bidi="ar"/>
        </w:rPr>
        <w:t xml:space="preserve">严格扬尘污染管控、秸秆禁烧和烟花爆竹禁放管理。 </w:t>
      </w:r>
    </w:p>
    <w:p w14:paraId="1DC27ADD"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宋体" w:cs="仿宋_GB2312" w:hint="eastAsia"/>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宋体" w:cs="仿宋_GB2312" w:hint="eastAsia"/>
          <w:color w:val="000000"/>
          <w:kern w:val="0"/>
          <w:sz w:val="31"/>
          <w:szCs w:val="31"/>
          <w:lang w:bidi="ar"/>
        </w:rPr>
        <w:t xml:space="preserve">月 </w:t>
      </w:r>
    </w:p>
    <w:p w14:paraId="48F02FE6"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责任单位：区住建局、区农业农村局、区公安局按职责分工负责</w:t>
      </w:r>
    </w:p>
    <w:p w14:paraId="416A6C90" w14:textId="77777777" w:rsidR="00C97237" w:rsidRDefault="00000000">
      <w:pPr>
        <w:widowControl/>
        <w:ind w:firstLineChars="200" w:firstLine="620"/>
        <w:jc w:val="left"/>
      </w:pPr>
      <w:r>
        <w:rPr>
          <w:rFonts w:ascii="Times New Roman" w:eastAsia="宋体" w:hAnsi="Times New Roman" w:cs="Times New Roman"/>
          <w:kern w:val="0"/>
          <w:sz w:val="31"/>
          <w:szCs w:val="31"/>
          <w:lang w:bidi="ar"/>
        </w:rPr>
        <w:t>3.</w:t>
      </w:r>
      <w:r>
        <w:rPr>
          <w:rFonts w:ascii="仿宋_GB2312" w:eastAsia="仿宋_GB2312" w:hAnsi="宋体" w:cs="仿宋_GB2312" w:hint="eastAsia"/>
          <w:kern w:val="0"/>
          <w:sz w:val="31"/>
          <w:szCs w:val="31"/>
          <w:lang w:bidi="ar"/>
        </w:rPr>
        <w:t>深入推进碳达峰行动，控制重点领域二氧化碳排放，按照上级部署推进</w:t>
      </w:r>
      <w:r>
        <w:rPr>
          <w:rFonts w:ascii="Times New Roman" w:eastAsia="宋体" w:hAnsi="Times New Roman" w:cs="Times New Roman"/>
          <w:kern w:val="0"/>
          <w:sz w:val="31"/>
          <w:szCs w:val="31"/>
          <w:lang w:bidi="ar"/>
        </w:rPr>
        <w:t>“</w:t>
      </w:r>
      <w:r>
        <w:rPr>
          <w:rFonts w:ascii="仿宋_GB2312" w:eastAsia="仿宋_GB2312" w:hAnsi="宋体" w:cs="仿宋_GB2312" w:hint="eastAsia"/>
          <w:kern w:val="0"/>
          <w:sz w:val="31"/>
          <w:szCs w:val="31"/>
          <w:lang w:bidi="ar"/>
        </w:rPr>
        <w:t>十四五</w:t>
      </w:r>
      <w:r>
        <w:rPr>
          <w:rFonts w:ascii="Times New Roman" w:eastAsia="宋体" w:hAnsi="Times New Roman" w:cs="Times New Roman"/>
          <w:kern w:val="0"/>
          <w:sz w:val="31"/>
          <w:szCs w:val="31"/>
          <w:lang w:bidi="ar"/>
        </w:rPr>
        <w:t>”</w:t>
      </w:r>
      <w:r>
        <w:rPr>
          <w:rFonts w:ascii="仿宋_GB2312" w:eastAsia="仿宋_GB2312" w:hAnsi="宋体" w:cs="仿宋_GB2312" w:hint="eastAsia"/>
          <w:kern w:val="0"/>
          <w:sz w:val="31"/>
          <w:szCs w:val="31"/>
          <w:lang w:bidi="ar"/>
        </w:rPr>
        <w:t>应对气候变化专项规划编制，推进低碳试点建设。</w:t>
      </w:r>
    </w:p>
    <w:p w14:paraId="2AD39A45"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宋体" w:cs="仿宋_GB2312" w:hint="eastAsia"/>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宋体" w:cs="仿宋_GB2312" w:hint="eastAsia"/>
          <w:color w:val="000000"/>
          <w:kern w:val="0"/>
          <w:sz w:val="31"/>
          <w:szCs w:val="31"/>
          <w:lang w:bidi="ar"/>
        </w:rPr>
        <w:t xml:space="preserve">月 </w:t>
      </w:r>
    </w:p>
    <w:p w14:paraId="12D20743"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 xml:space="preserve">责任单位：区发展改革委、区生态环境局按职责分工负责 </w:t>
      </w:r>
    </w:p>
    <w:p w14:paraId="1E6D3FAD" w14:textId="77777777" w:rsidR="00C97237" w:rsidRDefault="00000000">
      <w:pPr>
        <w:widowControl/>
        <w:ind w:firstLineChars="200" w:firstLine="622"/>
        <w:jc w:val="left"/>
      </w:pPr>
      <w:r>
        <w:rPr>
          <w:rFonts w:ascii="楷体_GB2312" w:eastAsia="楷体_GB2312" w:hAnsi="宋体" w:cs="楷体_GB2312" w:hint="eastAsia"/>
          <w:b/>
          <w:color w:val="000000"/>
          <w:kern w:val="0"/>
          <w:sz w:val="31"/>
          <w:szCs w:val="31"/>
          <w:lang w:bidi="ar"/>
        </w:rPr>
        <w:t xml:space="preserve">（二）着力打好碧水保卫战 </w:t>
      </w:r>
    </w:p>
    <w:p w14:paraId="60309B60" w14:textId="77777777" w:rsidR="00C97237" w:rsidRDefault="00000000">
      <w:pPr>
        <w:overflowPunct w:val="0"/>
        <w:adjustRightInd w:val="0"/>
        <w:snapToGrid w:val="0"/>
        <w:spacing w:line="592" w:lineRule="exact"/>
        <w:ind w:firstLineChars="200" w:firstLine="620"/>
        <w:rPr>
          <w:rFonts w:ascii="仿宋_GB2312" w:eastAsia="仿宋_GB2312" w:hAnsi="宋体" w:cs="仿宋_GB2312"/>
          <w:color w:val="0000FF"/>
          <w:kern w:val="0"/>
          <w:sz w:val="31"/>
          <w:szCs w:val="31"/>
          <w:lang w:bidi="ar"/>
        </w:rPr>
      </w:pPr>
      <w:r>
        <w:rPr>
          <w:rFonts w:ascii="Times New Roman" w:eastAsia="宋体" w:hAnsi="Times New Roman" w:cs="Times New Roman"/>
          <w:color w:val="000000"/>
          <w:kern w:val="0"/>
          <w:sz w:val="31"/>
          <w:szCs w:val="31"/>
          <w:lang w:bidi="ar"/>
        </w:rPr>
        <w:t>1.</w:t>
      </w:r>
      <w:r>
        <w:rPr>
          <w:rFonts w:ascii="仿宋_GB2312" w:eastAsia="仿宋_GB2312" w:hAnsi="宋体" w:cs="仿宋_GB2312"/>
          <w:color w:val="000000"/>
          <w:kern w:val="0"/>
          <w:sz w:val="31"/>
          <w:szCs w:val="31"/>
          <w:lang w:bidi="ar"/>
        </w:rPr>
        <w:t>以伊河岳滩断面和伊、洛河为重点，以</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color w:val="000000"/>
          <w:kern w:val="0"/>
          <w:sz w:val="31"/>
          <w:szCs w:val="31"/>
          <w:lang w:bidi="ar"/>
        </w:rPr>
        <w:t>一河一策</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color w:val="000000"/>
          <w:kern w:val="0"/>
          <w:sz w:val="31"/>
          <w:szCs w:val="31"/>
          <w:lang w:bidi="ar"/>
        </w:rPr>
        <w:t>为抓手，加大资金投入，持续开展河道综合治理，推动美丽河流建设与保护，积极参与国家</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color w:val="000000"/>
          <w:kern w:val="0"/>
          <w:sz w:val="31"/>
          <w:szCs w:val="31"/>
          <w:lang w:bidi="ar"/>
        </w:rPr>
        <w:t>美丽河湖</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color w:val="000000"/>
          <w:kern w:val="0"/>
          <w:sz w:val="31"/>
          <w:szCs w:val="31"/>
          <w:lang w:bidi="ar"/>
        </w:rPr>
        <w:t>优秀案例征集活动，以建促治，努力改善提升河畅、水清、岸绿、景美的河流环境，实现</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color w:val="000000"/>
          <w:kern w:val="0"/>
          <w:sz w:val="31"/>
          <w:szCs w:val="31"/>
          <w:lang w:bidi="ar"/>
        </w:rPr>
        <w:t>清水绿岸、鱼翔浅底、人水和谐</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color w:val="000000"/>
          <w:kern w:val="0"/>
          <w:sz w:val="31"/>
          <w:szCs w:val="31"/>
          <w:lang w:bidi="ar"/>
        </w:rPr>
        <w:t>美好愿景。</w:t>
      </w:r>
    </w:p>
    <w:p w14:paraId="43C58F50"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宋体" w:cs="仿宋_GB2312" w:hint="eastAsia"/>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宋体" w:cs="仿宋_GB2312" w:hint="eastAsia"/>
          <w:color w:val="000000"/>
          <w:kern w:val="0"/>
          <w:sz w:val="31"/>
          <w:szCs w:val="31"/>
          <w:lang w:bidi="ar"/>
        </w:rPr>
        <w:t xml:space="preserve">月 </w:t>
      </w:r>
    </w:p>
    <w:p w14:paraId="0D17B6F3" w14:textId="77777777" w:rsidR="00C97237" w:rsidRDefault="00000000">
      <w:pPr>
        <w:overflowPunct w:val="0"/>
        <w:adjustRightInd w:val="0"/>
        <w:snapToGrid w:val="0"/>
        <w:spacing w:line="592" w:lineRule="exact"/>
        <w:ind w:firstLineChars="200" w:firstLine="620"/>
      </w:pPr>
      <w:r>
        <w:rPr>
          <w:rFonts w:ascii="仿宋_GB2312" w:eastAsia="仿宋_GB2312" w:hAnsi="宋体" w:cs="仿宋_GB2312" w:hint="eastAsia"/>
          <w:color w:val="000000"/>
          <w:kern w:val="0"/>
          <w:sz w:val="31"/>
          <w:szCs w:val="31"/>
          <w:lang w:bidi="ar"/>
        </w:rPr>
        <w:t>责任单位：区生态环境局、区水利局、区</w:t>
      </w:r>
      <w:r>
        <w:rPr>
          <w:rFonts w:ascii="仿宋_GB2312" w:eastAsia="仿宋_GB2312" w:hAnsi="宋体" w:cs="仿宋_GB2312"/>
          <w:color w:val="000000"/>
          <w:kern w:val="0"/>
          <w:sz w:val="31"/>
          <w:szCs w:val="31"/>
          <w:lang w:bidi="ar"/>
        </w:rPr>
        <w:t>城</w:t>
      </w:r>
      <w:r>
        <w:rPr>
          <w:rFonts w:ascii="仿宋_GB2312" w:eastAsia="仿宋_GB2312" w:hAnsi="宋体" w:cs="仿宋_GB2312" w:hint="eastAsia"/>
          <w:color w:val="000000"/>
          <w:kern w:val="0"/>
          <w:sz w:val="31"/>
          <w:szCs w:val="31"/>
          <w:lang w:bidi="ar"/>
        </w:rPr>
        <w:t>区</w:t>
      </w:r>
      <w:r>
        <w:rPr>
          <w:rFonts w:ascii="仿宋_GB2312" w:eastAsia="仿宋_GB2312" w:hAnsi="宋体" w:cs="仿宋_GB2312"/>
          <w:color w:val="000000"/>
          <w:kern w:val="0"/>
          <w:sz w:val="31"/>
          <w:szCs w:val="31"/>
          <w:lang w:bidi="ar"/>
        </w:rPr>
        <w:t>管理局</w:t>
      </w:r>
      <w:r>
        <w:rPr>
          <w:rFonts w:ascii="仿宋_GB2312" w:eastAsia="仿宋_GB2312" w:hAnsi="宋体" w:cs="仿宋_GB2312" w:hint="eastAsia"/>
          <w:color w:val="000000"/>
          <w:kern w:val="0"/>
          <w:sz w:val="31"/>
          <w:szCs w:val="31"/>
          <w:lang w:bidi="ar"/>
        </w:rPr>
        <w:t>按职责分工负责</w:t>
      </w:r>
    </w:p>
    <w:p w14:paraId="61D2354F" w14:textId="77777777" w:rsidR="00C97237" w:rsidRDefault="00000000">
      <w:pPr>
        <w:overflowPunct w:val="0"/>
        <w:adjustRightInd w:val="0"/>
        <w:snapToGrid w:val="0"/>
        <w:spacing w:line="592" w:lineRule="exact"/>
        <w:ind w:firstLineChars="200" w:firstLine="620"/>
        <w:rPr>
          <w:rFonts w:ascii="Times New Roman" w:eastAsia="宋体" w:hAnsi="Times New Roman" w:cs="Times New Roman"/>
          <w:color w:val="000000"/>
          <w:kern w:val="0"/>
          <w:sz w:val="31"/>
          <w:szCs w:val="31"/>
          <w:lang w:bidi="ar"/>
        </w:rPr>
      </w:pPr>
      <w:r>
        <w:rPr>
          <w:rFonts w:ascii="Times New Roman" w:eastAsia="宋体" w:hAnsi="Times New Roman" w:cs="Times New Roman"/>
          <w:color w:val="000000"/>
          <w:kern w:val="0"/>
          <w:sz w:val="31"/>
          <w:szCs w:val="31"/>
          <w:lang w:bidi="ar"/>
        </w:rPr>
        <w:t>2.</w:t>
      </w:r>
      <w:r>
        <w:rPr>
          <w:rFonts w:ascii="仿宋_GB2312" w:eastAsia="仿宋_GB2312" w:hAnsi="宋体" w:cs="仿宋_GB2312"/>
          <w:color w:val="000000"/>
          <w:kern w:val="0"/>
          <w:sz w:val="31"/>
          <w:szCs w:val="31"/>
          <w:lang w:bidi="ar"/>
        </w:rPr>
        <w:t>补齐医疗机构污水处理设施短板。开展医疗机构污水处理设施排查整治，对尚未配置污水处理设施及现有处理设施能力不足的医疗机构，要结合医院发展规划，合理确定新建、改扩建污水处理设施。2022年年底前，二级及以上医疗机构完成</w:t>
      </w:r>
      <w:r>
        <w:rPr>
          <w:rFonts w:ascii="仿宋_GB2312" w:eastAsia="仿宋_GB2312" w:hAnsi="宋体" w:cs="仿宋_GB2312"/>
          <w:color w:val="000000"/>
          <w:kern w:val="0"/>
          <w:sz w:val="31"/>
          <w:szCs w:val="31"/>
          <w:lang w:bidi="ar"/>
        </w:rPr>
        <w:lastRenderedPageBreak/>
        <w:t>建设改造任务。</w:t>
      </w:r>
    </w:p>
    <w:p w14:paraId="5853F7E8"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宋体" w:cs="仿宋_GB2312" w:hint="eastAsia"/>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宋体" w:cs="仿宋_GB2312" w:hint="eastAsia"/>
          <w:color w:val="000000"/>
          <w:kern w:val="0"/>
          <w:sz w:val="31"/>
          <w:szCs w:val="31"/>
          <w:lang w:bidi="ar"/>
        </w:rPr>
        <w:t xml:space="preserve">月 </w:t>
      </w:r>
    </w:p>
    <w:p w14:paraId="285A61D0"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 xml:space="preserve">责任单位：区生态环境局、区卫健委按职责分工负责 </w:t>
      </w:r>
    </w:p>
    <w:p w14:paraId="2E673CEF" w14:textId="77777777" w:rsidR="00C97237" w:rsidRDefault="00000000">
      <w:pPr>
        <w:adjustRightInd w:val="0"/>
        <w:snapToGrid w:val="0"/>
        <w:spacing w:line="560" w:lineRule="exact"/>
        <w:ind w:firstLineChars="200" w:firstLine="620"/>
        <w:rPr>
          <w:rFonts w:ascii="Times New Roman" w:eastAsia="宋体" w:hAnsi="Times New Roman" w:cs="Times New Roman"/>
          <w:color w:val="000000"/>
          <w:kern w:val="0"/>
          <w:sz w:val="31"/>
          <w:szCs w:val="31"/>
          <w:lang w:bidi="ar"/>
        </w:rPr>
      </w:pPr>
      <w:r>
        <w:rPr>
          <w:rFonts w:ascii="Times New Roman" w:eastAsia="宋体" w:hAnsi="Times New Roman" w:cs="Times New Roman"/>
          <w:color w:val="000000"/>
          <w:kern w:val="0"/>
          <w:sz w:val="31"/>
          <w:szCs w:val="31"/>
          <w:lang w:bidi="ar"/>
        </w:rPr>
        <w:t>3.</w:t>
      </w:r>
      <w:r>
        <w:rPr>
          <w:rFonts w:ascii="仿宋_GB2312" w:eastAsia="仿宋_GB2312" w:hAnsi="宋体" w:cs="仿宋_GB2312"/>
          <w:color w:val="000000"/>
          <w:kern w:val="0"/>
          <w:sz w:val="31"/>
          <w:szCs w:val="31"/>
          <w:lang w:bidi="ar"/>
        </w:rPr>
        <w:t>完善跨部门、跨区域水生态环境保护执法联动机制</w:t>
      </w:r>
      <w:r>
        <w:rPr>
          <w:rFonts w:ascii="仿宋_GB2312" w:eastAsia="仿宋_GB2312" w:hAnsi="宋体" w:cs="仿宋_GB2312" w:hint="eastAsia"/>
          <w:color w:val="000000"/>
          <w:kern w:val="0"/>
          <w:sz w:val="31"/>
          <w:szCs w:val="31"/>
          <w:lang w:bidi="ar"/>
        </w:rPr>
        <w:t>，</w:t>
      </w:r>
      <w:r>
        <w:rPr>
          <w:rFonts w:ascii="仿宋_GB2312" w:eastAsia="仿宋_GB2312" w:hAnsi="宋体" w:cs="仿宋_GB2312"/>
          <w:color w:val="000000"/>
          <w:kern w:val="0"/>
          <w:sz w:val="31"/>
          <w:szCs w:val="31"/>
          <w:lang w:bidi="ar"/>
        </w:rPr>
        <w:t>开展城镇（工业）污水处理厂专项执法检查，依法查处超标排污、偷排偷放、伪造或篡改监测数据和不正常运行污染防治设施等违法行为。</w:t>
      </w:r>
    </w:p>
    <w:p w14:paraId="49996488"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宋体" w:cs="仿宋_GB2312" w:hint="eastAsia"/>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宋体" w:cs="仿宋_GB2312" w:hint="eastAsia"/>
          <w:color w:val="000000"/>
          <w:kern w:val="0"/>
          <w:sz w:val="31"/>
          <w:szCs w:val="31"/>
          <w:lang w:bidi="ar"/>
        </w:rPr>
        <w:t xml:space="preserve">月 </w:t>
      </w:r>
    </w:p>
    <w:p w14:paraId="1CB288BB"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 xml:space="preserve">责任单位：区生态环境局、区城市管理局按职责分工负责 </w:t>
      </w:r>
    </w:p>
    <w:p w14:paraId="083420D0" w14:textId="77777777" w:rsidR="00C97237" w:rsidRDefault="00000000">
      <w:pPr>
        <w:widowControl/>
        <w:ind w:firstLineChars="200" w:firstLine="622"/>
        <w:jc w:val="left"/>
      </w:pPr>
      <w:r>
        <w:rPr>
          <w:rFonts w:ascii="楷体_GB2312" w:eastAsia="楷体_GB2312" w:hAnsi="宋体" w:cs="楷体_GB2312" w:hint="eastAsia"/>
          <w:b/>
          <w:color w:val="000000"/>
          <w:kern w:val="0"/>
          <w:sz w:val="31"/>
          <w:szCs w:val="31"/>
          <w:lang w:bidi="ar"/>
        </w:rPr>
        <w:t xml:space="preserve">（三）稳步开展净土保卫战 </w:t>
      </w:r>
    </w:p>
    <w:p w14:paraId="52DB8BDA" w14:textId="77777777" w:rsidR="00C97237" w:rsidRDefault="00000000">
      <w:pPr>
        <w:widowControl/>
        <w:ind w:firstLineChars="200" w:firstLine="620"/>
        <w:jc w:val="left"/>
      </w:pPr>
      <w:r>
        <w:rPr>
          <w:rFonts w:ascii="Times New Roman" w:eastAsia="宋体" w:hAnsi="Times New Roman" w:cs="Times New Roman"/>
          <w:color w:val="000000"/>
          <w:kern w:val="0"/>
          <w:sz w:val="31"/>
          <w:szCs w:val="31"/>
          <w:lang w:bidi="ar"/>
        </w:rPr>
        <w:t>1.</w:t>
      </w:r>
      <w:r>
        <w:rPr>
          <w:rFonts w:ascii="仿宋_GB2312" w:eastAsia="仿宋_GB2312" w:hAnsi="宋体" w:cs="仿宋_GB2312" w:hint="eastAsia"/>
          <w:color w:val="000000"/>
          <w:kern w:val="0"/>
          <w:sz w:val="31"/>
          <w:szCs w:val="31"/>
          <w:lang w:bidi="ar"/>
        </w:rPr>
        <w:t xml:space="preserve">巩固农用地安全利用成效，严格建设用地准入管理，落实土壤污染风险管控和修复名录制度。 </w:t>
      </w:r>
    </w:p>
    <w:p w14:paraId="4B90FE31"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宋体" w:cs="仿宋_GB2312" w:hint="eastAsia"/>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宋体" w:cs="仿宋_GB2312" w:hint="eastAsia"/>
          <w:color w:val="000000"/>
          <w:kern w:val="0"/>
          <w:sz w:val="31"/>
          <w:szCs w:val="31"/>
          <w:lang w:bidi="ar"/>
        </w:rPr>
        <w:t xml:space="preserve">月 </w:t>
      </w:r>
    </w:p>
    <w:p w14:paraId="14746908"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 xml:space="preserve">责任单位：区农业农村局、市自然资源和规划局偃师分局、区生态环境局按职责分工负责 </w:t>
      </w:r>
    </w:p>
    <w:p w14:paraId="50EE1978" w14:textId="77777777" w:rsidR="00C97237" w:rsidRDefault="00000000">
      <w:pPr>
        <w:widowControl/>
        <w:ind w:firstLineChars="200" w:firstLine="620"/>
        <w:jc w:val="left"/>
      </w:pPr>
      <w:r>
        <w:rPr>
          <w:rFonts w:ascii="Times New Roman" w:eastAsia="宋体" w:hAnsi="Times New Roman" w:cs="Times New Roman"/>
          <w:color w:val="000000"/>
          <w:kern w:val="0"/>
          <w:sz w:val="31"/>
          <w:szCs w:val="31"/>
          <w:lang w:bidi="ar"/>
        </w:rPr>
        <w:t>2.</w:t>
      </w:r>
      <w:r>
        <w:rPr>
          <w:rFonts w:ascii="仿宋_GB2312" w:eastAsia="仿宋_GB2312" w:hAnsi="宋体" w:cs="仿宋_GB2312" w:hint="eastAsia"/>
          <w:color w:val="000000"/>
          <w:kern w:val="0"/>
          <w:sz w:val="31"/>
          <w:szCs w:val="31"/>
          <w:lang w:bidi="ar"/>
        </w:rPr>
        <w:t>科学治理农村生活污水、稳步整治农村黑臭水体，不断提升农村环境综合整治成效，确保</w:t>
      </w:r>
      <w:r>
        <w:rPr>
          <w:rFonts w:ascii="仿宋_GB2312" w:eastAsia="仿宋_GB2312" w:hAnsi="宋体" w:cs="仿宋_GB2312"/>
          <w:color w:val="000000"/>
          <w:kern w:val="0"/>
          <w:sz w:val="31"/>
          <w:szCs w:val="31"/>
          <w:lang w:bidi="ar"/>
        </w:rPr>
        <w:t>2022年底前，新增完成农村环境整治行政村9个。</w:t>
      </w:r>
      <w:r>
        <w:rPr>
          <w:rFonts w:ascii="仿宋_GB2312" w:eastAsia="仿宋_GB2312" w:hAnsi="宋体" w:cs="仿宋_GB2312" w:hint="eastAsia"/>
          <w:color w:val="0000FF"/>
          <w:kern w:val="0"/>
          <w:sz w:val="31"/>
          <w:szCs w:val="31"/>
          <w:lang w:bidi="ar"/>
        </w:rPr>
        <w:t xml:space="preserve"> </w:t>
      </w:r>
    </w:p>
    <w:p w14:paraId="5953E7F5"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宋体" w:cs="仿宋_GB2312" w:hint="eastAsia"/>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宋体" w:cs="仿宋_GB2312" w:hint="eastAsia"/>
          <w:color w:val="000000"/>
          <w:kern w:val="0"/>
          <w:sz w:val="31"/>
          <w:szCs w:val="31"/>
          <w:lang w:bidi="ar"/>
        </w:rPr>
        <w:t xml:space="preserve">月 </w:t>
      </w:r>
    </w:p>
    <w:p w14:paraId="02F69A45"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 xml:space="preserve">责任单位：区生态环境局、区农业农村局、区水利局、区域住建局按职责分工负责 </w:t>
      </w:r>
    </w:p>
    <w:p w14:paraId="4988EAA2" w14:textId="77777777" w:rsidR="00C97237" w:rsidRDefault="00000000">
      <w:pPr>
        <w:widowControl/>
        <w:ind w:firstLineChars="200" w:firstLine="620"/>
        <w:jc w:val="left"/>
      </w:pPr>
      <w:r>
        <w:rPr>
          <w:rFonts w:ascii="Times New Roman" w:eastAsia="宋体" w:hAnsi="Times New Roman" w:cs="Times New Roman"/>
          <w:color w:val="000000"/>
          <w:kern w:val="0"/>
          <w:sz w:val="31"/>
          <w:szCs w:val="31"/>
          <w:lang w:bidi="ar"/>
        </w:rPr>
        <w:t>3.</w:t>
      </w:r>
      <w:r>
        <w:rPr>
          <w:rFonts w:ascii="仿宋_GB2312" w:eastAsia="仿宋_GB2312" w:hAnsi="宋体" w:cs="仿宋_GB2312" w:hint="eastAsia"/>
          <w:color w:val="000000"/>
          <w:kern w:val="0"/>
          <w:sz w:val="31"/>
          <w:szCs w:val="31"/>
          <w:lang w:bidi="ar"/>
        </w:rPr>
        <w:t xml:space="preserve">开展地下水环境状况调查，加强地下水污染源头预防，强化地下水污染风险管控。 </w:t>
      </w:r>
    </w:p>
    <w:p w14:paraId="249E3115"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lastRenderedPageBreak/>
        <w:t>时间节点：</w:t>
      </w:r>
      <w:r>
        <w:rPr>
          <w:rFonts w:ascii="Times New Roman" w:eastAsia="宋体" w:hAnsi="Times New Roman" w:cs="Times New Roman"/>
          <w:color w:val="000000"/>
          <w:kern w:val="0"/>
          <w:sz w:val="31"/>
          <w:szCs w:val="31"/>
          <w:lang w:bidi="ar"/>
        </w:rPr>
        <w:t xml:space="preserve">2022 </w:t>
      </w:r>
      <w:r>
        <w:rPr>
          <w:rFonts w:ascii="仿宋_GB2312" w:eastAsia="仿宋_GB2312" w:hAnsi="宋体" w:cs="仿宋_GB2312" w:hint="eastAsia"/>
          <w:color w:val="000000"/>
          <w:kern w:val="0"/>
          <w:sz w:val="31"/>
          <w:szCs w:val="31"/>
          <w:lang w:bidi="ar"/>
        </w:rPr>
        <w:t xml:space="preserve">年 </w:t>
      </w:r>
      <w:r>
        <w:rPr>
          <w:rFonts w:ascii="Times New Roman" w:eastAsia="宋体" w:hAnsi="Times New Roman" w:cs="Times New Roman"/>
          <w:color w:val="000000"/>
          <w:kern w:val="0"/>
          <w:sz w:val="31"/>
          <w:szCs w:val="31"/>
          <w:lang w:bidi="ar"/>
        </w:rPr>
        <w:t xml:space="preserve">12 </w:t>
      </w:r>
      <w:r>
        <w:rPr>
          <w:rFonts w:ascii="仿宋_GB2312" w:eastAsia="仿宋_GB2312" w:hAnsi="宋体" w:cs="仿宋_GB2312" w:hint="eastAsia"/>
          <w:color w:val="000000"/>
          <w:kern w:val="0"/>
          <w:sz w:val="31"/>
          <w:szCs w:val="31"/>
          <w:lang w:bidi="ar"/>
        </w:rPr>
        <w:t xml:space="preserve">月 </w:t>
      </w:r>
    </w:p>
    <w:p w14:paraId="63CDB025"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 xml:space="preserve">责任单位：区生态环境局、区水利局按职责分工负责 </w:t>
      </w:r>
    </w:p>
    <w:p w14:paraId="64EB5A26" w14:textId="77777777" w:rsidR="00C97237" w:rsidRDefault="00000000">
      <w:pPr>
        <w:widowControl/>
        <w:ind w:firstLineChars="200" w:firstLine="622"/>
        <w:jc w:val="left"/>
      </w:pPr>
      <w:r>
        <w:rPr>
          <w:rFonts w:ascii="楷体_GB2312" w:eastAsia="楷体_GB2312" w:hAnsi="宋体" w:cs="楷体_GB2312" w:hint="eastAsia"/>
          <w:b/>
          <w:kern w:val="0"/>
          <w:sz w:val="31"/>
          <w:szCs w:val="31"/>
          <w:lang w:bidi="ar"/>
        </w:rPr>
        <w:t xml:space="preserve">（四）持续推进城乡绿化建设 </w:t>
      </w:r>
    </w:p>
    <w:p w14:paraId="33EE546C" w14:textId="77777777" w:rsidR="00C97237" w:rsidRDefault="00000000">
      <w:pPr>
        <w:widowControl/>
        <w:ind w:firstLineChars="200" w:firstLine="620"/>
        <w:jc w:val="left"/>
        <w:rPr>
          <w:color w:val="0000FF"/>
        </w:rPr>
      </w:pPr>
      <w:r>
        <w:rPr>
          <w:rFonts w:ascii="Times New Roman" w:eastAsia="宋体" w:hAnsi="Times New Roman" w:cs="Times New Roman"/>
          <w:kern w:val="0"/>
          <w:sz w:val="31"/>
          <w:szCs w:val="31"/>
          <w:lang w:bidi="ar"/>
        </w:rPr>
        <w:t>1.</w:t>
      </w:r>
      <w:r>
        <w:rPr>
          <w:rFonts w:ascii="仿宋_GB2312" w:eastAsia="仿宋_GB2312" w:hAnsi="宋体" w:cs="仿宋_GB2312" w:hint="eastAsia"/>
          <w:kern w:val="0"/>
          <w:sz w:val="31"/>
          <w:szCs w:val="31"/>
          <w:lang w:bidi="ar"/>
        </w:rPr>
        <w:t xml:space="preserve">开展科学绿化试点示范，2022年完成国土绿化面积3000亩，森林抚育面积2000亩，森林覆盖率10.91%。 </w:t>
      </w:r>
    </w:p>
    <w:p w14:paraId="59298D4C" w14:textId="77777777" w:rsidR="00C97237" w:rsidRDefault="00000000">
      <w:pPr>
        <w:widowControl/>
        <w:ind w:firstLineChars="200" w:firstLine="620"/>
        <w:jc w:val="left"/>
      </w:pPr>
      <w:r>
        <w:rPr>
          <w:rFonts w:ascii="仿宋_GB2312" w:eastAsia="仿宋_GB2312" w:hAnsi="宋体" w:cs="仿宋_GB2312" w:hint="eastAsia"/>
          <w:kern w:val="0"/>
          <w:sz w:val="31"/>
          <w:szCs w:val="31"/>
          <w:lang w:bidi="ar"/>
        </w:rPr>
        <w:t>时间节点：</w:t>
      </w:r>
      <w:r>
        <w:rPr>
          <w:rFonts w:ascii="Times New Roman" w:eastAsia="宋体" w:hAnsi="Times New Roman" w:cs="Times New Roman"/>
          <w:kern w:val="0"/>
          <w:sz w:val="31"/>
          <w:szCs w:val="31"/>
          <w:lang w:bidi="ar"/>
        </w:rPr>
        <w:t xml:space="preserve">2022 </w:t>
      </w:r>
      <w:r>
        <w:rPr>
          <w:rFonts w:ascii="仿宋_GB2312" w:eastAsia="仿宋_GB2312" w:hAnsi="宋体" w:cs="仿宋_GB2312" w:hint="eastAsia"/>
          <w:kern w:val="0"/>
          <w:sz w:val="31"/>
          <w:szCs w:val="31"/>
          <w:lang w:bidi="ar"/>
        </w:rPr>
        <w:t xml:space="preserve">年 </w:t>
      </w:r>
      <w:r>
        <w:rPr>
          <w:rFonts w:ascii="Times New Roman" w:eastAsia="宋体" w:hAnsi="Times New Roman" w:cs="Times New Roman"/>
          <w:kern w:val="0"/>
          <w:sz w:val="31"/>
          <w:szCs w:val="31"/>
          <w:lang w:bidi="ar"/>
        </w:rPr>
        <w:t xml:space="preserve">12 </w:t>
      </w:r>
      <w:r>
        <w:rPr>
          <w:rFonts w:ascii="仿宋_GB2312" w:eastAsia="仿宋_GB2312" w:hAnsi="宋体" w:cs="仿宋_GB2312" w:hint="eastAsia"/>
          <w:kern w:val="0"/>
          <w:sz w:val="31"/>
          <w:szCs w:val="31"/>
          <w:lang w:bidi="ar"/>
        </w:rPr>
        <w:t xml:space="preserve">月 </w:t>
      </w:r>
    </w:p>
    <w:p w14:paraId="2A1E8330" w14:textId="77777777" w:rsidR="00C97237" w:rsidRDefault="00000000">
      <w:pPr>
        <w:widowControl/>
        <w:ind w:firstLineChars="200" w:firstLine="620"/>
        <w:jc w:val="left"/>
      </w:pPr>
      <w:r>
        <w:rPr>
          <w:rFonts w:ascii="仿宋_GB2312" w:eastAsia="仿宋_GB2312" w:hAnsi="宋体" w:cs="仿宋_GB2312" w:hint="eastAsia"/>
          <w:kern w:val="0"/>
          <w:sz w:val="31"/>
          <w:szCs w:val="31"/>
          <w:lang w:bidi="ar"/>
        </w:rPr>
        <w:t xml:space="preserve">责任单位：区林业局 </w:t>
      </w:r>
    </w:p>
    <w:p w14:paraId="6F9B9576" w14:textId="77777777" w:rsidR="00C97237" w:rsidRDefault="00000000">
      <w:pPr>
        <w:widowControl/>
        <w:ind w:firstLineChars="200" w:firstLine="620"/>
        <w:jc w:val="left"/>
        <w:rPr>
          <w:rFonts w:ascii="仿宋_GB2312" w:eastAsia="仿宋_GB2312" w:hAnsi="宋体" w:cs="仿宋_GB2312"/>
          <w:kern w:val="0"/>
          <w:sz w:val="31"/>
          <w:szCs w:val="31"/>
          <w:lang w:bidi="ar"/>
        </w:rPr>
      </w:pPr>
      <w:r>
        <w:rPr>
          <w:rFonts w:ascii="仿宋_GB2312" w:eastAsia="仿宋_GB2312" w:hAnsi="宋体" w:cs="仿宋_GB2312"/>
          <w:kern w:val="0"/>
          <w:sz w:val="31"/>
          <w:szCs w:val="31"/>
          <w:lang w:bidi="ar"/>
        </w:rPr>
        <w:t>2.</w:t>
      </w:r>
      <w:r>
        <w:rPr>
          <w:rFonts w:ascii="仿宋_GB2312" w:eastAsia="仿宋_GB2312" w:hAnsi="宋体" w:cs="仿宋_GB2312" w:hint="eastAsia"/>
          <w:kern w:val="0"/>
          <w:sz w:val="31"/>
          <w:szCs w:val="31"/>
          <w:lang w:bidi="ar"/>
        </w:rPr>
        <w:t xml:space="preserve">巩固国家园林城市和国家园林县城全覆盖成果。 </w:t>
      </w:r>
    </w:p>
    <w:p w14:paraId="3EC1C594" w14:textId="77777777" w:rsidR="00C97237" w:rsidRDefault="00000000">
      <w:pPr>
        <w:widowControl/>
        <w:ind w:firstLineChars="200" w:firstLine="620"/>
        <w:jc w:val="left"/>
        <w:rPr>
          <w:rFonts w:ascii="仿宋_GB2312" w:eastAsia="仿宋_GB2312" w:hAnsi="宋体" w:cs="仿宋_GB2312"/>
          <w:kern w:val="0"/>
          <w:sz w:val="31"/>
          <w:szCs w:val="31"/>
          <w:lang w:bidi="ar"/>
        </w:rPr>
      </w:pPr>
      <w:r>
        <w:rPr>
          <w:rFonts w:ascii="仿宋_GB2312" w:eastAsia="仿宋_GB2312" w:hAnsi="宋体" w:cs="仿宋_GB2312" w:hint="eastAsia"/>
          <w:kern w:val="0"/>
          <w:sz w:val="31"/>
          <w:szCs w:val="31"/>
          <w:lang w:bidi="ar"/>
        </w:rPr>
        <w:t>时间节点：</w:t>
      </w:r>
      <w:r>
        <w:rPr>
          <w:rFonts w:ascii="仿宋_GB2312" w:eastAsia="仿宋_GB2312" w:hAnsi="宋体" w:cs="仿宋_GB2312"/>
          <w:kern w:val="0"/>
          <w:sz w:val="31"/>
          <w:szCs w:val="31"/>
          <w:lang w:bidi="ar"/>
        </w:rPr>
        <w:t xml:space="preserve">2022 </w:t>
      </w:r>
      <w:r>
        <w:rPr>
          <w:rFonts w:ascii="仿宋_GB2312" w:eastAsia="仿宋_GB2312" w:hAnsi="宋体" w:cs="仿宋_GB2312" w:hint="eastAsia"/>
          <w:kern w:val="0"/>
          <w:sz w:val="31"/>
          <w:szCs w:val="31"/>
          <w:lang w:bidi="ar"/>
        </w:rPr>
        <w:t xml:space="preserve">年 </w:t>
      </w:r>
      <w:r>
        <w:rPr>
          <w:rFonts w:ascii="仿宋_GB2312" w:eastAsia="仿宋_GB2312" w:hAnsi="宋体" w:cs="仿宋_GB2312"/>
          <w:kern w:val="0"/>
          <w:sz w:val="31"/>
          <w:szCs w:val="31"/>
          <w:lang w:bidi="ar"/>
        </w:rPr>
        <w:t xml:space="preserve">12 </w:t>
      </w:r>
      <w:r>
        <w:rPr>
          <w:rFonts w:ascii="仿宋_GB2312" w:eastAsia="仿宋_GB2312" w:hAnsi="宋体" w:cs="仿宋_GB2312" w:hint="eastAsia"/>
          <w:kern w:val="0"/>
          <w:sz w:val="31"/>
          <w:szCs w:val="31"/>
          <w:lang w:bidi="ar"/>
        </w:rPr>
        <w:t xml:space="preserve">月 </w:t>
      </w:r>
    </w:p>
    <w:p w14:paraId="2AC5A665" w14:textId="77777777" w:rsidR="00C97237" w:rsidRDefault="00000000">
      <w:pPr>
        <w:widowControl/>
        <w:ind w:firstLineChars="200" w:firstLine="620"/>
        <w:jc w:val="left"/>
        <w:rPr>
          <w:rFonts w:ascii="仿宋_GB2312" w:eastAsia="仿宋_GB2312" w:hAnsi="宋体" w:cs="仿宋_GB2312"/>
          <w:kern w:val="0"/>
          <w:sz w:val="31"/>
          <w:szCs w:val="31"/>
          <w:lang w:bidi="ar"/>
        </w:rPr>
      </w:pPr>
      <w:r>
        <w:rPr>
          <w:rFonts w:ascii="仿宋_GB2312" w:eastAsia="仿宋_GB2312" w:hAnsi="宋体" w:cs="仿宋_GB2312" w:hint="eastAsia"/>
          <w:kern w:val="0"/>
          <w:sz w:val="31"/>
          <w:szCs w:val="31"/>
          <w:lang w:bidi="ar"/>
        </w:rPr>
        <w:t xml:space="preserve">责任单位：区城市管理局 </w:t>
      </w:r>
    </w:p>
    <w:p w14:paraId="7B8D2C2E" w14:textId="77777777" w:rsidR="00C97237" w:rsidRDefault="00000000">
      <w:pPr>
        <w:widowControl/>
        <w:ind w:firstLineChars="200" w:firstLine="620"/>
        <w:jc w:val="left"/>
      </w:pPr>
      <w:r>
        <w:rPr>
          <w:rFonts w:ascii="黑体" w:eastAsia="黑体" w:hAnsi="宋体" w:cs="黑体" w:hint="eastAsia"/>
          <w:color w:val="000000"/>
          <w:kern w:val="0"/>
          <w:sz w:val="31"/>
          <w:szCs w:val="31"/>
          <w:lang w:bidi="ar"/>
        </w:rPr>
        <w:t xml:space="preserve">四、保障措施 </w:t>
      </w:r>
    </w:p>
    <w:p w14:paraId="71E4E974" w14:textId="77777777" w:rsidR="00C97237" w:rsidRDefault="00000000">
      <w:pPr>
        <w:widowControl/>
        <w:ind w:firstLineChars="200" w:firstLine="622"/>
        <w:jc w:val="left"/>
      </w:pPr>
      <w:r>
        <w:rPr>
          <w:rFonts w:ascii="楷体_GB2312" w:eastAsia="楷体_GB2312" w:hAnsi="宋体" w:cs="楷体_GB2312" w:hint="eastAsia"/>
          <w:b/>
          <w:color w:val="000000"/>
          <w:kern w:val="0"/>
          <w:sz w:val="31"/>
          <w:szCs w:val="31"/>
          <w:lang w:bidi="ar"/>
        </w:rPr>
        <w:t>（一）强化组织领导，健全工作机制。</w:t>
      </w:r>
      <w:r>
        <w:rPr>
          <w:rFonts w:ascii="仿宋_GB2312" w:eastAsia="仿宋_GB2312" w:hAnsi="宋体" w:cs="仿宋_GB2312" w:hint="eastAsia"/>
          <w:color w:val="000000"/>
          <w:kern w:val="0"/>
          <w:sz w:val="31"/>
          <w:szCs w:val="31"/>
          <w:lang w:bidi="ar"/>
        </w:rPr>
        <w:t>各指标责任单位要高度重视指标提升工作，主动承担起各自领域的重点任务落实责任，完善工作推进机制，精准施策。相关责任单位要积极配合，加强研究谋划，会同牵头部门共同解决工作推进中的重大问题。各相关单位要树立</w:t>
      </w:r>
      <w:r>
        <w:rPr>
          <w:rFonts w:ascii="Times New Roman" w:eastAsia="宋体" w:hAnsi="Times New Roman" w:cs="Times New Roman"/>
          <w:color w:val="000000"/>
          <w:kern w:val="0"/>
          <w:sz w:val="31"/>
          <w:szCs w:val="31"/>
          <w:lang w:bidi="ar"/>
        </w:rPr>
        <w:t>“</w:t>
      </w:r>
      <w:r>
        <w:rPr>
          <w:rFonts w:ascii="仿宋_GB2312" w:eastAsia="仿宋_GB2312" w:hAnsi="宋体" w:cs="仿宋_GB2312" w:hint="eastAsia"/>
          <w:color w:val="000000"/>
          <w:kern w:val="0"/>
          <w:sz w:val="31"/>
          <w:szCs w:val="31"/>
          <w:lang w:bidi="ar"/>
        </w:rPr>
        <w:t>全区一盘棋</w:t>
      </w:r>
      <w:r>
        <w:rPr>
          <w:rFonts w:ascii="Times New Roman" w:eastAsia="宋体" w:hAnsi="Times New Roman" w:cs="Times New Roman"/>
          <w:color w:val="000000"/>
          <w:kern w:val="0"/>
          <w:sz w:val="31"/>
          <w:szCs w:val="31"/>
          <w:lang w:bidi="ar"/>
        </w:rPr>
        <w:t>”</w:t>
      </w:r>
      <w:r>
        <w:rPr>
          <w:rFonts w:ascii="仿宋_GB2312" w:eastAsia="仿宋_GB2312" w:hAnsi="宋体" w:cs="仿宋_GB2312" w:hint="eastAsia"/>
          <w:color w:val="000000"/>
          <w:kern w:val="0"/>
          <w:sz w:val="31"/>
          <w:szCs w:val="31"/>
          <w:lang w:bidi="ar"/>
        </w:rPr>
        <w:t xml:space="preserve">的大局意识，积极主动沟通衔接，相互支持配合、打通堵点难点，齐心协力抓好各项工作落地落实。 </w:t>
      </w:r>
    </w:p>
    <w:p w14:paraId="75DCF402" w14:textId="77777777" w:rsidR="00C97237" w:rsidRDefault="00000000">
      <w:pPr>
        <w:widowControl/>
        <w:ind w:firstLineChars="200" w:firstLine="622"/>
        <w:jc w:val="left"/>
        <w:rPr>
          <w:rFonts w:ascii="楷体_GB2312" w:eastAsia="楷体_GB2312" w:hAnsi="宋体" w:cs="楷体_GB2312"/>
          <w:b/>
          <w:color w:val="000000"/>
          <w:kern w:val="0"/>
          <w:sz w:val="31"/>
          <w:szCs w:val="31"/>
          <w:lang w:bidi="ar"/>
        </w:rPr>
      </w:pPr>
      <w:r>
        <w:rPr>
          <w:rFonts w:ascii="楷体_GB2312" w:eastAsia="楷体_GB2312" w:hAnsi="宋体" w:cs="楷体_GB2312" w:hint="eastAsia"/>
          <w:b/>
          <w:color w:val="000000"/>
          <w:kern w:val="0"/>
          <w:sz w:val="31"/>
          <w:szCs w:val="31"/>
          <w:lang w:bidi="ar"/>
        </w:rPr>
        <w:t>（二）对标国内一流，完善配套政策。</w:t>
      </w:r>
    </w:p>
    <w:p w14:paraId="3889EE15"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各部门要结合自身职责分工，坚持问题导向，定期梳理分析本领域工作进展和存在问题，围绕蓝天碧水净土森林覆盖指数指标密切相关的事项，研究制定针对性强、操作性强的政策</w:t>
      </w:r>
      <w:r>
        <w:rPr>
          <w:rFonts w:ascii="仿宋_GB2312" w:eastAsia="仿宋_GB2312" w:hAnsi="宋体" w:cs="仿宋_GB2312" w:hint="eastAsia"/>
          <w:color w:val="000000"/>
          <w:kern w:val="0"/>
          <w:sz w:val="31"/>
          <w:szCs w:val="31"/>
          <w:lang w:bidi="ar"/>
        </w:rPr>
        <w:lastRenderedPageBreak/>
        <w:t xml:space="preserve">举措，推动指标提升工作有序开展。要坚持目标导向，对标国内一流，强化改革创新，加强先进经验复制推广，创造更多管用可行的创新举措。 </w:t>
      </w:r>
    </w:p>
    <w:p w14:paraId="1E7F7120" w14:textId="77777777" w:rsidR="00C97237" w:rsidRDefault="00000000">
      <w:pPr>
        <w:widowControl/>
        <w:ind w:firstLineChars="200" w:firstLine="622"/>
        <w:jc w:val="left"/>
        <w:rPr>
          <w:rFonts w:ascii="楷体_GB2312" w:eastAsia="楷体_GB2312" w:hAnsi="宋体" w:cs="楷体_GB2312"/>
          <w:b/>
          <w:color w:val="000000"/>
          <w:kern w:val="0"/>
          <w:sz w:val="31"/>
          <w:szCs w:val="31"/>
          <w:lang w:bidi="ar"/>
        </w:rPr>
      </w:pPr>
      <w:r>
        <w:rPr>
          <w:rFonts w:ascii="楷体_GB2312" w:eastAsia="楷体_GB2312" w:hAnsi="宋体" w:cs="楷体_GB2312" w:hint="eastAsia"/>
          <w:b/>
          <w:color w:val="000000"/>
          <w:kern w:val="0"/>
          <w:sz w:val="31"/>
          <w:szCs w:val="31"/>
          <w:lang w:bidi="ar"/>
        </w:rPr>
        <w:t>（三）定期报送进度，推动工作落实。</w:t>
      </w:r>
    </w:p>
    <w:p w14:paraId="1A2395C5"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 xml:space="preserve">各部门要围绕方案确定的目标，建立工作台账，定期报送进展，倒排工期、挂图作战，明确具体负责人，层层压实责任。建立工作推进动态管理机制，对进展缓慢的及时通报，促进问题精准发现、及时整改，确保各项工作扎实推进，保证按期完成。 </w:t>
      </w:r>
    </w:p>
    <w:p w14:paraId="6235626F" w14:textId="77777777" w:rsidR="00C97237" w:rsidRDefault="00000000">
      <w:pPr>
        <w:widowControl/>
        <w:ind w:firstLineChars="200" w:firstLine="622"/>
        <w:jc w:val="left"/>
        <w:rPr>
          <w:rFonts w:ascii="楷体_GB2312" w:eastAsia="楷体_GB2312" w:hAnsi="宋体" w:cs="楷体_GB2312"/>
          <w:b/>
          <w:color w:val="000000"/>
          <w:kern w:val="0"/>
          <w:sz w:val="31"/>
          <w:szCs w:val="31"/>
          <w:lang w:bidi="ar"/>
        </w:rPr>
      </w:pPr>
      <w:r>
        <w:rPr>
          <w:rFonts w:ascii="楷体_GB2312" w:eastAsia="楷体_GB2312" w:hAnsi="宋体" w:cs="楷体_GB2312" w:hint="eastAsia"/>
          <w:b/>
          <w:color w:val="000000"/>
          <w:kern w:val="0"/>
          <w:sz w:val="31"/>
          <w:szCs w:val="31"/>
          <w:lang w:bidi="ar"/>
        </w:rPr>
        <w:t>（四）丰富宣传方式，强化宣传引导。</w:t>
      </w:r>
    </w:p>
    <w:p w14:paraId="350E1B2F" w14:textId="77777777" w:rsidR="00C97237" w:rsidRDefault="00000000">
      <w:pPr>
        <w:widowControl/>
        <w:ind w:firstLineChars="200" w:firstLine="620"/>
        <w:jc w:val="left"/>
      </w:pPr>
      <w:r>
        <w:rPr>
          <w:rFonts w:ascii="仿宋_GB2312" w:eastAsia="仿宋_GB2312" w:hAnsi="宋体" w:cs="仿宋_GB2312" w:hint="eastAsia"/>
          <w:color w:val="000000"/>
          <w:kern w:val="0"/>
          <w:sz w:val="31"/>
          <w:szCs w:val="31"/>
          <w:lang w:bidi="ar"/>
        </w:rPr>
        <w:t>各部门要增强优化营商环境的责任感和主动性，充分利用网络、广播电视、报纸杂志等多种媒体，加大对本领域本系统优化营商环境政策措施和先进典型的宣传力度，积极引导社会公众广泛参与，营造良好的营商环境舆论宣传氛围</w:t>
      </w:r>
    </w:p>
    <w:p w14:paraId="7935B243" w14:textId="77777777" w:rsidR="00C97237" w:rsidRDefault="00C97237">
      <w:pPr>
        <w:spacing w:line="580" w:lineRule="exact"/>
        <w:rPr>
          <w:rFonts w:ascii="仿宋" w:eastAsia="仿宋" w:hAnsi="仿宋" w:cs="仿宋"/>
          <w:sz w:val="32"/>
          <w:szCs w:val="32"/>
        </w:rPr>
      </w:pPr>
    </w:p>
    <w:p w14:paraId="1C04AC87" w14:textId="77777777" w:rsidR="00C97237" w:rsidRDefault="00C97237">
      <w:pPr>
        <w:spacing w:line="580" w:lineRule="exact"/>
        <w:jc w:val="left"/>
        <w:rPr>
          <w:rFonts w:ascii="黑体" w:eastAsia="黑体" w:hAnsi="黑体" w:cs="黑体"/>
          <w:sz w:val="44"/>
          <w:szCs w:val="44"/>
        </w:rPr>
      </w:pPr>
    </w:p>
    <w:p w14:paraId="7A5B7801" w14:textId="77777777" w:rsidR="00C97237" w:rsidRDefault="00C97237">
      <w:pPr>
        <w:spacing w:line="580" w:lineRule="exact"/>
        <w:jc w:val="left"/>
        <w:rPr>
          <w:rFonts w:ascii="黑体" w:eastAsia="黑体" w:hAnsi="黑体" w:cs="黑体"/>
          <w:sz w:val="44"/>
          <w:szCs w:val="44"/>
        </w:rPr>
      </w:pPr>
    </w:p>
    <w:p w14:paraId="2217AAB6" w14:textId="77777777" w:rsidR="00C97237" w:rsidRDefault="00C97237">
      <w:pPr>
        <w:spacing w:line="580" w:lineRule="exact"/>
        <w:jc w:val="left"/>
        <w:rPr>
          <w:rFonts w:ascii="黑体" w:eastAsia="黑体" w:hAnsi="黑体" w:cs="黑体"/>
          <w:sz w:val="44"/>
          <w:szCs w:val="44"/>
        </w:rPr>
      </w:pPr>
    </w:p>
    <w:p w14:paraId="00FCD4C6" w14:textId="77777777" w:rsidR="00C97237" w:rsidRDefault="00C97237">
      <w:pPr>
        <w:spacing w:line="580" w:lineRule="exact"/>
        <w:jc w:val="left"/>
        <w:rPr>
          <w:rFonts w:ascii="黑体" w:eastAsia="黑体" w:hAnsi="黑体" w:cs="黑体"/>
          <w:sz w:val="44"/>
          <w:szCs w:val="44"/>
        </w:rPr>
      </w:pPr>
    </w:p>
    <w:p w14:paraId="7E7B5C6F" w14:textId="77777777" w:rsidR="00C97237" w:rsidRDefault="00000000">
      <w:pPr>
        <w:spacing w:line="580" w:lineRule="exact"/>
        <w:jc w:val="left"/>
        <w:rPr>
          <w:rFonts w:ascii="黑体" w:eastAsia="黑体" w:hAnsi="黑体" w:cs="黑体"/>
          <w:sz w:val="44"/>
          <w:szCs w:val="44"/>
        </w:rPr>
      </w:pPr>
      <w:r>
        <w:rPr>
          <w:rFonts w:ascii="黑体" w:eastAsia="黑体" w:hAnsi="黑体" w:cs="黑体" w:hint="eastAsia"/>
          <w:sz w:val="44"/>
          <w:szCs w:val="44"/>
        </w:rPr>
        <w:t>附件31</w:t>
      </w:r>
    </w:p>
    <w:p w14:paraId="5D960A7B" w14:textId="77777777" w:rsidR="00C97237" w:rsidRDefault="00000000">
      <w:pPr>
        <w:spacing w:line="580" w:lineRule="exact"/>
        <w:jc w:val="center"/>
        <w:rPr>
          <w:rFonts w:ascii="黑体" w:eastAsia="黑体" w:hAnsi="黑体" w:cs="黑体"/>
          <w:color w:val="000000"/>
          <w:sz w:val="44"/>
          <w:szCs w:val="44"/>
        </w:rPr>
      </w:pPr>
      <w:r>
        <w:rPr>
          <w:rFonts w:ascii="黑体" w:eastAsia="黑体" w:hAnsi="黑体" w:cs="黑体" w:hint="eastAsia"/>
          <w:color w:val="000000"/>
          <w:sz w:val="44"/>
          <w:szCs w:val="44"/>
        </w:rPr>
        <w:t>偃师区综合立体交通指数提升</w:t>
      </w:r>
    </w:p>
    <w:p w14:paraId="601CF550" w14:textId="77777777" w:rsidR="00C97237" w:rsidRDefault="00000000">
      <w:pPr>
        <w:spacing w:line="580" w:lineRule="exact"/>
        <w:jc w:val="center"/>
        <w:rPr>
          <w:rFonts w:ascii="仿宋" w:eastAsia="仿宋" w:hAnsi="仿宋" w:cs="仿宋"/>
          <w:color w:val="000000"/>
          <w:sz w:val="32"/>
          <w:szCs w:val="32"/>
        </w:rPr>
      </w:pPr>
      <w:r>
        <w:rPr>
          <w:rFonts w:ascii="黑体" w:eastAsia="黑体" w:hAnsi="黑体" w:cs="黑体" w:hint="eastAsia"/>
          <w:color w:val="000000"/>
          <w:sz w:val="44"/>
          <w:szCs w:val="44"/>
        </w:rPr>
        <w:t>专项行动方案</w:t>
      </w:r>
    </w:p>
    <w:p w14:paraId="51FBD5BA" w14:textId="77777777" w:rsidR="00C97237" w:rsidRDefault="00000000">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根据《偃师区营商环境优化提升行动方案（2022）版》</w:t>
      </w:r>
      <w:r>
        <w:rPr>
          <w:rFonts w:ascii="仿宋" w:eastAsia="仿宋" w:hAnsi="仿宋" w:cs="仿宋" w:hint="eastAsia"/>
          <w:color w:val="000000"/>
          <w:sz w:val="32"/>
          <w:szCs w:val="32"/>
        </w:rPr>
        <w:lastRenderedPageBreak/>
        <w:t>的要求，为推进2022年营商环境建设综合立体交通指数工作，构建交通运输高质量发展，更好地营造交通运输行业营商和创新创业环境，特制定本方案。</w:t>
      </w:r>
    </w:p>
    <w:p w14:paraId="45432E57" w14:textId="77777777" w:rsidR="00C97237" w:rsidRDefault="00000000">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一、总体要求</w:t>
      </w:r>
    </w:p>
    <w:p w14:paraId="3D559D6B" w14:textId="77777777" w:rsidR="00C97237" w:rsidRDefault="00000000">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以习近平新时代中国特色社会主义思想为指导，认真贯彻落实党的十九大和十九届二中、三中、四中、五中、六中全会精神，全面落实国家、省、市政府的决策部署和要求，我区交通运输局高度重视交通基础设施建设工作，牢牢把握交通运输“先行官”定位，大力提升立体交通创新水平，推动公共交通、物流运输、农村公路的提升改造。</w:t>
      </w:r>
    </w:p>
    <w:p w14:paraId="1884D53C" w14:textId="77777777" w:rsidR="00C97237" w:rsidRDefault="00000000">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二、工作目标</w:t>
      </w:r>
    </w:p>
    <w:p w14:paraId="3AF51D96" w14:textId="77777777" w:rsidR="00C97237" w:rsidRDefault="00000000">
      <w:pPr>
        <w:spacing w:line="58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不断提升农村公路质量和公共交通服务水平，不断完善交通网络，初步形成内联外畅、绿色低碳、安全出行的综合交通运输体系，营造良好的营商环境。</w:t>
      </w:r>
    </w:p>
    <w:p w14:paraId="687CE592" w14:textId="77777777" w:rsidR="00C97237" w:rsidRDefault="00000000">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三、主要举措</w:t>
      </w:r>
    </w:p>
    <w:p w14:paraId="1A800954" w14:textId="77777777" w:rsidR="00C97237" w:rsidRDefault="00000000">
      <w:pPr>
        <w:spacing w:line="580" w:lineRule="exact"/>
        <w:ind w:firstLineChars="200" w:firstLine="643"/>
        <w:rPr>
          <w:rFonts w:ascii="仿宋" w:eastAsia="仿宋" w:hAnsi="仿宋" w:cs="仿宋"/>
          <w:sz w:val="32"/>
          <w:szCs w:val="32"/>
        </w:rPr>
      </w:pPr>
      <w:r>
        <w:rPr>
          <w:rFonts w:ascii="仿宋" w:eastAsia="仿宋" w:hAnsi="仿宋" w:cs="仿宋" w:hint="eastAsia"/>
          <w:b/>
          <w:color w:val="000000"/>
          <w:sz w:val="32"/>
          <w:szCs w:val="32"/>
        </w:rPr>
        <w:t>（一）进一步优化农村交通环境。</w:t>
      </w:r>
      <w:r>
        <w:rPr>
          <w:rFonts w:ascii="仿宋" w:eastAsia="仿宋" w:hAnsi="仿宋" w:cs="仿宋" w:hint="eastAsia"/>
          <w:sz w:val="32"/>
          <w:szCs w:val="32"/>
        </w:rPr>
        <w:t>持续提升改善农村公路形象，不断提升农村公路质量，进一步优化道路“毛细血管网”。2022年计划提升改建农村公路约6.84公里，分别对大口镇董村道路、邙岭镇西蔡庄出村道路、府店镇周寨村道路、翟镇二里头出村道路、高龙镇辛村道路、高龙镇陶化店村道路、翟镇镇甄庄村道路、首阳山街道办郭坟村道路、山化镇忠义村道路、大口镇南寨村道路进行提升改造，进一步提升农村公路沿线人居环境和群众出行幸福感。</w:t>
      </w:r>
    </w:p>
    <w:p w14:paraId="3CF29596"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时间节点：2022年12月</w:t>
      </w:r>
    </w:p>
    <w:p w14:paraId="41616C91" w14:textId="77777777" w:rsidR="00C9723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责任单位：区交通运输局</w:t>
      </w:r>
    </w:p>
    <w:p w14:paraId="518EBEAE" w14:textId="77777777" w:rsidR="00C97237" w:rsidRDefault="00000000">
      <w:pPr>
        <w:pStyle w:val="ae"/>
        <w:numPr>
          <w:ilvl w:val="0"/>
          <w:numId w:val="15"/>
        </w:numPr>
        <w:spacing w:line="580" w:lineRule="exact"/>
        <w:ind w:firstLineChars="196" w:firstLine="630"/>
        <w:rPr>
          <w:rFonts w:ascii="仿宋" w:eastAsia="仿宋" w:hAnsi="仿宋" w:cs="仿宋"/>
          <w:sz w:val="32"/>
          <w:szCs w:val="32"/>
        </w:rPr>
      </w:pPr>
      <w:r>
        <w:rPr>
          <w:rFonts w:ascii="仿宋" w:eastAsia="仿宋" w:hAnsi="仿宋" w:cs="仿宋" w:hint="eastAsia"/>
          <w:b/>
          <w:sz w:val="32"/>
          <w:szCs w:val="32"/>
        </w:rPr>
        <w:t>调整优化客运线路，提升客运服务品质。</w:t>
      </w:r>
      <w:r>
        <w:rPr>
          <w:rFonts w:ascii="仿宋" w:eastAsia="仿宋" w:hAnsi="仿宋" w:cs="仿宋" w:hint="eastAsia"/>
          <w:sz w:val="32"/>
          <w:szCs w:val="32"/>
        </w:rPr>
        <w:t>根据客流特征和群众需求，调整优化线路，不断提供多样化票种，推广智能化乘车方式，降低乘客出行成本，提高出行效率。提升客运服务品质。积极推进畅通城乡公交民生实事工作，开通偃师至山化7个行政村公交化客运班线。按照运力需求新购置运营车辆，新增和更新的新能源公交车比例达到 100%。</w:t>
      </w:r>
    </w:p>
    <w:p w14:paraId="6C360867" w14:textId="77777777" w:rsidR="00C97237" w:rsidRDefault="00000000">
      <w:pPr>
        <w:pStyle w:val="ae"/>
        <w:spacing w:line="580" w:lineRule="exact"/>
        <w:ind w:firstLine="560"/>
        <w:rPr>
          <w:rFonts w:ascii="仿宋" w:eastAsia="仿宋" w:hAnsi="仿宋" w:cs="仿宋"/>
          <w:sz w:val="32"/>
          <w:szCs w:val="32"/>
        </w:rPr>
      </w:pPr>
      <w:r>
        <w:rPr>
          <w:rFonts w:ascii="仿宋" w:eastAsia="仿宋" w:hAnsi="仿宋" w:cs="仿宋" w:hint="eastAsia"/>
          <w:sz w:val="32"/>
          <w:szCs w:val="32"/>
        </w:rPr>
        <w:t>时间节点：2022年12月</w:t>
      </w:r>
    </w:p>
    <w:p w14:paraId="6FED4689" w14:textId="77777777" w:rsidR="00C97237" w:rsidRDefault="00000000">
      <w:pPr>
        <w:pStyle w:val="ae"/>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责任单位：区交通运输局</w:t>
      </w:r>
    </w:p>
    <w:p w14:paraId="7CB7DDFE" w14:textId="77777777" w:rsidR="00C97237" w:rsidRDefault="00000000">
      <w:pPr>
        <w:pStyle w:val="ae"/>
        <w:numPr>
          <w:ilvl w:val="0"/>
          <w:numId w:val="15"/>
        </w:numPr>
        <w:spacing w:line="580" w:lineRule="exact"/>
        <w:ind w:firstLineChars="196" w:firstLine="630"/>
        <w:rPr>
          <w:rFonts w:ascii="仿宋" w:eastAsia="仿宋" w:hAnsi="仿宋" w:cs="仿宋"/>
          <w:sz w:val="32"/>
          <w:szCs w:val="32"/>
        </w:rPr>
      </w:pPr>
      <w:r>
        <w:rPr>
          <w:rFonts w:ascii="仿宋" w:eastAsia="仿宋" w:hAnsi="仿宋" w:cs="仿宋" w:hint="eastAsia"/>
          <w:b/>
          <w:sz w:val="32"/>
          <w:szCs w:val="32"/>
        </w:rPr>
        <w:t>加快推进基础设施建设，完善运输服务。</w:t>
      </w:r>
      <w:r>
        <w:rPr>
          <w:rFonts w:ascii="仿宋" w:eastAsia="仿宋" w:hAnsi="仿宋" w:cs="仿宋" w:hint="eastAsia"/>
          <w:sz w:val="32"/>
          <w:szCs w:val="32"/>
        </w:rPr>
        <w:t>加快城市公交首末站、充电站等基础设施建设，进一步完善公交智能化系统建设，通过大数据分析指导公交企业开通、优化公交线路，进一步加强城市公共交通对周边地区的辐射力度。进一步提升公交站点 500米覆盖率。</w:t>
      </w:r>
    </w:p>
    <w:p w14:paraId="34CC4C97" w14:textId="77777777" w:rsidR="00C97237" w:rsidRDefault="00000000">
      <w:pPr>
        <w:pStyle w:val="ae"/>
        <w:spacing w:line="580" w:lineRule="exact"/>
        <w:ind w:firstLine="560"/>
        <w:rPr>
          <w:rFonts w:ascii="仿宋" w:eastAsia="仿宋" w:hAnsi="仿宋" w:cs="仿宋"/>
          <w:sz w:val="32"/>
          <w:szCs w:val="32"/>
        </w:rPr>
      </w:pPr>
      <w:r>
        <w:rPr>
          <w:rFonts w:ascii="仿宋" w:eastAsia="仿宋" w:hAnsi="仿宋" w:cs="仿宋" w:hint="eastAsia"/>
          <w:sz w:val="32"/>
          <w:szCs w:val="32"/>
        </w:rPr>
        <w:t xml:space="preserve">  时间节点：2022年12月</w:t>
      </w:r>
    </w:p>
    <w:p w14:paraId="1CA30550" w14:textId="77777777" w:rsidR="00C97237" w:rsidRDefault="00000000">
      <w:pPr>
        <w:pStyle w:val="ae"/>
        <w:spacing w:line="580" w:lineRule="exact"/>
        <w:ind w:firstLineChars="300" w:firstLine="960"/>
        <w:rPr>
          <w:rFonts w:ascii="仿宋" w:eastAsia="仿宋" w:hAnsi="仿宋" w:cs="仿宋"/>
          <w:sz w:val="32"/>
          <w:szCs w:val="32"/>
        </w:rPr>
      </w:pPr>
      <w:r>
        <w:rPr>
          <w:rFonts w:ascii="仿宋" w:eastAsia="仿宋" w:hAnsi="仿宋" w:cs="仿宋" w:hint="eastAsia"/>
          <w:sz w:val="32"/>
          <w:szCs w:val="32"/>
        </w:rPr>
        <w:t>责任单位：区交通运输局</w:t>
      </w:r>
    </w:p>
    <w:p w14:paraId="350F9A57" w14:textId="77777777" w:rsidR="00C97237" w:rsidRDefault="00000000">
      <w:pPr>
        <w:numPr>
          <w:ilvl w:val="0"/>
          <w:numId w:val="15"/>
        </w:numPr>
        <w:spacing w:line="580" w:lineRule="exact"/>
        <w:ind w:firstLineChars="196" w:firstLine="630"/>
        <w:rPr>
          <w:rFonts w:ascii="仿宋" w:eastAsia="仿宋" w:hAnsi="仿宋" w:cs="仿宋"/>
          <w:sz w:val="32"/>
          <w:szCs w:val="32"/>
        </w:rPr>
      </w:pPr>
      <w:r>
        <w:rPr>
          <w:rFonts w:ascii="仿宋" w:eastAsia="仿宋" w:hAnsi="仿宋" w:cs="仿宋" w:hint="eastAsia"/>
          <w:b/>
          <w:sz w:val="32"/>
          <w:szCs w:val="32"/>
        </w:rPr>
        <w:t>抓细抓实安全管理，增强运输安全应急能力。</w:t>
      </w:r>
      <w:r>
        <w:rPr>
          <w:rFonts w:ascii="仿宋" w:eastAsia="仿宋" w:hAnsi="仿宋" w:cs="仿宋" w:hint="eastAsia"/>
          <w:sz w:val="32"/>
          <w:szCs w:val="32"/>
        </w:rPr>
        <w:t>根据上级疫情防控工作部署，及时做好公共交通车辆的停运复运紧急调度工作。严格履行扫码乘车功能，强化公共交通出行政策与疫情防控政策的一致性，做实做细疫情防控工作。做好各运输企业的常态化消防、汛期等安全知识宣传、培训工作和安全隐患排查、整改工作，确保道路运输安全有序发展。</w:t>
      </w:r>
    </w:p>
    <w:p w14:paraId="32A0D200" w14:textId="77777777" w:rsidR="00C97237" w:rsidRDefault="00000000">
      <w:pPr>
        <w:pStyle w:val="ae"/>
        <w:spacing w:line="580" w:lineRule="exact"/>
        <w:ind w:firstLine="560"/>
        <w:rPr>
          <w:rFonts w:ascii="仿宋" w:eastAsia="仿宋" w:hAnsi="仿宋" w:cs="仿宋"/>
          <w:sz w:val="32"/>
          <w:szCs w:val="32"/>
        </w:rPr>
      </w:pPr>
      <w:r>
        <w:rPr>
          <w:rFonts w:ascii="仿宋" w:eastAsia="仿宋" w:hAnsi="仿宋" w:cs="仿宋" w:hint="eastAsia"/>
          <w:sz w:val="32"/>
          <w:szCs w:val="32"/>
        </w:rPr>
        <w:lastRenderedPageBreak/>
        <w:t>时间节点：2022年12月</w:t>
      </w:r>
    </w:p>
    <w:p w14:paraId="5EA50E09" w14:textId="77777777" w:rsidR="00C97237" w:rsidRDefault="00000000">
      <w:pPr>
        <w:pStyle w:val="ae"/>
        <w:spacing w:line="580" w:lineRule="exact"/>
        <w:ind w:firstLine="560"/>
        <w:rPr>
          <w:rFonts w:ascii="仿宋" w:eastAsia="仿宋" w:hAnsi="仿宋" w:cs="仿宋"/>
          <w:sz w:val="32"/>
          <w:szCs w:val="32"/>
        </w:rPr>
      </w:pPr>
      <w:r>
        <w:rPr>
          <w:rFonts w:ascii="仿宋" w:eastAsia="仿宋" w:hAnsi="仿宋" w:cs="仿宋" w:hint="eastAsia"/>
          <w:sz w:val="32"/>
          <w:szCs w:val="32"/>
        </w:rPr>
        <w:t>责任单位：区交通运输局</w:t>
      </w:r>
    </w:p>
    <w:p w14:paraId="7D184668" w14:textId="77777777" w:rsidR="00C97237" w:rsidRDefault="00000000">
      <w:pPr>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四、保障措施</w:t>
      </w:r>
    </w:p>
    <w:p w14:paraId="27520D80" w14:textId="77777777" w:rsidR="00C97237" w:rsidRDefault="00000000">
      <w:pPr>
        <w:pStyle w:val="ab"/>
        <w:shd w:val="clear" w:color="auto" w:fill="FFFFFF"/>
        <w:spacing w:before="0" w:beforeAutospacing="0" w:after="0" w:afterAutospacing="0" w:line="580" w:lineRule="exact"/>
        <w:ind w:firstLineChars="200" w:firstLine="640"/>
        <w:textAlignment w:val="top"/>
        <w:rPr>
          <w:rFonts w:ascii="仿宋" w:eastAsia="仿宋" w:hAnsi="仿宋" w:cs="仿宋"/>
          <w:color w:val="000000"/>
          <w:sz w:val="32"/>
          <w:szCs w:val="32"/>
        </w:rPr>
      </w:pPr>
      <w:r>
        <w:rPr>
          <w:rFonts w:ascii="仿宋" w:eastAsia="仿宋" w:hAnsi="仿宋" w:cs="仿宋" w:hint="eastAsia"/>
          <w:color w:val="000000"/>
          <w:sz w:val="32"/>
          <w:szCs w:val="32"/>
        </w:rPr>
        <w:t>一是思想高度重视。认真贯彻落实省、市工作部署，加强组织领导，健全完善机制，成立专班领导小组，建立各责任单位“分管领导负全责，责任科室直接负责”的工作机制，结合各相关单位职责，将各项目标任务进行层层分解，细化量化到具体责任单位、责任人、承办人。</w:t>
      </w:r>
    </w:p>
    <w:p w14:paraId="11DCBBF3" w14:textId="77777777" w:rsidR="00C97237" w:rsidRDefault="00000000">
      <w:pPr>
        <w:pStyle w:val="ab"/>
        <w:shd w:val="clear" w:color="auto" w:fill="FFFFFF"/>
        <w:spacing w:before="0" w:beforeAutospacing="0" w:after="0" w:afterAutospacing="0" w:line="580" w:lineRule="exact"/>
        <w:textAlignment w:val="top"/>
        <w:rPr>
          <w:rFonts w:ascii="仿宋" w:eastAsia="仿宋" w:hAnsi="仿宋" w:cs="仿宋"/>
          <w:color w:val="000000"/>
          <w:sz w:val="32"/>
          <w:szCs w:val="32"/>
        </w:rPr>
      </w:pPr>
      <w:r>
        <w:rPr>
          <w:rFonts w:ascii="仿宋" w:eastAsia="仿宋" w:hAnsi="仿宋" w:cs="仿宋" w:hint="eastAsia"/>
          <w:color w:val="000000"/>
          <w:sz w:val="32"/>
          <w:szCs w:val="32"/>
        </w:rPr>
        <w:t xml:space="preserve">　　二是精准有效发力。定期不定期组织配合单位、责任科室召开工作专班会议，沟通各单位工作进展情况，分析研判形势，深入查摆公共交通、智能出行、新能源公交车、交通基础设施建设等工作中存在的突出问题和短板，建立工作台账，明确责任单位、责任人和具体整改措施，补短板、强弱项，深入推动综合立体交通指数工作任务落实落地。</w:t>
      </w:r>
    </w:p>
    <w:p w14:paraId="5C230196" w14:textId="77777777" w:rsidR="00C97237" w:rsidRDefault="00000000">
      <w:pPr>
        <w:pStyle w:val="ab"/>
        <w:shd w:val="clear" w:color="auto" w:fill="FFFFFF"/>
        <w:spacing w:before="0" w:beforeAutospacing="0" w:after="0" w:afterAutospacing="0" w:line="580" w:lineRule="exact"/>
        <w:textAlignment w:val="top"/>
        <w:rPr>
          <w:rFonts w:ascii="仿宋" w:eastAsia="仿宋" w:hAnsi="仿宋" w:cs="仿宋"/>
          <w:color w:val="000000"/>
          <w:sz w:val="32"/>
          <w:szCs w:val="32"/>
        </w:rPr>
      </w:pPr>
      <w:r>
        <w:rPr>
          <w:rFonts w:ascii="仿宋" w:eastAsia="仿宋" w:hAnsi="仿宋" w:cs="仿宋" w:hint="eastAsia"/>
          <w:color w:val="000000"/>
          <w:sz w:val="32"/>
          <w:szCs w:val="32"/>
        </w:rPr>
        <w:t xml:space="preserve">　　三是强化服务保障。持续加快交通基础设施建设，“四好农村路”的持续创建，进一步优化路网结构，提升交通运输服务品质。设计多种出行路线和出行方式，同时，推行优惠票价，降低出行成本。为全区以及农村公路沿线人民营造了更加畅通、便捷、快速的出行环境。</w:t>
      </w:r>
    </w:p>
    <w:p w14:paraId="4600CD0E" w14:textId="77777777" w:rsidR="00C97237" w:rsidRDefault="00C97237">
      <w:pPr>
        <w:spacing w:line="580" w:lineRule="exact"/>
        <w:ind w:firstLineChars="200" w:firstLine="640"/>
        <w:rPr>
          <w:rFonts w:ascii="仿宋" w:eastAsia="仿宋" w:hAnsi="仿宋" w:cs="仿宋"/>
          <w:sz w:val="32"/>
          <w:szCs w:val="32"/>
        </w:rPr>
      </w:pPr>
    </w:p>
    <w:p w14:paraId="27C76BB4" w14:textId="77777777" w:rsidR="00C97237" w:rsidRDefault="00000000">
      <w:pPr>
        <w:spacing w:line="580" w:lineRule="exact"/>
        <w:jc w:val="left"/>
        <w:rPr>
          <w:rFonts w:ascii="黑体" w:eastAsia="黑体" w:hAnsi="黑体" w:cs="黑体"/>
          <w:sz w:val="44"/>
          <w:szCs w:val="44"/>
        </w:rPr>
      </w:pPr>
      <w:r>
        <w:rPr>
          <w:rFonts w:ascii="黑体" w:eastAsia="黑体" w:hAnsi="黑体" w:cs="黑体" w:hint="eastAsia"/>
          <w:sz w:val="44"/>
          <w:szCs w:val="44"/>
        </w:rPr>
        <w:t>附件32</w:t>
      </w:r>
    </w:p>
    <w:p w14:paraId="287B9529"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t>偃师区产业链和产业集群指数提升专项</w:t>
      </w:r>
    </w:p>
    <w:p w14:paraId="28160549" w14:textId="77777777" w:rsidR="00C97237" w:rsidRDefault="00000000">
      <w:pPr>
        <w:spacing w:line="580" w:lineRule="exact"/>
        <w:jc w:val="center"/>
        <w:rPr>
          <w:rFonts w:ascii="黑体" w:eastAsia="黑体" w:hAnsi="黑体" w:cs="黑体"/>
          <w:sz w:val="44"/>
          <w:szCs w:val="44"/>
        </w:rPr>
      </w:pPr>
      <w:r>
        <w:rPr>
          <w:rFonts w:ascii="黑体" w:eastAsia="黑体" w:hAnsi="黑体" w:cs="黑体" w:hint="eastAsia"/>
          <w:sz w:val="44"/>
          <w:szCs w:val="44"/>
        </w:rPr>
        <w:t>行动方案</w:t>
      </w:r>
    </w:p>
    <w:p w14:paraId="6FD58E9E" w14:textId="77777777" w:rsidR="00C97237" w:rsidRDefault="00000000">
      <w:pPr>
        <w:adjustRightInd w:val="0"/>
        <w:snapToGrid w:val="0"/>
        <w:spacing w:line="590" w:lineRule="exact"/>
        <w:ind w:firstLineChars="200" w:firstLine="640"/>
        <w:rPr>
          <w:rFonts w:ascii="Times New Roman" w:eastAsia="华文仿宋" w:hAnsi="Times New Roman" w:cs="Times New Roman"/>
          <w:sz w:val="32"/>
          <w:szCs w:val="32"/>
          <w:lang w:val="en"/>
        </w:rPr>
      </w:pPr>
      <w:r>
        <w:rPr>
          <w:rFonts w:ascii="Times New Roman" w:eastAsia="仿宋_GB2312" w:hAnsi="Times New Roman" w:cs="Times New Roman"/>
          <w:sz w:val="32"/>
          <w:szCs w:val="32"/>
          <w:lang w:val="en"/>
        </w:rPr>
        <w:t>为持续优化营商环境，</w:t>
      </w:r>
      <w:r>
        <w:rPr>
          <w:rFonts w:ascii="Times New Roman" w:eastAsia="仿宋_GB2312" w:hAnsi="Times New Roman" w:cs="Times New Roman"/>
          <w:snapToGrid w:val="0"/>
          <w:kern w:val="0"/>
          <w:sz w:val="32"/>
          <w:szCs w:val="32"/>
        </w:rPr>
        <w:t>进一步夯实产业基础，培育壮大</w:t>
      </w:r>
      <w:r>
        <w:rPr>
          <w:rFonts w:ascii="Times New Roman" w:eastAsia="仿宋_GB2312" w:hAnsi="Times New Roman" w:cs="Times New Roman"/>
          <w:snapToGrid w:val="0"/>
          <w:kern w:val="0"/>
          <w:sz w:val="32"/>
          <w:szCs w:val="32"/>
        </w:rPr>
        <w:lastRenderedPageBreak/>
        <w:t>产业链条，提升我</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snapToGrid w:val="0"/>
          <w:kern w:val="0"/>
          <w:sz w:val="32"/>
          <w:szCs w:val="32"/>
        </w:rPr>
        <w:t>产业发展水平和竞争力，加快推动制造业高质量发展，构筑全国先进制造业基地，</w:t>
      </w:r>
      <w:r>
        <w:rPr>
          <w:rFonts w:ascii="Times New Roman" w:eastAsia="仿宋_GB2312" w:hAnsi="Times New Roman" w:cs="Times New Roman"/>
          <w:sz w:val="32"/>
          <w:szCs w:val="32"/>
          <w:lang w:val="en"/>
        </w:rPr>
        <w:t>结合《河南省营商环境优化提升行动方案（</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版</w:t>
      </w:r>
      <w:r>
        <w:rPr>
          <w:rFonts w:ascii="Times New Roman" w:eastAsia="仿宋_GB2312" w:hAnsi="Times New Roman" w:cs="Times New Roman"/>
          <w:sz w:val="32"/>
          <w:szCs w:val="32"/>
          <w:lang w:val="en"/>
        </w:rPr>
        <w:t>）》（豫营商</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lang w:val="en"/>
        </w:rPr>
        <w:t>号），制定本方案。</w:t>
      </w:r>
    </w:p>
    <w:p w14:paraId="6ECD4014" w14:textId="77777777" w:rsidR="00C97237" w:rsidRDefault="00000000">
      <w:pPr>
        <w:widowControl/>
        <w:spacing w:line="600" w:lineRule="exact"/>
        <w:ind w:firstLine="640"/>
        <w:rPr>
          <w:rFonts w:ascii="Times New Roman" w:eastAsia="黑体" w:hAnsi="Times New Roman" w:cs="Times New Roman"/>
          <w:color w:val="000000"/>
          <w:kern w:val="0"/>
          <w:sz w:val="32"/>
          <w:szCs w:val="32"/>
          <w:lang w:val="en"/>
        </w:rPr>
      </w:pPr>
      <w:r>
        <w:rPr>
          <w:rFonts w:ascii="Times New Roman" w:eastAsia="黑体" w:hAnsi="Times New Roman" w:cs="Times New Roman"/>
          <w:color w:val="000000"/>
          <w:kern w:val="0"/>
          <w:sz w:val="32"/>
          <w:szCs w:val="32"/>
          <w:lang w:val="en"/>
        </w:rPr>
        <w:t>一、总体要求</w:t>
      </w:r>
    </w:p>
    <w:p w14:paraId="532022B2" w14:textId="77777777" w:rsidR="00C97237" w:rsidRDefault="00000000">
      <w:pPr>
        <w:adjustRightInd w:val="0"/>
        <w:snapToGrid w:val="0"/>
        <w:spacing w:line="590" w:lineRule="exact"/>
        <w:ind w:firstLineChars="200" w:firstLine="640"/>
        <w:rPr>
          <w:rFonts w:ascii="Times New Roman" w:eastAsia="楷体_GB2312" w:hAnsi="Times New Roman" w:cs="Times New Roman"/>
          <w:snapToGrid w:val="0"/>
          <w:kern w:val="0"/>
          <w:sz w:val="32"/>
          <w:szCs w:val="32"/>
        </w:rPr>
      </w:pPr>
      <w:r>
        <w:rPr>
          <w:rFonts w:ascii="Times New Roman" w:eastAsia="楷体_GB2312" w:hAnsi="Times New Roman" w:cs="Times New Roman"/>
          <w:snapToGrid w:val="0"/>
          <w:kern w:val="0"/>
          <w:sz w:val="32"/>
          <w:szCs w:val="32"/>
        </w:rPr>
        <w:t>（一）指导思想</w:t>
      </w:r>
      <w:r>
        <w:rPr>
          <w:rFonts w:ascii="Times New Roman" w:eastAsia="楷体_GB2312" w:hAnsi="Times New Roman" w:cs="Times New Roman" w:hint="eastAsia"/>
          <w:snapToGrid w:val="0"/>
          <w:kern w:val="0"/>
          <w:sz w:val="32"/>
          <w:szCs w:val="32"/>
        </w:rPr>
        <w:t>。</w:t>
      </w:r>
      <w:r>
        <w:rPr>
          <w:rFonts w:ascii="Times New Roman" w:eastAsia="仿宋_GB2312" w:hAnsi="Times New Roman" w:cs="Times New Roman"/>
          <w:snapToGrid w:val="0"/>
          <w:kern w:val="0"/>
          <w:sz w:val="32"/>
          <w:szCs w:val="32"/>
        </w:rPr>
        <w:t>以习近平新时代中国特色社会主义思想为指导，深入贯彻习近平总书记考察调研河南时重要讲话精神，全面落实中央</w:t>
      </w:r>
      <w:r>
        <w:rPr>
          <w:rFonts w:ascii="仿宋_GB2312" w:eastAsia="仿宋_GB2312" w:hAnsi="仿宋_GB2312" w:cs="Times New Roman"/>
          <w:snapToGrid w:val="0"/>
          <w:kern w:val="0"/>
          <w:sz w:val="32"/>
          <w:szCs w:val="32"/>
        </w:rPr>
        <w:t>“</w:t>
      </w:r>
      <w:r>
        <w:rPr>
          <w:rFonts w:ascii="Times New Roman" w:eastAsia="仿宋_GB2312" w:hAnsi="Times New Roman" w:cs="Times New Roman"/>
          <w:snapToGrid w:val="0"/>
          <w:kern w:val="0"/>
          <w:sz w:val="32"/>
          <w:szCs w:val="32"/>
        </w:rPr>
        <w:t>六稳</w:t>
      </w:r>
      <w:r>
        <w:rPr>
          <w:rFonts w:ascii="仿宋_GB2312" w:eastAsia="仿宋_GB2312" w:hAnsi="仿宋_GB2312" w:cs="Times New Roman"/>
          <w:snapToGrid w:val="0"/>
          <w:kern w:val="0"/>
          <w:sz w:val="32"/>
          <w:szCs w:val="32"/>
        </w:rPr>
        <w:t>”“</w:t>
      </w:r>
      <w:r>
        <w:rPr>
          <w:rFonts w:ascii="Times New Roman" w:eastAsia="仿宋_GB2312" w:hAnsi="Times New Roman" w:cs="Times New Roman"/>
          <w:snapToGrid w:val="0"/>
          <w:kern w:val="0"/>
          <w:sz w:val="32"/>
          <w:szCs w:val="32"/>
        </w:rPr>
        <w:t>六保</w:t>
      </w:r>
      <w:r>
        <w:rPr>
          <w:rFonts w:ascii="仿宋_GB2312" w:eastAsia="仿宋_GB2312" w:hAnsi="仿宋_GB2312" w:cs="Times New Roman"/>
          <w:snapToGrid w:val="0"/>
          <w:kern w:val="0"/>
          <w:sz w:val="32"/>
          <w:szCs w:val="32"/>
        </w:rPr>
        <w:t>”</w:t>
      </w:r>
      <w:r>
        <w:rPr>
          <w:rFonts w:ascii="Times New Roman" w:eastAsia="仿宋_GB2312" w:hAnsi="Times New Roman" w:cs="Times New Roman"/>
          <w:snapToGrid w:val="0"/>
          <w:kern w:val="0"/>
          <w:sz w:val="32"/>
          <w:szCs w:val="32"/>
        </w:rPr>
        <w:t>决策部署和省委、省政府加快洛阳副中心城市建设工作要求，坚持新发展理念，围绕现代产业体系重点领域，把制造业高质量发展作为主攻方向，以产业升级为目标，以产业创新为动力，以提质增效为核心，加快推动产业链转型升级、做优做强做大特色产业，为高质量跨越式发展提供坚实支撑。</w:t>
      </w:r>
    </w:p>
    <w:p w14:paraId="12DFE201" w14:textId="77777777" w:rsidR="00C97237" w:rsidRDefault="00000000">
      <w:pPr>
        <w:adjustRightInd w:val="0"/>
        <w:snapToGrid w:val="0"/>
        <w:spacing w:line="590" w:lineRule="exact"/>
        <w:ind w:firstLineChars="200" w:firstLine="640"/>
        <w:rPr>
          <w:rFonts w:ascii="Times New Roman" w:eastAsia="仿宋_GB2312" w:hAnsi="Times New Roman" w:cs="Times New Roman"/>
          <w:snapToGrid w:val="0"/>
          <w:kern w:val="0"/>
          <w:sz w:val="32"/>
          <w:szCs w:val="32"/>
        </w:rPr>
      </w:pPr>
      <w:r>
        <w:rPr>
          <w:rFonts w:ascii="Times New Roman" w:eastAsia="楷体_GB2312" w:hAnsi="Times New Roman" w:cs="Times New Roman"/>
          <w:snapToGrid w:val="0"/>
          <w:kern w:val="0"/>
          <w:sz w:val="32"/>
          <w:szCs w:val="32"/>
        </w:rPr>
        <w:t>（二）基本原则</w:t>
      </w:r>
    </w:p>
    <w:p w14:paraId="31EE03F3" w14:textId="77777777" w:rsidR="00C97237" w:rsidRDefault="00000000">
      <w:pPr>
        <w:adjustRightInd w:val="0"/>
        <w:snapToGrid w:val="0"/>
        <w:spacing w:line="59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1</w:t>
      </w:r>
      <w:r>
        <w:rPr>
          <w:rFonts w:ascii="Times New Roman" w:eastAsia="仿宋_GB2312" w:hAnsi="Times New Roman" w:cs="仿宋_GB2312" w:hint="eastAsia"/>
          <w:snapToGrid w:val="0"/>
          <w:kern w:val="0"/>
          <w:sz w:val="32"/>
          <w:szCs w:val="32"/>
        </w:rPr>
        <w:t>．坚持市场需求导向。充分发挥市场在资源配置中的决定性作用，发挥政府的推动引导作用，推进供给侧结构性改革，优化资本、土地、技术、人才等要素配置，释放新需求，创造新供给，发展有资源、有市场、有竞争力的产业链。</w:t>
      </w:r>
    </w:p>
    <w:p w14:paraId="131A54FA" w14:textId="77777777" w:rsidR="00C97237" w:rsidRDefault="00000000">
      <w:pPr>
        <w:adjustRightInd w:val="0"/>
        <w:snapToGrid w:val="0"/>
        <w:spacing w:line="59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2</w:t>
      </w:r>
      <w:r>
        <w:rPr>
          <w:rFonts w:ascii="Times New Roman" w:eastAsia="仿宋_GB2312" w:hAnsi="Times New Roman" w:cs="仿宋_GB2312" w:hint="eastAsia"/>
          <w:snapToGrid w:val="0"/>
          <w:kern w:val="0"/>
          <w:sz w:val="32"/>
          <w:szCs w:val="32"/>
        </w:rPr>
        <w:t>．强化科技创新驱动。把创新驱动发展作为产业链发展的根本动力，加强创新平台建设，推动产学研结合，加大科技成果转移转化，促进以技术创新、产品创新、模式创新、管理创新为重点的全面创新，推动产业链向中高端迈进。</w:t>
      </w:r>
    </w:p>
    <w:p w14:paraId="743AAA2C" w14:textId="77777777" w:rsidR="00C97237" w:rsidRDefault="00000000">
      <w:pPr>
        <w:adjustRightInd w:val="0"/>
        <w:snapToGrid w:val="0"/>
        <w:spacing w:line="59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．突出企业主体地位。发挥企业在产业链打造中的主</w:t>
      </w:r>
      <w:r>
        <w:rPr>
          <w:rFonts w:ascii="Times New Roman" w:eastAsia="仿宋_GB2312" w:hAnsi="Times New Roman" w:cs="仿宋_GB2312" w:hint="eastAsia"/>
          <w:snapToGrid w:val="0"/>
          <w:kern w:val="0"/>
          <w:sz w:val="32"/>
          <w:szCs w:val="32"/>
        </w:rPr>
        <w:lastRenderedPageBreak/>
        <w:t>体作用，加大政策引导和激励，支持企业完善产业链、拓展产业链、提升价值链，做强一批产业链核心企业，形成具有整体竞争优势的企业集群。</w:t>
      </w:r>
    </w:p>
    <w:p w14:paraId="099F5266" w14:textId="77777777" w:rsidR="00C97237" w:rsidRDefault="00000000">
      <w:pPr>
        <w:adjustRightInd w:val="0"/>
        <w:snapToGrid w:val="0"/>
        <w:spacing w:line="59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4</w:t>
      </w:r>
      <w:r>
        <w:rPr>
          <w:rFonts w:ascii="Times New Roman" w:eastAsia="仿宋_GB2312" w:hAnsi="Times New Roman" w:cs="仿宋_GB2312" w:hint="eastAsia"/>
          <w:snapToGrid w:val="0"/>
          <w:kern w:val="0"/>
          <w:sz w:val="32"/>
          <w:szCs w:val="32"/>
        </w:rPr>
        <w:t>．推动规模集聚发展。充分发挥现有比较优势，兼顾产业链发展需要，优化产业发展格局。统筹资源环境承载能力，集聚要素资源和力量，支持企业向产业聚集区和园区聚集，推进重点产业向集群化、集约化方向发展，打造现代产业集群。</w:t>
      </w:r>
    </w:p>
    <w:p w14:paraId="4028C2A2" w14:textId="77777777" w:rsidR="00C97237" w:rsidRDefault="00000000">
      <w:pPr>
        <w:widowControl/>
        <w:spacing w:line="600" w:lineRule="exact"/>
        <w:ind w:firstLine="640"/>
        <w:rPr>
          <w:rFonts w:ascii="Times New Roman" w:eastAsia="黑体" w:hAnsi="Times New Roman" w:cs="Times New Roman"/>
          <w:color w:val="000000"/>
          <w:kern w:val="0"/>
          <w:sz w:val="32"/>
          <w:szCs w:val="32"/>
          <w:lang w:val="en"/>
        </w:rPr>
      </w:pPr>
      <w:r>
        <w:rPr>
          <w:rFonts w:ascii="Times New Roman" w:eastAsia="黑体" w:hAnsi="Times New Roman" w:cs="Times New Roman"/>
          <w:color w:val="000000"/>
          <w:kern w:val="0"/>
          <w:sz w:val="32"/>
          <w:szCs w:val="32"/>
          <w:lang w:val="en"/>
        </w:rPr>
        <w:t>二、工作目标</w:t>
      </w:r>
    </w:p>
    <w:p w14:paraId="76BFA7CD" w14:textId="77777777" w:rsidR="00C97237" w:rsidRDefault="00000000">
      <w:pPr>
        <w:adjustRightInd w:val="0"/>
        <w:snapToGrid w:val="0"/>
        <w:spacing w:line="590" w:lineRule="exact"/>
        <w:ind w:firstLineChars="200" w:firstLine="640"/>
        <w:rPr>
          <w:rFonts w:ascii="Times New Roman" w:eastAsia="仿宋_GB2312" w:hAnsi="Times New Roman" w:cs="仿宋_GB2312"/>
          <w:snapToGrid w:val="0"/>
          <w:kern w:val="0"/>
          <w:sz w:val="32"/>
          <w:szCs w:val="32"/>
        </w:rPr>
      </w:pPr>
      <w:r>
        <w:rPr>
          <w:rFonts w:ascii="Times New Roman" w:eastAsia="仿宋_GB2312" w:hAnsi="Times New Roman" w:cs="仿宋_GB2312" w:hint="eastAsia"/>
          <w:snapToGrid w:val="0"/>
          <w:kern w:val="0"/>
          <w:sz w:val="32"/>
          <w:szCs w:val="32"/>
        </w:rPr>
        <w:t>利用</w:t>
      </w:r>
      <w:r>
        <w:rPr>
          <w:rFonts w:ascii="Times New Roman" w:eastAsia="仿宋_GB2312" w:hAnsi="Times New Roman" w:cs="仿宋_GB2312" w:hint="eastAsia"/>
          <w:snapToGrid w:val="0"/>
          <w:kern w:val="0"/>
          <w:sz w:val="32"/>
          <w:szCs w:val="32"/>
        </w:rPr>
        <w:t>3</w:t>
      </w:r>
      <w:r>
        <w:rPr>
          <w:rFonts w:ascii="Times New Roman" w:eastAsia="仿宋_GB2312" w:hAnsi="Times New Roman" w:cs="仿宋_GB2312" w:hint="eastAsia"/>
          <w:snapToGrid w:val="0"/>
          <w:kern w:val="0"/>
          <w:sz w:val="32"/>
          <w:szCs w:val="32"/>
        </w:rPr>
        <w:t>—</w:t>
      </w:r>
      <w:r>
        <w:rPr>
          <w:rFonts w:ascii="Times New Roman" w:eastAsia="仿宋_GB2312" w:hAnsi="Times New Roman" w:cs="仿宋_GB2312" w:hint="eastAsia"/>
          <w:snapToGrid w:val="0"/>
          <w:kern w:val="0"/>
          <w:sz w:val="32"/>
          <w:szCs w:val="32"/>
        </w:rPr>
        <w:t>5</w:t>
      </w:r>
      <w:r>
        <w:rPr>
          <w:rFonts w:ascii="Times New Roman" w:eastAsia="仿宋_GB2312" w:hAnsi="Times New Roman" w:cs="仿宋_GB2312" w:hint="eastAsia"/>
          <w:snapToGrid w:val="0"/>
          <w:kern w:val="0"/>
          <w:sz w:val="32"/>
          <w:szCs w:val="32"/>
        </w:rPr>
        <w:t>年时间，全区制造业重点产业链发展取得突破性进展，重点培育金属新材料、绿色智造、电线电缆及制鞋产业等一批百亿级产业链集群。在制造业重点领域培育</w:t>
      </w:r>
      <w:r>
        <w:rPr>
          <w:rFonts w:ascii="Times New Roman" w:eastAsia="仿宋_GB2312" w:hAnsi="Times New Roman" w:cs="仿宋_GB2312" w:hint="eastAsia"/>
          <w:snapToGrid w:val="0"/>
          <w:kern w:val="0"/>
          <w:sz w:val="32"/>
          <w:szCs w:val="32"/>
        </w:rPr>
        <w:t>20</w:t>
      </w:r>
      <w:r>
        <w:rPr>
          <w:rFonts w:ascii="Times New Roman" w:eastAsia="仿宋_GB2312" w:hAnsi="Times New Roman" w:cs="仿宋_GB2312" w:hint="eastAsia"/>
          <w:snapToGrid w:val="0"/>
          <w:kern w:val="0"/>
          <w:sz w:val="32"/>
          <w:szCs w:val="32"/>
        </w:rPr>
        <w:t>家十亿级企业，</w:t>
      </w:r>
      <w:r>
        <w:rPr>
          <w:rFonts w:ascii="Times New Roman" w:eastAsia="仿宋_GB2312" w:hAnsi="Times New Roman" w:cs="仿宋_GB2312" w:hint="eastAsia"/>
          <w:snapToGrid w:val="0"/>
          <w:kern w:val="0"/>
          <w:sz w:val="32"/>
          <w:szCs w:val="32"/>
        </w:rPr>
        <w:t>10</w:t>
      </w:r>
      <w:r>
        <w:rPr>
          <w:rFonts w:ascii="Times New Roman" w:eastAsia="仿宋_GB2312" w:hAnsi="Times New Roman" w:cs="仿宋_GB2312" w:hint="eastAsia"/>
          <w:snapToGrid w:val="0"/>
          <w:kern w:val="0"/>
          <w:sz w:val="32"/>
          <w:szCs w:val="32"/>
        </w:rPr>
        <w:t>家</w:t>
      </w:r>
      <w:r>
        <w:rPr>
          <w:rFonts w:ascii="仿宋_GB2312" w:eastAsia="仿宋_GB2312" w:hAnsi="仿宋_GB2312" w:cs="仿宋_GB2312" w:hint="eastAsia"/>
          <w:snapToGrid w:val="0"/>
          <w:kern w:val="0"/>
          <w:sz w:val="32"/>
          <w:szCs w:val="32"/>
        </w:rPr>
        <w:t>“</w:t>
      </w:r>
      <w:r>
        <w:rPr>
          <w:rFonts w:ascii="Times New Roman" w:eastAsia="仿宋_GB2312" w:hAnsi="Times New Roman" w:cs="仿宋_GB2312" w:hint="eastAsia"/>
          <w:snapToGrid w:val="0"/>
          <w:kern w:val="0"/>
          <w:sz w:val="32"/>
          <w:szCs w:val="32"/>
        </w:rPr>
        <w:t>小巨人</w:t>
      </w:r>
      <w:r>
        <w:rPr>
          <w:rFonts w:ascii="仿宋_GB2312" w:eastAsia="仿宋_GB2312" w:hAnsi="仿宋_GB2312" w:cs="仿宋_GB2312" w:hint="eastAsia"/>
          <w:snapToGrid w:val="0"/>
          <w:kern w:val="0"/>
          <w:sz w:val="32"/>
          <w:szCs w:val="32"/>
        </w:rPr>
        <w:t>”“</w:t>
      </w:r>
      <w:r>
        <w:rPr>
          <w:rFonts w:ascii="Times New Roman" w:eastAsia="仿宋_GB2312" w:hAnsi="Times New Roman" w:cs="仿宋_GB2312" w:hint="eastAsia"/>
          <w:snapToGrid w:val="0"/>
          <w:kern w:val="0"/>
          <w:sz w:val="32"/>
          <w:szCs w:val="32"/>
        </w:rPr>
        <w:t>隐形冠军</w:t>
      </w:r>
      <w:r>
        <w:rPr>
          <w:rFonts w:ascii="仿宋_GB2312" w:eastAsia="仿宋_GB2312" w:hAnsi="仿宋_GB2312" w:cs="仿宋_GB2312" w:hint="eastAsia"/>
          <w:snapToGrid w:val="0"/>
          <w:kern w:val="0"/>
          <w:sz w:val="32"/>
          <w:szCs w:val="32"/>
        </w:rPr>
        <w:t>”</w:t>
      </w:r>
      <w:r>
        <w:rPr>
          <w:rFonts w:ascii="Times New Roman" w:eastAsia="仿宋_GB2312" w:hAnsi="Times New Roman" w:cs="仿宋_GB2312" w:hint="eastAsia"/>
          <w:snapToGrid w:val="0"/>
          <w:kern w:val="0"/>
          <w:sz w:val="32"/>
          <w:szCs w:val="32"/>
        </w:rPr>
        <w:t>和</w:t>
      </w:r>
      <w:r>
        <w:rPr>
          <w:rFonts w:ascii="仿宋_GB2312" w:eastAsia="仿宋_GB2312" w:hAnsi="仿宋_GB2312" w:cs="仿宋_GB2312" w:hint="eastAsia"/>
          <w:snapToGrid w:val="0"/>
          <w:kern w:val="0"/>
          <w:sz w:val="32"/>
          <w:szCs w:val="32"/>
        </w:rPr>
        <w:t>“</w:t>
      </w:r>
      <w:r>
        <w:rPr>
          <w:rFonts w:ascii="Times New Roman" w:eastAsia="仿宋_GB2312" w:hAnsi="Times New Roman" w:cs="仿宋_GB2312" w:hint="eastAsia"/>
          <w:snapToGrid w:val="0"/>
          <w:kern w:val="0"/>
          <w:sz w:val="32"/>
          <w:szCs w:val="32"/>
        </w:rPr>
        <w:t>专精特新</w:t>
      </w:r>
      <w:r>
        <w:rPr>
          <w:rFonts w:ascii="仿宋_GB2312" w:eastAsia="仿宋_GB2312" w:hAnsi="仿宋_GB2312" w:cs="仿宋_GB2312" w:hint="eastAsia"/>
          <w:snapToGrid w:val="0"/>
          <w:kern w:val="0"/>
          <w:sz w:val="32"/>
          <w:szCs w:val="32"/>
        </w:rPr>
        <w:t>”</w:t>
      </w:r>
      <w:r>
        <w:rPr>
          <w:rFonts w:ascii="Times New Roman" w:eastAsia="仿宋_GB2312" w:hAnsi="Times New Roman" w:cs="仿宋_GB2312" w:hint="eastAsia"/>
          <w:snapToGrid w:val="0"/>
          <w:kern w:val="0"/>
          <w:sz w:val="32"/>
          <w:szCs w:val="32"/>
        </w:rPr>
        <w:t>中小企业，建成链条完整、生态完备、特色明显、发展质量效益更好，高端化、智能化、绿色化、服务化、国际化水平更高的在全国具有重要影响力的先进制造业高质量发展引领区。</w:t>
      </w:r>
    </w:p>
    <w:p w14:paraId="31955358" w14:textId="77777777" w:rsidR="00C97237" w:rsidRDefault="00000000">
      <w:pPr>
        <w:adjustRightInd w:val="0"/>
        <w:snapToGrid w:val="0"/>
        <w:spacing w:line="590" w:lineRule="exact"/>
        <w:ind w:firstLineChars="200" w:firstLine="640"/>
        <w:rPr>
          <w:rFonts w:ascii="Times New Roman" w:eastAsia="仿宋_GB2312" w:hAnsi="Times New Roman" w:cs="Times New Roman"/>
          <w:snapToGrid w:val="0"/>
          <w:kern w:val="0"/>
          <w:sz w:val="32"/>
          <w:szCs w:val="32"/>
        </w:rPr>
      </w:pPr>
      <w:r>
        <w:rPr>
          <w:rFonts w:ascii="Times New Roman" w:eastAsia="黑体" w:hAnsi="Times New Roman" w:cs="Times New Roman" w:hint="eastAsia"/>
          <w:snapToGrid w:val="0"/>
          <w:kern w:val="0"/>
          <w:sz w:val="32"/>
          <w:szCs w:val="32"/>
        </w:rPr>
        <w:t>三</w:t>
      </w:r>
      <w:r>
        <w:rPr>
          <w:rFonts w:ascii="Times New Roman" w:eastAsia="黑体" w:hAnsi="Times New Roman" w:cs="Times New Roman"/>
          <w:snapToGrid w:val="0"/>
          <w:kern w:val="0"/>
          <w:sz w:val="32"/>
          <w:szCs w:val="32"/>
        </w:rPr>
        <w:t>、发展重点</w:t>
      </w:r>
    </w:p>
    <w:p w14:paraId="48AB11CA" w14:textId="77777777" w:rsidR="00C97237" w:rsidRDefault="00000000">
      <w:pPr>
        <w:adjustRightInd w:val="0"/>
        <w:snapToGrid w:val="0"/>
        <w:spacing w:line="590" w:lineRule="exact"/>
        <w:ind w:firstLineChars="200" w:firstLine="640"/>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立足</w:t>
      </w:r>
      <w:r>
        <w:rPr>
          <w:rFonts w:ascii="Times New Roman" w:eastAsia="仿宋_GB2312" w:hAnsi="Times New Roman" w:cs="Times New Roman" w:hint="eastAsia"/>
          <w:snapToGrid w:val="0"/>
          <w:kern w:val="0"/>
          <w:sz w:val="32"/>
          <w:szCs w:val="32"/>
        </w:rPr>
        <w:t>偃师区</w:t>
      </w:r>
      <w:r>
        <w:rPr>
          <w:rFonts w:ascii="Times New Roman" w:eastAsia="仿宋_GB2312" w:hAnsi="Times New Roman" w:cs="Times New Roman"/>
          <w:snapToGrid w:val="0"/>
          <w:kern w:val="0"/>
          <w:sz w:val="32"/>
          <w:szCs w:val="32"/>
        </w:rPr>
        <w:t>制造业基础，重点</w:t>
      </w:r>
      <w:r>
        <w:rPr>
          <w:rFonts w:ascii="Times New Roman" w:eastAsia="仿宋_GB2312" w:hAnsi="Times New Roman" w:cs="Times New Roman" w:hint="eastAsia"/>
          <w:snapToGrid w:val="0"/>
          <w:kern w:val="0"/>
          <w:sz w:val="32"/>
          <w:szCs w:val="32"/>
        </w:rPr>
        <w:t>做强绿色智</w:t>
      </w:r>
      <w:r>
        <w:rPr>
          <w:rFonts w:ascii="Times New Roman" w:eastAsia="仿宋_GB2312" w:hAnsi="Times New Roman" w:cs="仿宋" w:hint="eastAsia"/>
          <w:kern w:val="0"/>
          <w:sz w:val="32"/>
          <w:szCs w:val="32"/>
        </w:rPr>
        <w:t>造、新材料</w:t>
      </w:r>
      <w:r>
        <w:rPr>
          <w:rFonts w:ascii="Times New Roman" w:eastAsia="仿宋_GB2312" w:hAnsi="Times New Roman" w:cs="仿宋" w:hint="eastAsia"/>
          <w:kern w:val="0"/>
          <w:sz w:val="32"/>
          <w:szCs w:val="32"/>
        </w:rPr>
        <w:t>2</w:t>
      </w:r>
      <w:r>
        <w:rPr>
          <w:rFonts w:ascii="Times New Roman" w:eastAsia="仿宋_GB2312" w:hAnsi="Times New Roman" w:cs="仿宋" w:hint="eastAsia"/>
          <w:kern w:val="0"/>
          <w:sz w:val="32"/>
          <w:szCs w:val="32"/>
        </w:rPr>
        <w:t>个主导产业，做优电线电缆、针织、制鞋、耐火材料、新型包装材料、特色家居制造等</w:t>
      </w:r>
      <w:r>
        <w:rPr>
          <w:rFonts w:ascii="Times New Roman" w:eastAsia="仿宋_GB2312" w:hAnsi="Times New Roman" w:cs="仿宋" w:hint="eastAsia"/>
          <w:kern w:val="0"/>
          <w:sz w:val="32"/>
          <w:szCs w:val="32"/>
        </w:rPr>
        <w:t>6</w:t>
      </w:r>
      <w:r>
        <w:rPr>
          <w:rFonts w:ascii="Times New Roman" w:eastAsia="仿宋_GB2312" w:hAnsi="Times New Roman" w:cs="仿宋" w:hint="eastAsia"/>
          <w:kern w:val="0"/>
          <w:sz w:val="32"/>
          <w:szCs w:val="32"/>
        </w:rPr>
        <w:t>个特色产业。</w:t>
      </w:r>
      <w:r>
        <w:rPr>
          <w:rFonts w:ascii="Times New Roman" w:eastAsia="仿宋_GB2312" w:hAnsi="Times New Roman" w:cs="Times New Roman"/>
          <w:snapToGrid w:val="0"/>
          <w:kern w:val="0"/>
          <w:sz w:val="32"/>
          <w:szCs w:val="32"/>
        </w:rPr>
        <w:t>由</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snapToGrid w:val="0"/>
          <w:kern w:val="0"/>
          <w:sz w:val="32"/>
          <w:szCs w:val="32"/>
        </w:rPr>
        <w:t>政府</w:t>
      </w:r>
      <w:r>
        <w:rPr>
          <w:rFonts w:ascii="Times New Roman" w:eastAsia="仿宋_GB2312" w:hAnsi="Times New Roman" w:cs="Times New Roman" w:hint="eastAsia"/>
          <w:snapToGrid w:val="0"/>
          <w:kern w:val="0"/>
          <w:sz w:val="32"/>
          <w:szCs w:val="32"/>
        </w:rPr>
        <w:t>区长</w:t>
      </w:r>
      <w:r>
        <w:rPr>
          <w:rFonts w:ascii="Times New Roman" w:eastAsia="仿宋_GB2312" w:hAnsi="Times New Roman" w:cs="Times New Roman"/>
          <w:snapToGrid w:val="0"/>
          <w:kern w:val="0"/>
          <w:sz w:val="32"/>
          <w:szCs w:val="32"/>
        </w:rPr>
        <w:t>任总链长，</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snapToGrid w:val="0"/>
          <w:kern w:val="0"/>
          <w:sz w:val="32"/>
          <w:szCs w:val="32"/>
        </w:rPr>
        <w:t>领导任链长，按照</w:t>
      </w:r>
      <w:r>
        <w:rPr>
          <w:rFonts w:ascii="仿宋_GB2312" w:eastAsia="仿宋_GB2312" w:hAnsi="仿宋_GB2312" w:cs="Times New Roman"/>
          <w:snapToGrid w:val="0"/>
          <w:kern w:val="0"/>
          <w:sz w:val="32"/>
          <w:szCs w:val="32"/>
        </w:rPr>
        <w:t>“</w:t>
      </w:r>
      <w:r>
        <w:rPr>
          <w:rFonts w:ascii="Times New Roman" w:eastAsia="仿宋_GB2312" w:hAnsi="Times New Roman" w:cs="Times New Roman"/>
          <w:snapToGrid w:val="0"/>
          <w:kern w:val="0"/>
          <w:sz w:val="32"/>
          <w:szCs w:val="32"/>
        </w:rPr>
        <w:t>一位</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snapToGrid w:val="0"/>
          <w:kern w:val="0"/>
          <w:sz w:val="32"/>
          <w:szCs w:val="32"/>
        </w:rPr>
        <w:t>领导、一个牵头部门（责任人）、一个工作方案、一套支持政策</w:t>
      </w:r>
      <w:r>
        <w:rPr>
          <w:rFonts w:ascii="仿宋_GB2312" w:eastAsia="仿宋_GB2312" w:hAnsi="仿宋_GB2312" w:cs="Times New Roman"/>
          <w:snapToGrid w:val="0"/>
          <w:kern w:val="0"/>
          <w:sz w:val="32"/>
          <w:szCs w:val="32"/>
        </w:rPr>
        <w:t>”</w:t>
      </w:r>
      <w:r>
        <w:rPr>
          <w:rFonts w:ascii="Times New Roman" w:eastAsia="仿宋_GB2312" w:hAnsi="Times New Roman" w:cs="Times New Roman"/>
          <w:snapToGrid w:val="0"/>
          <w:kern w:val="0"/>
          <w:sz w:val="32"/>
          <w:szCs w:val="32"/>
        </w:rPr>
        <w:t>的工作模式，</w:t>
      </w:r>
      <w:r>
        <w:rPr>
          <w:rFonts w:ascii="Times New Roman" w:eastAsia="仿宋_GB2312" w:hAnsi="Times New Roman" w:cs="Times New Roman"/>
          <w:snapToGrid w:val="0"/>
          <w:kern w:val="0"/>
          <w:sz w:val="32"/>
          <w:szCs w:val="32"/>
        </w:rPr>
        <w:lastRenderedPageBreak/>
        <w:t>针对产业发展现状和特点，全面梳理供应链关键流程、关键环节，精准打通供应链堵点、断点，畅通产业循环、市场循环，推动大中小企业、内外贸配套协作各环节协同发展，维护产业链、供应链安全稳定，协力推进</w:t>
      </w:r>
      <w:r>
        <w:rPr>
          <w:rFonts w:ascii="Times New Roman" w:eastAsia="仿宋_GB2312" w:hAnsi="Times New Roman" w:cs="Times New Roman" w:hint="eastAsia"/>
          <w:snapToGrid w:val="0"/>
          <w:kern w:val="0"/>
          <w:sz w:val="32"/>
          <w:szCs w:val="32"/>
        </w:rPr>
        <w:t>偃师区</w:t>
      </w:r>
      <w:r>
        <w:rPr>
          <w:rFonts w:ascii="Times New Roman" w:eastAsia="仿宋_GB2312" w:hAnsi="Times New Roman" w:cs="Times New Roman"/>
          <w:snapToGrid w:val="0"/>
          <w:kern w:val="0"/>
          <w:sz w:val="32"/>
          <w:szCs w:val="32"/>
        </w:rPr>
        <w:t>重点产业链发展。</w:t>
      </w:r>
    </w:p>
    <w:p w14:paraId="65D63C69" w14:textId="77777777" w:rsidR="00C97237" w:rsidRDefault="00000000">
      <w:pPr>
        <w:adjustRightInd w:val="0"/>
        <w:snapToGrid w:val="0"/>
        <w:spacing w:line="590" w:lineRule="exact"/>
        <w:ind w:firstLineChars="200" w:firstLine="640"/>
        <w:rPr>
          <w:rFonts w:ascii="Times New Roman" w:eastAsia="楷体_GB2312" w:hAnsi="Times New Roman" w:cs="Times New Roman"/>
          <w:snapToGrid w:val="0"/>
          <w:kern w:val="0"/>
          <w:sz w:val="32"/>
          <w:szCs w:val="32"/>
        </w:rPr>
      </w:pPr>
      <w:r>
        <w:rPr>
          <w:rFonts w:ascii="Times New Roman" w:eastAsia="黑体" w:hAnsi="Times New Roman" w:cs="Times New Roman" w:hint="eastAsia"/>
          <w:snapToGrid w:val="0"/>
          <w:kern w:val="0"/>
          <w:sz w:val="32"/>
          <w:szCs w:val="32"/>
        </w:rPr>
        <w:t>四</w:t>
      </w:r>
      <w:r>
        <w:rPr>
          <w:rFonts w:ascii="Times New Roman" w:eastAsia="黑体" w:hAnsi="Times New Roman" w:cs="Times New Roman"/>
          <w:snapToGrid w:val="0"/>
          <w:kern w:val="0"/>
          <w:sz w:val="32"/>
          <w:szCs w:val="32"/>
        </w:rPr>
        <w:t>、工作措施</w:t>
      </w:r>
    </w:p>
    <w:p w14:paraId="66D873AA" w14:textId="77777777" w:rsidR="00C97237" w:rsidRDefault="00000000">
      <w:pPr>
        <w:adjustRightInd w:val="0"/>
        <w:snapToGrid w:val="0"/>
        <w:spacing w:line="590" w:lineRule="exact"/>
        <w:ind w:firstLineChars="200" w:firstLine="640"/>
        <w:rPr>
          <w:rFonts w:ascii="Times New Roman" w:eastAsia="楷体_GB2312" w:hAnsi="Times New Roman" w:cs="Times New Roman"/>
          <w:snapToGrid w:val="0"/>
          <w:kern w:val="0"/>
          <w:sz w:val="32"/>
          <w:szCs w:val="32"/>
        </w:rPr>
      </w:pPr>
      <w:r>
        <w:rPr>
          <w:rFonts w:ascii="Times New Roman" w:eastAsia="楷体_GB2312" w:hAnsi="Times New Roman" w:cs="Times New Roman"/>
          <w:snapToGrid w:val="0"/>
          <w:kern w:val="0"/>
          <w:sz w:val="32"/>
          <w:szCs w:val="32"/>
        </w:rPr>
        <w:t>（一）突出</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建链</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，加强顶层设计。</w:t>
      </w:r>
      <w:r>
        <w:rPr>
          <w:rFonts w:ascii="Times New Roman" w:eastAsia="仿宋_GB2312" w:hAnsi="Times New Roman" w:cs="Times New Roman"/>
          <w:snapToGrid w:val="0"/>
          <w:kern w:val="0"/>
          <w:sz w:val="32"/>
          <w:szCs w:val="32"/>
        </w:rPr>
        <w:t>精心编制产业链发展规划、行动方案和年度计划，确定产业发展目标、思路、任务，明晰产业链发展路径，制定实施产业链全景图、发展路线图以及重点企业、配套企业名录表。认真研判每个产业链的创新链、人才链、政策链、资金链和供应链，制定专项扶持政策，加快推进产业协同发展。</w:t>
      </w:r>
    </w:p>
    <w:p w14:paraId="18DA33B3" w14:textId="77777777" w:rsidR="00C97237" w:rsidRDefault="00000000">
      <w:pPr>
        <w:adjustRightInd w:val="0"/>
        <w:snapToGrid w:val="0"/>
        <w:spacing w:line="590" w:lineRule="exact"/>
        <w:ind w:firstLineChars="200" w:firstLine="640"/>
        <w:rPr>
          <w:rFonts w:ascii="Times New Roman" w:eastAsia="楷体_GB2312" w:hAnsi="Times New Roman" w:cs="Times New Roman"/>
          <w:snapToGrid w:val="0"/>
          <w:kern w:val="0"/>
          <w:sz w:val="32"/>
          <w:szCs w:val="32"/>
        </w:rPr>
      </w:pPr>
      <w:r>
        <w:rPr>
          <w:rFonts w:ascii="Times New Roman" w:eastAsia="楷体_GB2312" w:hAnsi="Times New Roman" w:cs="Times New Roman"/>
          <w:snapToGrid w:val="0"/>
          <w:kern w:val="0"/>
          <w:sz w:val="32"/>
          <w:szCs w:val="32"/>
        </w:rPr>
        <w:t>（二）突出</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补链</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，注重项目支撑。</w:t>
      </w:r>
      <w:r>
        <w:rPr>
          <w:rFonts w:ascii="Times New Roman" w:eastAsia="仿宋_GB2312" w:hAnsi="Times New Roman" w:cs="Times New Roman"/>
          <w:snapToGrid w:val="0"/>
          <w:kern w:val="0"/>
          <w:sz w:val="32"/>
          <w:szCs w:val="32"/>
        </w:rPr>
        <w:t>全面梳理现有产业链中的重点项目，寻找缺失的高附加值环节，补齐、补好、补出发展新增点。健全产业链重点项目库，按照</w:t>
      </w:r>
      <w:r>
        <w:rPr>
          <w:rFonts w:ascii="仿宋_GB2312" w:eastAsia="仿宋_GB2312" w:hAnsi="仿宋_GB2312" w:cs="Times New Roman"/>
          <w:snapToGrid w:val="0"/>
          <w:kern w:val="0"/>
          <w:sz w:val="32"/>
          <w:szCs w:val="32"/>
        </w:rPr>
        <w:t>“</w:t>
      </w:r>
      <w:r>
        <w:rPr>
          <w:rFonts w:ascii="Times New Roman" w:eastAsia="仿宋_GB2312" w:hAnsi="Times New Roman" w:cs="Times New Roman"/>
          <w:snapToGrid w:val="0"/>
          <w:kern w:val="0"/>
          <w:sz w:val="32"/>
          <w:szCs w:val="32"/>
        </w:rPr>
        <w:t>储备一批、开工一批、建设一批、投产一批</w:t>
      </w:r>
      <w:r>
        <w:rPr>
          <w:rFonts w:ascii="仿宋_GB2312" w:eastAsia="仿宋_GB2312" w:hAnsi="仿宋_GB2312" w:cs="Times New Roman"/>
          <w:snapToGrid w:val="0"/>
          <w:kern w:val="0"/>
          <w:sz w:val="32"/>
          <w:szCs w:val="32"/>
        </w:rPr>
        <w:t>”</w:t>
      </w:r>
      <w:r>
        <w:rPr>
          <w:rFonts w:ascii="Times New Roman" w:eastAsia="仿宋_GB2312" w:hAnsi="Times New Roman" w:cs="Times New Roman"/>
          <w:snapToGrid w:val="0"/>
          <w:kern w:val="0"/>
          <w:sz w:val="32"/>
          <w:szCs w:val="32"/>
        </w:rPr>
        <w:t>的思路，在全</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snapToGrid w:val="0"/>
          <w:kern w:val="0"/>
          <w:sz w:val="32"/>
          <w:szCs w:val="32"/>
        </w:rPr>
        <w:t>范围内征集和谋划产业链重点项目，及时跟进重点工业投资项目投达产情况，协调解决存在问题，推动签约项目早落地、落地项目早开工、开工项目早达产。鼓励和支持产业链项目争取国家、省重大专项资金支持，大力推进本地企业与央企、国企、知名民企开展合作。</w:t>
      </w:r>
    </w:p>
    <w:p w14:paraId="05FE25EF" w14:textId="77777777" w:rsidR="00C97237" w:rsidRDefault="00000000">
      <w:pPr>
        <w:adjustRightInd w:val="0"/>
        <w:snapToGrid w:val="0"/>
        <w:spacing w:line="590" w:lineRule="exact"/>
        <w:ind w:firstLineChars="200" w:firstLine="640"/>
        <w:rPr>
          <w:rFonts w:ascii="Times New Roman" w:eastAsia="楷体_GB2312" w:hAnsi="Times New Roman" w:cs="Times New Roman"/>
          <w:snapToGrid w:val="0"/>
          <w:kern w:val="0"/>
          <w:sz w:val="32"/>
          <w:szCs w:val="32"/>
        </w:rPr>
      </w:pPr>
      <w:r>
        <w:rPr>
          <w:rFonts w:ascii="Times New Roman" w:eastAsia="楷体_GB2312" w:hAnsi="Times New Roman" w:cs="Times New Roman"/>
          <w:snapToGrid w:val="0"/>
          <w:kern w:val="0"/>
          <w:sz w:val="32"/>
          <w:szCs w:val="32"/>
        </w:rPr>
        <w:t>（三）突出</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延链</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，实行精准招商。</w:t>
      </w:r>
      <w:r>
        <w:rPr>
          <w:rFonts w:ascii="Times New Roman" w:eastAsia="仿宋_GB2312" w:hAnsi="Times New Roman" w:cs="Times New Roman"/>
          <w:snapToGrid w:val="0"/>
          <w:kern w:val="0"/>
          <w:sz w:val="32"/>
          <w:szCs w:val="32"/>
        </w:rPr>
        <w:t>以产业精准分析为基础，围绕构建产业链上下游的重要环节，精准招引产业</w:t>
      </w:r>
      <w:r>
        <w:rPr>
          <w:rFonts w:ascii="Times New Roman" w:eastAsia="仿宋_GB2312" w:hAnsi="Times New Roman" w:cs="Times New Roman"/>
          <w:snapToGrid w:val="0"/>
          <w:kern w:val="0"/>
          <w:sz w:val="32"/>
          <w:szCs w:val="32"/>
        </w:rPr>
        <w:lastRenderedPageBreak/>
        <w:t>链引擎性项目。建立产业链上下游招商项目库和招商企业目标库，积极搭建产业承接平台，持续提升园区承载功能，完善标准厂房、物流仓储、污水处理等生产配套设施，推动从基础功能型向综合服务型现代园区升级。</w:t>
      </w:r>
    </w:p>
    <w:p w14:paraId="0201F561" w14:textId="77777777" w:rsidR="00C97237" w:rsidRDefault="00000000">
      <w:pPr>
        <w:adjustRightInd w:val="0"/>
        <w:snapToGrid w:val="0"/>
        <w:spacing w:line="590" w:lineRule="exact"/>
        <w:ind w:firstLineChars="200" w:firstLine="640"/>
        <w:rPr>
          <w:rFonts w:ascii="Times New Roman" w:eastAsia="楷体_GB2312" w:hAnsi="Times New Roman" w:cs="Times New Roman"/>
          <w:snapToGrid w:val="0"/>
          <w:kern w:val="0"/>
          <w:sz w:val="32"/>
          <w:szCs w:val="32"/>
        </w:rPr>
      </w:pPr>
      <w:r>
        <w:rPr>
          <w:rFonts w:ascii="Times New Roman" w:eastAsia="楷体_GB2312" w:hAnsi="Times New Roman" w:cs="Times New Roman"/>
          <w:snapToGrid w:val="0"/>
          <w:kern w:val="0"/>
          <w:sz w:val="32"/>
          <w:szCs w:val="32"/>
        </w:rPr>
        <w:t>（四）突出</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融链</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，强化创新驱动。</w:t>
      </w:r>
      <w:r>
        <w:rPr>
          <w:rFonts w:ascii="Times New Roman" w:eastAsia="仿宋_GB2312" w:hAnsi="Times New Roman" w:cs="Times New Roman"/>
          <w:snapToGrid w:val="0"/>
          <w:kern w:val="0"/>
          <w:sz w:val="32"/>
          <w:szCs w:val="32"/>
        </w:rPr>
        <w:t>释放各类主体，融合发展潜力，发挥科技、人才、数据资源等优势，积极创新、创业，发展新产业、新模式。强化企业自主创新主体作用，支持产业链企业深化产学研合作，依托创新研究院、院士工作站等单位建设协同创新平台。加强工业设计、研发孵化、创新等公共服务平台体系建设，培育引进创新人才团队。大力推动产业链标准化工作，鼓励和支持企业参与标准制定与修订。实施品牌战略，引导企业制定品牌发展战略规划。推进</w:t>
      </w:r>
      <w:r>
        <w:rPr>
          <w:rFonts w:ascii="仿宋_GB2312" w:eastAsia="仿宋_GB2312" w:hAnsi="仿宋_GB2312" w:cs="Times New Roman"/>
          <w:snapToGrid w:val="0"/>
          <w:kern w:val="0"/>
          <w:sz w:val="32"/>
          <w:szCs w:val="32"/>
        </w:rPr>
        <w:t>“</w:t>
      </w:r>
      <w:r>
        <w:rPr>
          <w:rFonts w:ascii="Times New Roman" w:eastAsia="仿宋_GB2312" w:hAnsi="Times New Roman" w:cs="Times New Roman"/>
          <w:snapToGrid w:val="0"/>
          <w:kern w:val="0"/>
          <w:sz w:val="32"/>
          <w:szCs w:val="32"/>
        </w:rPr>
        <w:t>互联网</w:t>
      </w:r>
      <w:r>
        <w:rPr>
          <w:rFonts w:ascii="Times New Roman" w:eastAsia="仿宋_GB2312" w:hAnsi="Times New Roman" w:cs="Times New Roman"/>
          <w:snapToGrid w:val="0"/>
          <w:kern w:val="0"/>
          <w:sz w:val="32"/>
          <w:szCs w:val="32"/>
        </w:rPr>
        <w:t>+</w:t>
      </w:r>
      <w:r>
        <w:rPr>
          <w:rFonts w:ascii="仿宋_GB2312" w:eastAsia="仿宋_GB2312" w:hAnsi="仿宋_GB2312" w:cs="Times New Roman"/>
          <w:snapToGrid w:val="0"/>
          <w:kern w:val="0"/>
          <w:sz w:val="32"/>
          <w:szCs w:val="32"/>
        </w:rPr>
        <w:t>”</w:t>
      </w:r>
      <w:r>
        <w:rPr>
          <w:rFonts w:ascii="Times New Roman" w:eastAsia="仿宋_GB2312" w:hAnsi="Times New Roman" w:cs="Times New Roman"/>
          <w:snapToGrid w:val="0"/>
          <w:kern w:val="0"/>
          <w:sz w:val="32"/>
          <w:szCs w:val="32"/>
        </w:rPr>
        <w:t>产业建设，加快产品升级换代，大力培育产业链新业态、新产品、新技术。推动开放合作，注重产业关联和优势互补，共建产业链、共享价值链。</w:t>
      </w:r>
    </w:p>
    <w:p w14:paraId="202F3C84" w14:textId="77777777" w:rsidR="00C97237" w:rsidRDefault="00000000">
      <w:pPr>
        <w:adjustRightInd w:val="0"/>
        <w:snapToGrid w:val="0"/>
        <w:spacing w:line="590" w:lineRule="exact"/>
        <w:ind w:firstLineChars="200" w:firstLine="640"/>
        <w:rPr>
          <w:rFonts w:ascii="Times New Roman" w:eastAsia="黑体" w:hAnsi="Times New Roman" w:cs="Times New Roman"/>
          <w:snapToGrid w:val="0"/>
          <w:kern w:val="0"/>
          <w:sz w:val="32"/>
          <w:szCs w:val="32"/>
        </w:rPr>
      </w:pPr>
      <w:r>
        <w:rPr>
          <w:rFonts w:ascii="Times New Roman" w:eastAsia="楷体_GB2312" w:hAnsi="Times New Roman" w:cs="Times New Roman"/>
          <w:snapToGrid w:val="0"/>
          <w:kern w:val="0"/>
          <w:sz w:val="32"/>
          <w:szCs w:val="32"/>
        </w:rPr>
        <w:t>（五）突出</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强链</w:t>
      </w:r>
      <w:r>
        <w:rPr>
          <w:rFonts w:ascii="仿宋_GB2312" w:eastAsia="仿宋_GB2312" w:hAnsi="仿宋_GB2312" w:cs="Times New Roman"/>
          <w:snapToGrid w:val="0"/>
          <w:kern w:val="0"/>
          <w:sz w:val="32"/>
          <w:szCs w:val="32"/>
        </w:rPr>
        <w:t>”</w:t>
      </w:r>
      <w:r>
        <w:rPr>
          <w:rFonts w:ascii="Times New Roman" w:eastAsia="楷体_GB2312" w:hAnsi="Times New Roman" w:cs="Times New Roman"/>
          <w:snapToGrid w:val="0"/>
          <w:kern w:val="0"/>
          <w:sz w:val="32"/>
          <w:szCs w:val="32"/>
        </w:rPr>
        <w:t>，推动集聚发展。</w:t>
      </w:r>
      <w:r>
        <w:rPr>
          <w:rFonts w:ascii="Times New Roman" w:eastAsia="仿宋_GB2312" w:hAnsi="Times New Roman" w:cs="Times New Roman"/>
          <w:snapToGrid w:val="0"/>
          <w:kern w:val="0"/>
          <w:sz w:val="32"/>
          <w:szCs w:val="32"/>
        </w:rPr>
        <w:t>强化产业链龙头企业引领作用，支持龙头企业加快科技创新、管理创新、产品创新和商业模式创新，增强核心竞争力。引导产业链龙头企业探索组建产业链联盟，充分发挥桥梁纽带作用，促进产业链上下游企业加强合作力度，帮助企业解决产业链联动难题，建立良好的产业发展生态。坚持抓大扶小并重，引导中小微企业以产业链为纽带，向龙头企业集中集聚，构建大中小企业协作配套、协同发展的生态体系。围绕产业关联度高、</w:t>
      </w:r>
      <w:r>
        <w:rPr>
          <w:rFonts w:ascii="Times New Roman" w:eastAsia="仿宋_GB2312" w:hAnsi="Times New Roman" w:cs="Times New Roman"/>
          <w:snapToGrid w:val="0"/>
          <w:kern w:val="0"/>
          <w:sz w:val="32"/>
          <w:szCs w:val="32"/>
        </w:rPr>
        <w:lastRenderedPageBreak/>
        <w:t>带动性强的龙头企业和重大项目，强化规划引导、产业准入、政策扶持等措施，推动关联产业、上下游配套企业和资源要素向园区集聚。</w:t>
      </w:r>
    </w:p>
    <w:p w14:paraId="4F316939" w14:textId="77777777" w:rsidR="00C97237" w:rsidRDefault="00000000">
      <w:pPr>
        <w:pStyle w:val="Default"/>
        <w:autoSpaceDE/>
        <w:autoSpaceDN/>
        <w:snapToGrid w:val="0"/>
        <w:spacing w:line="590" w:lineRule="exact"/>
        <w:ind w:firstLineChars="200" w:firstLine="640"/>
        <w:jc w:val="both"/>
        <w:rPr>
          <w:rFonts w:ascii="Times New Roman" w:eastAsia="楷体_GB2312" w:hAnsi="Times New Roman"/>
          <w:snapToGrid w:val="0"/>
          <w:color w:val="auto"/>
          <w:sz w:val="32"/>
          <w:szCs w:val="32"/>
        </w:rPr>
      </w:pPr>
      <w:r>
        <w:rPr>
          <w:rFonts w:ascii="Times New Roman" w:eastAsia="黑体" w:hAnsi="Times New Roman" w:hint="eastAsia"/>
          <w:snapToGrid w:val="0"/>
          <w:color w:val="auto"/>
          <w:sz w:val="32"/>
          <w:szCs w:val="32"/>
        </w:rPr>
        <w:t>五</w:t>
      </w:r>
      <w:r>
        <w:rPr>
          <w:rFonts w:ascii="Times New Roman" w:eastAsia="黑体" w:hAnsi="Times New Roman"/>
          <w:snapToGrid w:val="0"/>
          <w:color w:val="auto"/>
          <w:sz w:val="32"/>
          <w:szCs w:val="32"/>
        </w:rPr>
        <w:t>、重点任务</w:t>
      </w:r>
    </w:p>
    <w:p w14:paraId="359E9550" w14:textId="77777777" w:rsidR="00C97237" w:rsidRDefault="00000000">
      <w:pPr>
        <w:adjustRightInd w:val="0"/>
        <w:snapToGrid w:val="0"/>
        <w:spacing w:line="590" w:lineRule="exact"/>
        <w:ind w:firstLineChars="200" w:firstLine="640"/>
        <w:rPr>
          <w:rFonts w:ascii="Times New Roman" w:eastAsia="楷体_GB2312" w:hAnsi="Times New Roman" w:cs="Times New Roman"/>
          <w:bCs/>
          <w:snapToGrid w:val="0"/>
          <w:spacing w:val="11"/>
          <w:kern w:val="0"/>
          <w:sz w:val="32"/>
          <w:szCs w:val="32"/>
        </w:rPr>
      </w:pPr>
      <w:r>
        <w:rPr>
          <w:rFonts w:ascii="Times New Roman" w:eastAsia="楷体_GB2312" w:hAnsi="Times New Roman" w:cs="Times New Roman"/>
          <w:bCs/>
          <w:snapToGrid w:val="0"/>
          <w:kern w:val="0"/>
          <w:sz w:val="32"/>
          <w:szCs w:val="32"/>
          <w:shd w:val="clear" w:color="auto" w:fill="FFFFFF"/>
        </w:rPr>
        <w:t>（一）着力强化产业链协同。</w:t>
      </w:r>
      <w:r>
        <w:rPr>
          <w:rFonts w:ascii="Times New Roman" w:eastAsia="仿宋_GB2312" w:hAnsi="Times New Roman" w:cs="Times New Roman"/>
          <w:bCs/>
          <w:snapToGrid w:val="0"/>
          <w:kern w:val="0"/>
          <w:sz w:val="32"/>
          <w:szCs w:val="32"/>
          <w:shd w:val="clear" w:color="auto" w:fill="FFFFFF"/>
        </w:rPr>
        <w:t>围绕</w:t>
      </w:r>
      <w:r>
        <w:rPr>
          <w:rFonts w:ascii="Times New Roman" w:eastAsia="仿宋_GB2312" w:hAnsi="Times New Roman" w:cs="Times New Roman" w:hint="eastAsia"/>
          <w:bCs/>
          <w:snapToGrid w:val="0"/>
          <w:kern w:val="0"/>
          <w:sz w:val="32"/>
          <w:szCs w:val="32"/>
          <w:shd w:val="clear" w:color="auto" w:fill="FFFFFF"/>
        </w:rPr>
        <w:t>8</w:t>
      </w:r>
      <w:r>
        <w:rPr>
          <w:rFonts w:ascii="Times New Roman" w:eastAsia="仿宋_GB2312" w:hAnsi="Times New Roman" w:cs="Times New Roman"/>
          <w:bCs/>
          <w:snapToGrid w:val="0"/>
          <w:kern w:val="0"/>
          <w:sz w:val="32"/>
          <w:szCs w:val="32"/>
          <w:shd w:val="clear" w:color="auto" w:fill="FFFFFF"/>
        </w:rPr>
        <w:t>条优势产业链，</w:t>
      </w:r>
      <w:r>
        <w:rPr>
          <w:rFonts w:ascii="Times New Roman" w:eastAsia="仿宋_GB2312" w:hAnsi="Times New Roman" w:cs="Times New Roman"/>
          <w:bCs/>
          <w:snapToGrid w:val="0"/>
          <w:kern w:val="0"/>
          <w:sz w:val="32"/>
          <w:szCs w:val="32"/>
        </w:rPr>
        <w:t>开展产业链固链行动，加强上下游产业布局规划，</w:t>
      </w:r>
      <w:r>
        <w:rPr>
          <w:rFonts w:ascii="Times New Roman" w:eastAsia="仿宋_GB2312" w:hAnsi="Times New Roman" w:cs="Times New Roman"/>
          <w:bCs/>
          <w:snapToGrid w:val="0"/>
          <w:kern w:val="0"/>
          <w:sz w:val="32"/>
          <w:szCs w:val="32"/>
          <w:shd w:val="clear" w:color="auto" w:fill="FFFFFF"/>
        </w:rPr>
        <w:t>提升产业链龙头骨干企业带动作用，</w:t>
      </w:r>
      <w:r>
        <w:rPr>
          <w:rFonts w:ascii="Times New Roman" w:eastAsia="仿宋_GB2312" w:hAnsi="Times New Roman" w:cs="Times New Roman"/>
          <w:bCs/>
          <w:snapToGrid w:val="0"/>
          <w:kern w:val="0"/>
          <w:sz w:val="32"/>
        </w:rPr>
        <w:t>促进产业链上下游企业开展纵向分工协作，</w:t>
      </w:r>
      <w:r>
        <w:rPr>
          <w:rFonts w:ascii="Times New Roman" w:eastAsia="仿宋_GB2312" w:hAnsi="Times New Roman" w:cs="Times New Roman"/>
          <w:bCs/>
          <w:snapToGrid w:val="0"/>
          <w:kern w:val="0"/>
          <w:sz w:val="32"/>
          <w:szCs w:val="32"/>
          <w:shd w:val="clear" w:color="auto" w:fill="FFFFFF"/>
        </w:rPr>
        <w:t>强化专业化协作和配套能力建设。</w:t>
      </w:r>
      <w:r>
        <w:rPr>
          <w:rFonts w:ascii="Times New Roman" w:eastAsia="仿宋_GB2312" w:hAnsi="Times New Roman" w:cs="Times New Roman"/>
          <w:bCs/>
          <w:snapToGrid w:val="0"/>
          <w:kern w:val="0"/>
          <w:sz w:val="32"/>
          <w:szCs w:val="32"/>
        </w:rPr>
        <w:t>重点培育</w:t>
      </w:r>
      <w:r>
        <w:rPr>
          <w:rFonts w:ascii="Times New Roman" w:eastAsia="仿宋_GB2312" w:hAnsi="Times New Roman" w:cs="Times New Roman" w:hint="eastAsia"/>
          <w:bCs/>
          <w:snapToGrid w:val="0"/>
          <w:kern w:val="0"/>
          <w:sz w:val="32"/>
          <w:szCs w:val="32"/>
        </w:rPr>
        <w:t>绿色智造、</w:t>
      </w:r>
      <w:r>
        <w:rPr>
          <w:rFonts w:ascii="Times New Roman" w:eastAsia="仿宋_GB2312" w:hAnsi="Times New Roman" w:cs="Times New Roman"/>
          <w:bCs/>
          <w:snapToGrid w:val="0"/>
          <w:kern w:val="0"/>
          <w:sz w:val="32"/>
          <w:szCs w:val="32"/>
        </w:rPr>
        <w:t>新材料、电线电缆及制鞋产业等一批百亿级产业链集群，</w:t>
      </w:r>
      <w:r>
        <w:rPr>
          <w:rFonts w:ascii="Times New Roman" w:eastAsia="仿宋_GB2312" w:hAnsi="Times New Roman" w:cs="Times New Roman"/>
          <w:bCs/>
          <w:snapToGrid w:val="0"/>
          <w:spacing w:val="11"/>
          <w:kern w:val="0"/>
          <w:sz w:val="32"/>
          <w:szCs w:val="32"/>
        </w:rPr>
        <w:t>精准推动产业链协同发展，提升产业发展层次和水平。</w:t>
      </w:r>
    </w:p>
    <w:p w14:paraId="1FD2DD3B" w14:textId="77777777" w:rsidR="00C97237" w:rsidRDefault="00000000">
      <w:pPr>
        <w:adjustRightInd w:val="0"/>
        <w:snapToGrid w:val="0"/>
        <w:spacing w:line="590" w:lineRule="exact"/>
        <w:ind w:firstLineChars="200" w:firstLine="640"/>
        <w:rPr>
          <w:rFonts w:ascii="Times New Roman" w:eastAsia="仿宋_GB2312" w:hAnsi="Times New Roman" w:cs="仿宋_GB2312"/>
          <w:bCs/>
          <w:snapToGrid w:val="0"/>
          <w:kern w:val="0"/>
          <w:sz w:val="32"/>
          <w:szCs w:val="32"/>
          <w:lang w:val="zh-CN"/>
        </w:rPr>
      </w:pPr>
      <w:r>
        <w:rPr>
          <w:rFonts w:ascii="Times New Roman" w:eastAsia="楷体_GB2312" w:hAnsi="Times New Roman" w:cs="Times New Roman"/>
          <w:bCs/>
          <w:snapToGrid w:val="0"/>
          <w:kern w:val="0"/>
          <w:sz w:val="32"/>
          <w:szCs w:val="32"/>
        </w:rPr>
        <w:t>（二）着力加快产业转型。</w:t>
      </w:r>
      <w:r>
        <w:rPr>
          <w:rFonts w:ascii="Times New Roman" w:eastAsia="仿宋_GB2312" w:hAnsi="Times New Roman" w:cs="仿宋_GB2312" w:hint="eastAsia"/>
          <w:bCs/>
          <w:snapToGrid w:val="0"/>
          <w:kern w:val="0"/>
          <w:sz w:val="32"/>
          <w:szCs w:val="32"/>
        </w:rPr>
        <w:t>大力推进工业</w:t>
      </w:r>
      <w:r>
        <w:rPr>
          <w:rFonts w:ascii="仿宋_GB2312" w:eastAsia="仿宋_GB2312" w:hAnsi="仿宋_GB2312" w:cs="仿宋_GB2312" w:hint="eastAsia"/>
          <w:bCs/>
          <w:snapToGrid w:val="0"/>
          <w:kern w:val="0"/>
          <w:sz w:val="32"/>
          <w:szCs w:val="32"/>
        </w:rPr>
        <w:t>“</w:t>
      </w:r>
      <w:r>
        <w:rPr>
          <w:rFonts w:ascii="Times New Roman" w:eastAsia="仿宋_GB2312" w:hAnsi="Times New Roman" w:cs="仿宋_GB2312" w:hint="eastAsia"/>
          <w:bCs/>
          <w:snapToGrid w:val="0"/>
          <w:kern w:val="0"/>
          <w:sz w:val="32"/>
          <w:szCs w:val="32"/>
        </w:rPr>
        <w:t>三大改造</w:t>
      </w:r>
      <w:r>
        <w:rPr>
          <w:rFonts w:ascii="仿宋_GB2312" w:eastAsia="仿宋_GB2312" w:hAnsi="仿宋_GB2312" w:cs="仿宋_GB2312" w:hint="eastAsia"/>
          <w:bCs/>
          <w:snapToGrid w:val="0"/>
          <w:kern w:val="0"/>
          <w:sz w:val="32"/>
          <w:szCs w:val="32"/>
        </w:rPr>
        <w:t>”</w:t>
      </w:r>
      <w:r>
        <w:rPr>
          <w:rFonts w:ascii="Times New Roman" w:eastAsia="仿宋_GB2312" w:hAnsi="Times New Roman" w:cs="仿宋_GB2312" w:hint="eastAsia"/>
          <w:bCs/>
          <w:snapToGrid w:val="0"/>
          <w:kern w:val="0"/>
          <w:sz w:val="32"/>
          <w:szCs w:val="32"/>
        </w:rPr>
        <w:t>，发挥省先进制造业专项资金、市技术改造专项资金引导作用，引导、鼓励我区企业以智能化改造为引领实施</w:t>
      </w:r>
      <w:r>
        <w:rPr>
          <w:rFonts w:ascii="仿宋_GB2312" w:eastAsia="仿宋_GB2312" w:hAnsi="仿宋_GB2312" w:cs="仿宋_GB2312" w:hint="eastAsia"/>
          <w:bCs/>
          <w:snapToGrid w:val="0"/>
          <w:kern w:val="0"/>
          <w:sz w:val="32"/>
          <w:szCs w:val="32"/>
        </w:rPr>
        <w:t>“</w:t>
      </w:r>
      <w:r>
        <w:rPr>
          <w:rFonts w:ascii="Times New Roman" w:eastAsia="仿宋_GB2312" w:hAnsi="Times New Roman" w:cs="仿宋_GB2312" w:hint="eastAsia"/>
          <w:bCs/>
          <w:snapToGrid w:val="0"/>
          <w:kern w:val="0"/>
          <w:sz w:val="32"/>
          <w:szCs w:val="32"/>
        </w:rPr>
        <w:t>三大改造</w:t>
      </w:r>
      <w:r>
        <w:rPr>
          <w:rFonts w:ascii="仿宋_GB2312" w:eastAsia="仿宋_GB2312" w:hAnsi="仿宋_GB2312" w:cs="仿宋_GB2312" w:hint="eastAsia"/>
          <w:bCs/>
          <w:snapToGrid w:val="0"/>
          <w:kern w:val="0"/>
          <w:sz w:val="32"/>
          <w:szCs w:val="32"/>
        </w:rPr>
        <w:t>”</w:t>
      </w:r>
      <w:r>
        <w:rPr>
          <w:rFonts w:ascii="Times New Roman" w:eastAsia="仿宋_GB2312" w:hAnsi="Times New Roman" w:cs="仿宋_GB2312" w:hint="eastAsia"/>
          <w:bCs/>
          <w:snapToGrid w:val="0"/>
          <w:kern w:val="0"/>
          <w:sz w:val="32"/>
          <w:szCs w:val="32"/>
        </w:rPr>
        <w:t>，</w:t>
      </w:r>
      <w:r>
        <w:rPr>
          <w:rFonts w:ascii="Times New Roman" w:eastAsia="仿宋_GB2312" w:hAnsi="Times New Roman" w:cs="仿宋_GB2312" w:hint="eastAsia"/>
          <w:bCs/>
          <w:snapToGrid w:val="0"/>
          <w:kern w:val="0"/>
          <w:sz w:val="32"/>
          <w:szCs w:val="32"/>
        </w:rPr>
        <w:t>2025</w:t>
      </w:r>
      <w:r>
        <w:rPr>
          <w:rFonts w:ascii="Times New Roman" w:eastAsia="仿宋_GB2312" w:hAnsi="Times New Roman" w:cs="仿宋_GB2312" w:hint="eastAsia"/>
          <w:bCs/>
          <w:snapToGrid w:val="0"/>
          <w:kern w:val="0"/>
          <w:sz w:val="32"/>
          <w:szCs w:val="32"/>
        </w:rPr>
        <w:t>年实现全区规模以上工业企业三大改造全覆盖</w:t>
      </w:r>
      <w:r>
        <w:rPr>
          <w:rFonts w:ascii="Times New Roman" w:eastAsia="仿宋_GB2312" w:hAnsi="Times New Roman" w:cs="仿宋_GB2312" w:hint="eastAsia"/>
          <w:bCs/>
          <w:snapToGrid w:val="0"/>
          <w:spacing w:val="11"/>
          <w:kern w:val="0"/>
          <w:sz w:val="32"/>
          <w:szCs w:val="32"/>
        </w:rPr>
        <w:t>，带动产业链提质增效，稳定本地供应链条。</w:t>
      </w:r>
    </w:p>
    <w:p w14:paraId="777DD8A0" w14:textId="77777777" w:rsidR="00C97237" w:rsidRDefault="00000000">
      <w:pPr>
        <w:pStyle w:val="ab"/>
        <w:adjustRightInd w:val="0"/>
        <w:snapToGrid w:val="0"/>
        <w:spacing w:beforeAutospacing="0" w:afterAutospacing="0" w:line="590" w:lineRule="exact"/>
        <w:ind w:firstLineChars="200" w:firstLine="640"/>
        <w:rPr>
          <w:rFonts w:ascii="Times New Roman" w:eastAsia="楷体_GB2312" w:hAnsi="Times New Roman" w:cs="Times New Roman"/>
          <w:bCs/>
          <w:snapToGrid w:val="0"/>
          <w:kern w:val="0"/>
          <w:sz w:val="32"/>
          <w:szCs w:val="32"/>
        </w:rPr>
      </w:pPr>
      <w:r>
        <w:rPr>
          <w:rFonts w:ascii="Times New Roman" w:eastAsia="楷体_GB2312" w:hAnsi="Times New Roman" w:cs="Times New Roman"/>
          <w:bCs/>
          <w:snapToGrid w:val="0"/>
          <w:kern w:val="0"/>
          <w:sz w:val="32"/>
          <w:szCs w:val="32"/>
        </w:rPr>
        <w:t>（三）着力加强企业培育。</w:t>
      </w:r>
      <w:r>
        <w:rPr>
          <w:rFonts w:ascii="Times New Roman" w:eastAsia="仿宋_GB2312" w:hAnsi="Times New Roman" w:cs="Times New Roman"/>
          <w:bCs/>
          <w:snapToGrid w:val="0"/>
          <w:kern w:val="0"/>
          <w:sz w:val="32"/>
          <w:szCs w:val="32"/>
        </w:rPr>
        <w:t>围绕产业链重点领域，实施重点企业提质倍增、</w:t>
      </w:r>
      <w:r>
        <w:rPr>
          <w:rFonts w:ascii="仿宋_GB2312" w:eastAsia="仿宋_GB2312" w:hAnsi="仿宋_GB2312" w:cs="Times New Roman"/>
          <w:bCs/>
          <w:snapToGrid w:val="0"/>
          <w:kern w:val="0"/>
          <w:sz w:val="32"/>
          <w:szCs w:val="32"/>
        </w:rPr>
        <w:t>“</w:t>
      </w:r>
      <w:r>
        <w:rPr>
          <w:rFonts w:ascii="Times New Roman" w:eastAsia="仿宋_GB2312" w:hAnsi="Times New Roman" w:cs="Times New Roman"/>
          <w:bCs/>
          <w:snapToGrid w:val="0"/>
          <w:kern w:val="0"/>
          <w:sz w:val="32"/>
          <w:szCs w:val="32"/>
        </w:rPr>
        <w:t>小巨人</w:t>
      </w:r>
      <w:r>
        <w:rPr>
          <w:rFonts w:ascii="仿宋_GB2312" w:eastAsia="仿宋_GB2312" w:hAnsi="仿宋_GB2312" w:cs="Times New Roman"/>
          <w:bCs/>
          <w:snapToGrid w:val="0"/>
          <w:kern w:val="0"/>
          <w:sz w:val="32"/>
          <w:szCs w:val="32"/>
        </w:rPr>
        <w:t>”“</w:t>
      </w:r>
      <w:r>
        <w:rPr>
          <w:rFonts w:ascii="Times New Roman" w:eastAsia="仿宋_GB2312" w:hAnsi="Times New Roman" w:cs="Times New Roman"/>
          <w:bCs/>
          <w:snapToGrid w:val="0"/>
          <w:kern w:val="0"/>
          <w:sz w:val="32"/>
          <w:szCs w:val="32"/>
        </w:rPr>
        <w:t>隐形冠军</w:t>
      </w:r>
      <w:r>
        <w:rPr>
          <w:rFonts w:ascii="仿宋_GB2312" w:eastAsia="仿宋_GB2312" w:hAnsi="仿宋_GB2312" w:cs="Times New Roman"/>
          <w:bCs/>
          <w:snapToGrid w:val="0"/>
          <w:kern w:val="0"/>
          <w:sz w:val="32"/>
          <w:szCs w:val="32"/>
        </w:rPr>
        <w:t>”“</w:t>
      </w:r>
      <w:r>
        <w:rPr>
          <w:rFonts w:ascii="Times New Roman" w:eastAsia="仿宋_GB2312" w:hAnsi="Times New Roman" w:cs="Times New Roman"/>
          <w:bCs/>
          <w:snapToGrid w:val="0"/>
          <w:kern w:val="0"/>
          <w:sz w:val="32"/>
          <w:szCs w:val="32"/>
        </w:rPr>
        <w:t>瞪</w:t>
      </w:r>
      <w:r>
        <w:rPr>
          <w:rFonts w:ascii="Times New Roman" w:eastAsia="仿宋_GB2312" w:hAnsi="Times New Roman" w:cs="Times New Roman" w:hint="eastAsia"/>
          <w:bCs/>
          <w:snapToGrid w:val="0"/>
          <w:kern w:val="0"/>
          <w:sz w:val="32"/>
          <w:szCs w:val="32"/>
        </w:rPr>
        <w:t>羚</w:t>
      </w:r>
      <w:r>
        <w:rPr>
          <w:rFonts w:ascii="仿宋_GB2312" w:eastAsia="仿宋_GB2312" w:hAnsi="仿宋_GB2312" w:cs="Times New Roman"/>
          <w:bCs/>
          <w:snapToGrid w:val="0"/>
          <w:kern w:val="0"/>
          <w:sz w:val="32"/>
          <w:szCs w:val="32"/>
        </w:rPr>
        <w:t>”</w:t>
      </w:r>
      <w:r>
        <w:rPr>
          <w:rFonts w:ascii="Times New Roman" w:eastAsia="仿宋_GB2312" w:hAnsi="Times New Roman" w:cs="Times New Roman"/>
          <w:bCs/>
          <w:snapToGrid w:val="0"/>
          <w:kern w:val="0"/>
          <w:sz w:val="32"/>
          <w:szCs w:val="32"/>
        </w:rPr>
        <w:t>企业培育</w:t>
      </w:r>
      <w:r>
        <w:rPr>
          <w:rFonts w:ascii="仿宋_GB2312" w:eastAsia="仿宋_GB2312" w:hAnsi="仿宋_GB2312" w:cs="Times New Roman"/>
          <w:bCs/>
          <w:snapToGrid w:val="0"/>
          <w:kern w:val="0"/>
          <w:sz w:val="32"/>
          <w:szCs w:val="32"/>
        </w:rPr>
        <w:t>“</w:t>
      </w:r>
      <w:r>
        <w:rPr>
          <w:rFonts w:ascii="Times New Roman" w:eastAsia="仿宋_GB2312" w:hAnsi="Times New Roman" w:cs="Times New Roman"/>
          <w:bCs/>
          <w:snapToGrid w:val="0"/>
          <w:kern w:val="0"/>
          <w:sz w:val="32"/>
          <w:szCs w:val="32"/>
        </w:rPr>
        <w:t>一行动三工程</w:t>
      </w:r>
      <w:r>
        <w:rPr>
          <w:rFonts w:ascii="仿宋_GB2312" w:eastAsia="仿宋_GB2312" w:hAnsi="仿宋_GB2312" w:cs="Times New Roman"/>
          <w:bCs/>
          <w:snapToGrid w:val="0"/>
          <w:kern w:val="0"/>
          <w:sz w:val="32"/>
          <w:szCs w:val="32"/>
        </w:rPr>
        <w:t>”</w:t>
      </w:r>
      <w:r>
        <w:rPr>
          <w:rFonts w:ascii="Times New Roman" w:eastAsia="仿宋_GB2312" w:hAnsi="Times New Roman" w:cs="Times New Roman"/>
          <w:bCs/>
          <w:snapToGrid w:val="0"/>
          <w:kern w:val="0"/>
          <w:sz w:val="32"/>
          <w:szCs w:val="32"/>
        </w:rPr>
        <w:t>，遴选培育一批产业链领航企业、龙头骨干企业，</w:t>
      </w:r>
      <w:r>
        <w:rPr>
          <w:rFonts w:ascii="Times New Roman" w:eastAsia="仿宋_GB2312" w:hAnsi="Times New Roman" w:cs="Times New Roman"/>
          <w:bCs/>
          <w:snapToGrid w:val="0"/>
          <w:spacing w:val="16"/>
          <w:kern w:val="0"/>
          <w:sz w:val="32"/>
          <w:szCs w:val="32"/>
        </w:rPr>
        <w:t>培育一批带动能力强、资源整合水平高、特色鲜明的中小企业，</w:t>
      </w:r>
      <w:r>
        <w:rPr>
          <w:rFonts w:ascii="Times New Roman" w:eastAsia="仿宋_GB2312" w:hAnsi="Times New Roman" w:cs="Times New Roman"/>
          <w:bCs/>
          <w:snapToGrid w:val="0"/>
          <w:kern w:val="0"/>
          <w:sz w:val="32"/>
          <w:szCs w:val="32"/>
        </w:rPr>
        <w:t>推动大中小企业融通发展。</w:t>
      </w:r>
    </w:p>
    <w:p w14:paraId="31EC7B2C" w14:textId="77777777" w:rsidR="00C97237" w:rsidRDefault="00000000">
      <w:pPr>
        <w:adjustRightInd w:val="0"/>
        <w:snapToGrid w:val="0"/>
        <w:spacing w:line="590" w:lineRule="exact"/>
        <w:ind w:firstLineChars="200" w:firstLine="640"/>
        <w:rPr>
          <w:rFonts w:ascii="Times New Roman" w:eastAsia="楷体_GB2312" w:hAnsi="Times New Roman" w:cs="Times New Roman"/>
          <w:bCs/>
          <w:snapToGrid w:val="0"/>
          <w:kern w:val="0"/>
          <w:sz w:val="32"/>
          <w:szCs w:val="32"/>
        </w:rPr>
      </w:pPr>
      <w:r>
        <w:rPr>
          <w:rFonts w:ascii="Times New Roman" w:eastAsia="楷体_GB2312" w:hAnsi="Times New Roman" w:cs="Times New Roman"/>
          <w:bCs/>
          <w:snapToGrid w:val="0"/>
          <w:kern w:val="0"/>
          <w:sz w:val="32"/>
          <w:szCs w:val="32"/>
        </w:rPr>
        <w:t>（四）着力强化载体支撑。</w:t>
      </w:r>
      <w:r>
        <w:rPr>
          <w:rFonts w:ascii="Times New Roman" w:eastAsia="仿宋_GB2312" w:hAnsi="Times New Roman" w:cs="Times New Roman"/>
          <w:bCs/>
          <w:snapToGrid w:val="0"/>
          <w:spacing w:val="16"/>
          <w:kern w:val="0"/>
          <w:sz w:val="32"/>
          <w:szCs w:val="32"/>
        </w:rPr>
        <w:t>推动产业链上下游延伸、左右链配套、集群式发展，提升产业链水平，打好产业链现代化攻坚战。</w:t>
      </w:r>
      <w:r>
        <w:rPr>
          <w:rFonts w:ascii="Times New Roman" w:eastAsia="仿宋_GB2312" w:hAnsi="Times New Roman" w:cs="仿宋_GB2312" w:hint="eastAsia"/>
          <w:bCs/>
          <w:kern w:val="0"/>
          <w:sz w:val="32"/>
          <w:szCs w:val="32"/>
        </w:rPr>
        <w:t>持续优化</w:t>
      </w:r>
      <w:r>
        <w:rPr>
          <w:rFonts w:ascii="仿宋_GB2312" w:eastAsia="仿宋_GB2312" w:hAnsi="仿宋_GB2312" w:cs="仿宋_GB2312" w:hint="eastAsia"/>
          <w:bCs/>
          <w:kern w:val="0"/>
          <w:sz w:val="32"/>
          <w:szCs w:val="32"/>
        </w:rPr>
        <w:t>“</w:t>
      </w:r>
      <w:r>
        <w:rPr>
          <w:rFonts w:ascii="Times New Roman" w:eastAsia="仿宋_GB2312" w:hAnsi="Times New Roman" w:cs="仿宋_GB2312" w:hint="eastAsia"/>
          <w:bCs/>
          <w:kern w:val="0"/>
          <w:sz w:val="32"/>
          <w:szCs w:val="32"/>
        </w:rPr>
        <w:t>1+X</w:t>
      </w:r>
      <w:r>
        <w:rPr>
          <w:rFonts w:ascii="仿宋_GB2312" w:eastAsia="仿宋_GB2312" w:hAnsi="仿宋_GB2312" w:cs="仿宋_GB2312" w:hint="eastAsia"/>
          <w:bCs/>
          <w:kern w:val="0"/>
          <w:sz w:val="32"/>
          <w:szCs w:val="32"/>
        </w:rPr>
        <w:t>”</w:t>
      </w:r>
      <w:r>
        <w:rPr>
          <w:rFonts w:ascii="Times New Roman" w:eastAsia="仿宋_GB2312" w:hAnsi="Times New Roman" w:cs="仿宋_GB2312" w:hint="eastAsia"/>
          <w:bCs/>
          <w:kern w:val="0"/>
          <w:sz w:val="32"/>
          <w:szCs w:val="32"/>
        </w:rPr>
        <w:t>产业新格局，加快专</w:t>
      </w:r>
      <w:r>
        <w:rPr>
          <w:rFonts w:ascii="Times New Roman" w:eastAsia="仿宋_GB2312" w:hAnsi="Times New Roman" w:cs="仿宋_GB2312" w:hint="eastAsia"/>
          <w:bCs/>
          <w:kern w:val="0"/>
          <w:sz w:val="32"/>
          <w:szCs w:val="32"/>
        </w:rPr>
        <w:lastRenderedPageBreak/>
        <w:t>业化园区建设，实现乡镇特色产业园区全覆盖。</w:t>
      </w:r>
    </w:p>
    <w:p w14:paraId="583E0300" w14:textId="77777777" w:rsidR="00C97237" w:rsidRDefault="00000000">
      <w:pPr>
        <w:pStyle w:val="ab"/>
        <w:adjustRightInd w:val="0"/>
        <w:snapToGrid w:val="0"/>
        <w:spacing w:beforeAutospacing="0" w:afterAutospacing="0" w:line="590" w:lineRule="exact"/>
        <w:ind w:firstLineChars="200" w:firstLine="640"/>
        <w:rPr>
          <w:rFonts w:ascii="Times New Roman" w:eastAsia="楷体_GB2312" w:hAnsi="Times New Roman" w:cs="Times New Roman"/>
          <w:bCs/>
          <w:snapToGrid w:val="0"/>
          <w:kern w:val="0"/>
          <w:sz w:val="32"/>
          <w:szCs w:val="32"/>
          <w:shd w:val="clear" w:color="auto" w:fill="FFFFFF"/>
        </w:rPr>
      </w:pPr>
      <w:r>
        <w:rPr>
          <w:rFonts w:ascii="Times New Roman" w:eastAsia="楷体_GB2312" w:hAnsi="Times New Roman" w:cs="Times New Roman"/>
          <w:bCs/>
          <w:snapToGrid w:val="0"/>
          <w:kern w:val="0"/>
          <w:sz w:val="32"/>
          <w:szCs w:val="32"/>
        </w:rPr>
        <w:t>（五）着力推进融合发展。</w:t>
      </w:r>
      <w:r>
        <w:rPr>
          <w:rFonts w:ascii="Times New Roman" w:eastAsia="仿宋_GB2312" w:hAnsi="Times New Roman" w:cs="Times New Roman"/>
          <w:bCs/>
          <w:snapToGrid w:val="0"/>
          <w:kern w:val="0"/>
          <w:sz w:val="32"/>
          <w:szCs w:val="32"/>
        </w:rPr>
        <w:t>推动制造业与互联网融合，</w:t>
      </w:r>
      <w:r>
        <w:rPr>
          <w:rFonts w:ascii="Times New Roman" w:eastAsia="仿宋_GB2312" w:hAnsi="Times New Roman" w:cs="Times New Roman"/>
          <w:bCs/>
          <w:snapToGrid w:val="0"/>
          <w:kern w:val="0"/>
          <w:sz w:val="32"/>
          <w:szCs w:val="32"/>
          <w:shd w:val="clear" w:color="auto" w:fill="FFFFFF"/>
        </w:rPr>
        <w:t>推进新一代数字信息技术与产业链深度融合，推动区块链、工业互联网等技术向产业链渗透，坚持将智能制造作为主攻方向，推动产业链向高端化、智能化方向发展。促进制造业与服务业融合，推进产业跨界多业态融合，提高产业链细分领域集中度和跨链融合度，</w:t>
      </w:r>
      <w:r>
        <w:rPr>
          <w:rFonts w:ascii="Times New Roman" w:eastAsia="仿宋_GB2312" w:hAnsi="Times New Roman" w:cs="Times New Roman"/>
          <w:bCs/>
          <w:snapToGrid w:val="0"/>
          <w:kern w:val="0"/>
          <w:sz w:val="32"/>
          <w:szCs w:val="32"/>
        </w:rPr>
        <w:t>加大服务型制造示范企业（项目、平台）培育，鼓励支持优势制造企业转型为智能化方案提供商</w:t>
      </w:r>
      <w:r>
        <w:rPr>
          <w:rFonts w:ascii="Times New Roman" w:eastAsia="仿宋_GB2312" w:hAnsi="Times New Roman" w:cs="Times New Roman"/>
          <w:bCs/>
          <w:snapToGrid w:val="0"/>
          <w:kern w:val="0"/>
          <w:sz w:val="32"/>
          <w:szCs w:val="32"/>
          <w:shd w:val="clear" w:color="auto" w:fill="FFFFFF"/>
        </w:rPr>
        <w:t>。</w:t>
      </w:r>
    </w:p>
    <w:p w14:paraId="5E0603CB" w14:textId="77777777" w:rsidR="00C97237" w:rsidRDefault="00000000">
      <w:pPr>
        <w:pStyle w:val="Default"/>
        <w:autoSpaceDE/>
        <w:autoSpaceDN/>
        <w:snapToGrid w:val="0"/>
        <w:spacing w:line="590" w:lineRule="exact"/>
        <w:ind w:firstLineChars="200" w:firstLine="640"/>
        <w:jc w:val="both"/>
        <w:rPr>
          <w:rFonts w:ascii="Times New Roman" w:eastAsia="楷体_GB2312" w:hAnsi="Times New Roman"/>
          <w:bCs/>
          <w:snapToGrid w:val="0"/>
          <w:color w:val="auto"/>
          <w:spacing w:val="16"/>
          <w:sz w:val="32"/>
          <w:szCs w:val="32"/>
        </w:rPr>
      </w:pPr>
      <w:r>
        <w:rPr>
          <w:rFonts w:ascii="Times New Roman" w:eastAsia="楷体_GB2312" w:hAnsi="Times New Roman"/>
          <w:bCs/>
          <w:snapToGrid w:val="0"/>
          <w:color w:val="auto"/>
          <w:sz w:val="32"/>
          <w:szCs w:val="32"/>
        </w:rPr>
        <w:t>（六）着力促进绿色发展。</w:t>
      </w:r>
      <w:r>
        <w:rPr>
          <w:rFonts w:ascii="Times New Roman" w:hAnsi="Times New Roman"/>
          <w:bCs/>
          <w:snapToGrid w:val="0"/>
          <w:color w:val="auto"/>
          <w:spacing w:val="16"/>
          <w:sz w:val="32"/>
          <w:szCs w:val="32"/>
        </w:rPr>
        <w:t>深入开展绿色制造体系建设，加大节能环保技术、工艺、装备推广应用和改造力度，积极培育绿色工厂、绿色园区、绿色设计产品、绿色供应链，提高绿色、循环经济比例，进一步优化产业结构，提升产业链水平。推动传统产业改造提升，</w:t>
      </w:r>
      <w:r>
        <w:rPr>
          <w:rFonts w:ascii="Times New Roman" w:hAnsi="Times New Roman"/>
          <w:bCs/>
          <w:snapToGrid w:val="0"/>
          <w:color w:val="auto"/>
          <w:sz w:val="32"/>
          <w:szCs w:val="32"/>
        </w:rPr>
        <w:t>引导城市建成区内高排放工业企业搬</w:t>
      </w:r>
      <w:r>
        <w:rPr>
          <w:rFonts w:ascii="Times New Roman" w:hAnsi="Times New Roman"/>
          <w:bCs/>
          <w:snapToGrid w:val="0"/>
          <w:color w:val="auto"/>
          <w:spacing w:val="16"/>
          <w:sz w:val="32"/>
          <w:szCs w:val="32"/>
        </w:rPr>
        <w:t>迁改造，构建绿色产业链，全面推动绿色转型发展。</w:t>
      </w:r>
    </w:p>
    <w:p w14:paraId="27CC790F" w14:textId="77777777" w:rsidR="00C97237" w:rsidRDefault="00000000">
      <w:pPr>
        <w:adjustRightInd w:val="0"/>
        <w:snapToGrid w:val="0"/>
        <w:spacing w:line="590" w:lineRule="exact"/>
        <w:ind w:firstLineChars="200" w:firstLine="640"/>
        <w:rPr>
          <w:rFonts w:ascii="Times New Roman" w:eastAsia="仿宋_GB2312" w:hAnsi="Times New Roman" w:cs="Times New Roman"/>
          <w:bCs/>
          <w:snapToGrid w:val="0"/>
          <w:kern w:val="0"/>
          <w:sz w:val="32"/>
          <w:szCs w:val="32"/>
        </w:rPr>
      </w:pPr>
      <w:r>
        <w:rPr>
          <w:rFonts w:ascii="Times New Roman" w:eastAsia="楷体_GB2312" w:hAnsi="Times New Roman" w:cs="Times New Roman"/>
          <w:bCs/>
          <w:snapToGrid w:val="0"/>
          <w:kern w:val="0"/>
          <w:sz w:val="32"/>
          <w:szCs w:val="32"/>
        </w:rPr>
        <w:t>（七）着力强化开放招商。</w:t>
      </w:r>
      <w:r>
        <w:rPr>
          <w:rFonts w:ascii="Times New Roman" w:eastAsia="仿宋_GB2312" w:hAnsi="Times New Roman" w:cs="Times New Roman"/>
          <w:bCs/>
          <w:snapToGrid w:val="0"/>
          <w:kern w:val="0"/>
          <w:sz w:val="32"/>
          <w:szCs w:val="32"/>
          <w:shd w:val="clear" w:color="auto" w:fill="FFFFFF"/>
        </w:rPr>
        <w:t>围绕产业链重点领域，加快延链补链强链，创新各种方式，依托产业链图谱开展点对点精准招商。</w:t>
      </w:r>
      <w:r>
        <w:rPr>
          <w:rFonts w:ascii="Times New Roman" w:eastAsia="仿宋_GB2312" w:hAnsi="Times New Roman" w:cs="Times New Roman"/>
          <w:bCs/>
          <w:snapToGrid w:val="0"/>
          <w:kern w:val="0"/>
          <w:sz w:val="32"/>
          <w:szCs w:val="32"/>
        </w:rPr>
        <w:t>深化与龙头企业合作，积极开展已落地项目上下游产业链的招商，加快延伸产业链条。要充分利用资源、产业和市场潜力优势，找准定位，有针对性地承接国际国内制造业产业转移，推动产业链、创新链、资金链、服务链多元协同发展。</w:t>
      </w:r>
    </w:p>
    <w:p w14:paraId="6A4D0705" w14:textId="77777777" w:rsidR="00C97237" w:rsidRDefault="00000000">
      <w:pPr>
        <w:pStyle w:val="BodyText1"/>
        <w:spacing w:line="600" w:lineRule="exact"/>
        <w:ind w:left="0" w:firstLineChars="200" w:firstLine="640"/>
        <w:rPr>
          <w:rFonts w:ascii="Times New Roman" w:hAnsi="Times New Roman"/>
          <w:bCs/>
          <w:snapToGrid w:val="0"/>
          <w:lang w:eastAsia="zh-CN"/>
        </w:rPr>
      </w:pPr>
      <w:r>
        <w:rPr>
          <w:rFonts w:ascii="Times New Roman" w:eastAsia="楷体_GB2312" w:hAnsi="Times New Roman" w:hint="eastAsia"/>
          <w:bCs/>
          <w:snapToGrid w:val="0"/>
          <w:lang w:eastAsia="zh-CN"/>
        </w:rPr>
        <w:lastRenderedPageBreak/>
        <w:t>（八）推动协会为产业赋能。</w:t>
      </w:r>
      <w:r>
        <w:rPr>
          <w:rFonts w:ascii="Times New Roman" w:hAnsi="Times New Roman" w:hint="eastAsia"/>
          <w:bCs/>
          <w:snapToGrid w:val="0"/>
          <w:lang w:eastAsia="zh-CN"/>
        </w:rPr>
        <w:t>根据行业发展情况，分期分批组建行业协会，发挥行业会长的组织引领作用，逐步规范完善行业协会运行机制。依托行业协会（龙头企业），加强各细分产业产业链、供应链分析，积极组织开展产销对接活动，推动由产销合作转化为产业合作，为协会间企业搭建合作平台。鼓励产业协会（龙头企业）参与制定行业标准，推动产业持续健康发展。指导协会（龙头企业）建立科学系统的产业统计指标体系和运行监测机制，重点围绕行业内</w:t>
      </w:r>
      <w:r>
        <w:rPr>
          <w:rFonts w:hint="eastAsia"/>
          <w:bCs/>
          <w:snapToGrid w:val="0"/>
          <w:lang w:eastAsia="zh-CN"/>
        </w:rPr>
        <w:t>“</w:t>
      </w:r>
      <w:r>
        <w:rPr>
          <w:rFonts w:ascii="Times New Roman" w:hAnsi="Times New Roman" w:hint="eastAsia"/>
          <w:bCs/>
          <w:snapToGrid w:val="0"/>
          <w:lang w:eastAsia="zh-CN"/>
        </w:rPr>
        <w:t>企业经济数据指标、科研能力投入、企业供需信息</w:t>
      </w:r>
      <w:r>
        <w:rPr>
          <w:rFonts w:hint="eastAsia"/>
          <w:bCs/>
          <w:snapToGrid w:val="0"/>
          <w:lang w:eastAsia="zh-CN"/>
        </w:rPr>
        <w:t>”</w:t>
      </w:r>
      <w:r>
        <w:rPr>
          <w:rFonts w:ascii="Times New Roman" w:hAnsi="Times New Roman" w:hint="eastAsia"/>
          <w:bCs/>
          <w:snapToGrid w:val="0"/>
          <w:lang w:eastAsia="zh-CN"/>
        </w:rPr>
        <w:t>等方面，汇总分析各产业发展现状，为政府决策提供行业支撑。</w:t>
      </w:r>
      <w:r>
        <w:rPr>
          <w:rFonts w:ascii="Times New Roman" w:hAnsi="Times New Roman" w:hint="eastAsia"/>
          <w:bCs/>
          <w:snapToGrid w:val="0"/>
          <w:lang w:eastAsia="zh-CN"/>
        </w:rPr>
        <w:t xml:space="preserve"> </w:t>
      </w:r>
    </w:p>
    <w:p w14:paraId="28132B1A" w14:textId="77777777" w:rsidR="00C97237" w:rsidRDefault="00000000">
      <w:pPr>
        <w:pStyle w:val="BodyText1"/>
        <w:spacing w:line="600" w:lineRule="exact"/>
        <w:ind w:left="0" w:firstLineChars="200" w:firstLine="640"/>
        <w:rPr>
          <w:rFonts w:ascii="Times New Roman" w:hAnsi="Times New Roman"/>
          <w:snapToGrid w:val="0"/>
          <w:lang w:eastAsia="zh-CN"/>
        </w:rPr>
      </w:pPr>
      <w:r>
        <w:rPr>
          <w:rFonts w:ascii="楷体" w:eastAsia="楷体" w:hAnsi="楷体" w:cs="楷体" w:hint="eastAsia"/>
          <w:bCs/>
          <w:snapToGrid w:val="0"/>
          <w:lang w:eastAsia="zh-CN"/>
        </w:rPr>
        <w:t>（九）深入开展“万人助万企”活动。</w:t>
      </w:r>
      <w:r>
        <w:rPr>
          <w:rFonts w:ascii="Times New Roman" w:hAnsi="Times New Roman"/>
          <w:snapToGrid w:val="0"/>
          <w:lang w:eastAsia="zh-CN"/>
        </w:rPr>
        <w:t>坚持常态化企业服务机制，围绕重点产业链，进一步优化</w:t>
      </w:r>
      <w:r>
        <w:rPr>
          <w:rFonts w:ascii="Times New Roman" w:eastAsia="楷体_GB2312" w:hAnsi="Times New Roman"/>
          <w:bCs/>
          <w:snapToGrid w:val="0"/>
          <w:lang w:eastAsia="zh-CN"/>
        </w:rPr>
        <w:t>分包</w:t>
      </w:r>
      <w:r>
        <w:rPr>
          <w:rFonts w:ascii="Times New Roman" w:hAnsi="Times New Roman"/>
          <w:snapToGrid w:val="0"/>
          <w:lang w:eastAsia="zh-CN"/>
        </w:rPr>
        <w:t>联企、问题收集、专班推进、动态调整等工作制度，加大助企覆盖面。严格落实</w:t>
      </w:r>
      <w:r>
        <w:rPr>
          <w:rFonts w:ascii="Times New Roman" w:hAnsi="Times New Roman"/>
          <w:snapToGrid w:val="0"/>
          <w:lang w:eastAsia="zh-CN"/>
        </w:rPr>
        <w:t>“13710”</w:t>
      </w:r>
      <w:r>
        <w:rPr>
          <w:rFonts w:ascii="Times New Roman" w:hAnsi="Times New Roman"/>
          <w:snapToGrid w:val="0"/>
          <w:lang w:eastAsia="zh-CN"/>
        </w:rPr>
        <w:t>工作法，对要素保障、手续办理、资金兑现等共性问题，通过产业链工作推进会议、问题协调会等方式统筹分析研究解决，着力帮助企业解决问题，推动活动向纵深开展。</w:t>
      </w:r>
    </w:p>
    <w:p w14:paraId="02694796" w14:textId="77777777" w:rsidR="00C97237" w:rsidRDefault="00000000">
      <w:pPr>
        <w:adjustRightInd w:val="0"/>
        <w:snapToGrid w:val="0"/>
        <w:spacing w:line="590" w:lineRule="exact"/>
        <w:ind w:firstLineChars="200" w:firstLine="640"/>
        <w:rPr>
          <w:rFonts w:ascii="Times New Roman" w:eastAsia="楷体_GB2312" w:hAnsi="Times New Roman" w:cs="Times New Roman"/>
          <w:snapToGrid w:val="0"/>
          <w:kern w:val="0"/>
          <w:sz w:val="32"/>
          <w:szCs w:val="32"/>
        </w:rPr>
      </w:pPr>
      <w:r>
        <w:rPr>
          <w:rFonts w:ascii="Times New Roman" w:eastAsia="黑体" w:hAnsi="Times New Roman" w:cs="Times New Roman" w:hint="eastAsia"/>
          <w:snapToGrid w:val="0"/>
          <w:kern w:val="0"/>
          <w:sz w:val="32"/>
          <w:szCs w:val="32"/>
        </w:rPr>
        <w:t>六</w:t>
      </w:r>
      <w:r>
        <w:rPr>
          <w:rFonts w:ascii="Times New Roman" w:eastAsia="黑体" w:hAnsi="Times New Roman" w:cs="Times New Roman"/>
          <w:snapToGrid w:val="0"/>
          <w:kern w:val="0"/>
          <w:sz w:val="32"/>
          <w:szCs w:val="32"/>
        </w:rPr>
        <w:t>、工作保障</w:t>
      </w:r>
    </w:p>
    <w:p w14:paraId="1BEBEF61" w14:textId="77777777" w:rsidR="00C97237" w:rsidRDefault="00000000">
      <w:pPr>
        <w:adjustRightInd w:val="0"/>
        <w:snapToGrid w:val="0"/>
        <w:spacing w:line="590" w:lineRule="exact"/>
        <w:ind w:firstLineChars="200" w:firstLine="640"/>
        <w:rPr>
          <w:rFonts w:ascii="Times New Roman" w:eastAsia="楷体_GB2312" w:hAnsi="Times New Roman" w:cs="Times New Roman"/>
          <w:snapToGrid w:val="0"/>
          <w:kern w:val="0"/>
          <w:sz w:val="32"/>
          <w:szCs w:val="32"/>
        </w:rPr>
      </w:pPr>
      <w:r>
        <w:rPr>
          <w:rFonts w:ascii="Times New Roman" w:eastAsia="楷体_GB2312" w:hAnsi="Times New Roman" w:cs="Times New Roman"/>
          <w:snapToGrid w:val="0"/>
          <w:kern w:val="0"/>
          <w:sz w:val="32"/>
          <w:szCs w:val="32"/>
        </w:rPr>
        <w:t>（一）加强组织领导。</w:t>
      </w:r>
      <w:r>
        <w:rPr>
          <w:rFonts w:ascii="Times New Roman" w:eastAsia="仿宋_GB2312" w:hAnsi="Times New Roman" w:cs="Times New Roman" w:hint="eastAsia"/>
          <w:snapToGrid w:val="0"/>
          <w:kern w:val="0"/>
          <w:sz w:val="32"/>
          <w:szCs w:val="32"/>
        </w:rPr>
        <w:t>成立</w:t>
      </w:r>
      <w:r>
        <w:rPr>
          <w:rFonts w:ascii="Times New Roman" w:eastAsia="仿宋_GB2312" w:hAnsi="Times New Roman" w:cs="Times New Roman"/>
          <w:snapToGrid w:val="0"/>
          <w:kern w:val="0"/>
          <w:sz w:val="32"/>
          <w:szCs w:val="32"/>
        </w:rPr>
        <w:t>全</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hint="eastAsia"/>
          <w:snapToGrid w:val="0"/>
          <w:kern w:val="0"/>
          <w:sz w:val="32"/>
          <w:szCs w:val="32"/>
        </w:rPr>
        <w:t>8</w:t>
      </w:r>
      <w:r>
        <w:rPr>
          <w:rFonts w:ascii="Times New Roman" w:eastAsia="仿宋_GB2312" w:hAnsi="Times New Roman" w:cs="Times New Roman"/>
          <w:snapToGrid w:val="0"/>
          <w:kern w:val="0"/>
          <w:sz w:val="32"/>
          <w:szCs w:val="32"/>
        </w:rPr>
        <w:t>条产业链发展工作领导小组，由</w:t>
      </w:r>
      <w:r>
        <w:rPr>
          <w:rFonts w:ascii="Times New Roman" w:eastAsia="仿宋_GB2312" w:hAnsi="Times New Roman" w:cs="Times New Roman" w:hint="eastAsia"/>
          <w:snapToGrid w:val="0"/>
          <w:kern w:val="0"/>
          <w:sz w:val="32"/>
          <w:szCs w:val="32"/>
        </w:rPr>
        <w:t>区长</w:t>
      </w:r>
      <w:r>
        <w:rPr>
          <w:rFonts w:ascii="Times New Roman" w:eastAsia="仿宋_GB2312" w:hAnsi="Times New Roman" w:cs="Times New Roman"/>
          <w:snapToGrid w:val="0"/>
          <w:kern w:val="0"/>
          <w:sz w:val="32"/>
          <w:szCs w:val="32"/>
        </w:rPr>
        <w:t>任</w:t>
      </w:r>
      <w:r>
        <w:rPr>
          <w:rFonts w:ascii="Times New Roman" w:eastAsia="仿宋_GB2312" w:hAnsi="Times New Roman" w:cs="Times New Roman" w:hint="eastAsia"/>
          <w:snapToGrid w:val="0"/>
          <w:kern w:val="0"/>
          <w:sz w:val="32"/>
          <w:szCs w:val="32"/>
        </w:rPr>
        <w:t>总</w:t>
      </w:r>
      <w:r>
        <w:rPr>
          <w:rFonts w:ascii="Times New Roman" w:eastAsia="仿宋_GB2312" w:hAnsi="Times New Roman" w:cs="Times New Roman"/>
          <w:snapToGrid w:val="0"/>
          <w:kern w:val="0"/>
          <w:sz w:val="32"/>
          <w:szCs w:val="32"/>
        </w:rPr>
        <w:t>链长，</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snapToGrid w:val="0"/>
          <w:kern w:val="0"/>
          <w:sz w:val="32"/>
          <w:szCs w:val="32"/>
        </w:rPr>
        <w:t>领导任链长，</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snapToGrid w:val="0"/>
          <w:kern w:val="0"/>
          <w:sz w:val="32"/>
          <w:szCs w:val="32"/>
        </w:rPr>
        <w:t>工信局、发改委、科技局、财政局、商务局、生态环境局、自然资源和规划局、金融局、统计局、税务局等部门负责人为成员，负责产业链发展的组织协调和指导，研究解决产业链发展的重大</w:t>
      </w:r>
      <w:r>
        <w:rPr>
          <w:rFonts w:ascii="Times New Roman" w:eastAsia="仿宋_GB2312" w:hAnsi="Times New Roman" w:cs="Times New Roman"/>
          <w:snapToGrid w:val="0"/>
          <w:kern w:val="0"/>
          <w:sz w:val="32"/>
          <w:szCs w:val="32"/>
        </w:rPr>
        <w:lastRenderedPageBreak/>
        <w:t>问题。领导小组</w:t>
      </w:r>
      <w:r>
        <w:rPr>
          <w:rFonts w:ascii="Times New Roman" w:eastAsia="仿宋_GB2312" w:hAnsi="Times New Roman" w:cs="Times New Roman" w:hint="eastAsia"/>
          <w:snapToGrid w:val="0"/>
          <w:kern w:val="0"/>
          <w:sz w:val="32"/>
          <w:szCs w:val="32"/>
        </w:rPr>
        <w:t>下设</w:t>
      </w:r>
      <w:r>
        <w:rPr>
          <w:rFonts w:ascii="Times New Roman" w:eastAsia="仿宋_GB2312" w:hAnsi="Times New Roman" w:cs="Times New Roman"/>
          <w:snapToGrid w:val="0"/>
          <w:kern w:val="0"/>
          <w:sz w:val="32"/>
          <w:szCs w:val="32"/>
        </w:rPr>
        <w:t>办公室</w:t>
      </w:r>
      <w:r>
        <w:rPr>
          <w:rFonts w:ascii="Times New Roman" w:eastAsia="仿宋_GB2312" w:hAnsi="Times New Roman" w:cs="Times New Roman" w:hint="eastAsia"/>
          <w:snapToGrid w:val="0"/>
          <w:kern w:val="0"/>
          <w:sz w:val="32"/>
          <w:szCs w:val="32"/>
        </w:rPr>
        <w:t>，办公地点</w:t>
      </w:r>
      <w:r>
        <w:rPr>
          <w:rFonts w:ascii="Times New Roman" w:eastAsia="仿宋_GB2312" w:hAnsi="Times New Roman" w:cs="Times New Roman"/>
          <w:snapToGrid w:val="0"/>
          <w:kern w:val="0"/>
          <w:sz w:val="32"/>
          <w:szCs w:val="32"/>
        </w:rPr>
        <w:t>设在</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snapToGrid w:val="0"/>
          <w:kern w:val="0"/>
          <w:sz w:val="32"/>
          <w:szCs w:val="32"/>
        </w:rPr>
        <w:t>工信局，负责领导小组日常工作，</w:t>
      </w:r>
      <w:r>
        <w:rPr>
          <w:rFonts w:ascii="Times New Roman" w:eastAsia="仿宋_GB2312" w:hAnsi="Times New Roman" w:cs="Times New Roman" w:hint="eastAsia"/>
          <w:snapToGrid w:val="0"/>
          <w:kern w:val="0"/>
          <w:sz w:val="32"/>
          <w:szCs w:val="32"/>
        </w:rPr>
        <w:t>区</w:t>
      </w:r>
      <w:r>
        <w:rPr>
          <w:rFonts w:ascii="Times New Roman" w:eastAsia="仿宋_GB2312" w:hAnsi="Times New Roman" w:cs="Times New Roman"/>
          <w:snapToGrid w:val="0"/>
          <w:kern w:val="0"/>
          <w:sz w:val="32"/>
          <w:szCs w:val="32"/>
        </w:rPr>
        <w:t>工信局主要负责同志</w:t>
      </w:r>
      <w:r>
        <w:rPr>
          <w:rFonts w:ascii="Times New Roman" w:eastAsia="仿宋_GB2312" w:hAnsi="Times New Roman" w:cs="Times New Roman" w:hint="eastAsia"/>
          <w:snapToGrid w:val="0"/>
          <w:kern w:val="0"/>
          <w:sz w:val="32"/>
          <w:szCs w:val="32"/>
        </w:rPr>
        <w:t>兼任</w:t>
      </w:r>
      <w:r>
        <w:rPr>
          <w:rFonts w:ascii="Times New Roman" w:eastAsia="仿宋_GB2312" w:hAnsi="Times New Roman" w:cs="Times New Roman"/>
          <w:snapToGrid w:val="0"/>
          <w:kern w:val="0"/>
          <w:sz w:val="32"/>
          <w:szCs w:val="32"/>
        </w:rPr>
        <w:t>办公室主任。</w:t>
      </w:r>
    </w:p>
    <w:p w14:paraId="454B2452" w14:textId="77777777" w:rsidR="00C97237" w:rsidRDefault="00000000">
      <w:pPr>
        <w:pStyle w:val="Default"/>
        <w:autoSpaceDE/>
        <w:autoSpaceDN/>
        <w:snapToGrid w:val="0"/>
        <w:spacing w:line="590" w:lineRule="exact"/>
        <w:ind w:firstLineChars="200" w:firstLine="640"/>
        <w:jc w:val="both"/>
        <w:rPr>
          <w:rFonts w:ascii="Times New Roman" w:eastAsia="楷体_GB2312" w:hAnsi="Times New Roman"/>
          <w:snapToGrid w:val="0"/>
          <w:color w:val="auto"/>
          <w:sz w:val="32"/>
          <w:szCs w:val="32"/>
        </w:rPr>
      </w:pPr>
      <w:r>
        <w:rPr>
          <w:rFonts w:ascii="Times New Roman" w:eastAsia="楷体_GB2312" w:hAnsi="Times New Roman"/>
          <w:snapToGrid w:val="0"/>
          <w:color w:val="auto"/>
          <w:sz w:val="32"/>
          <w:szCs w:val="32"/>
        </w:rPr>
        <w:t>（二）加大政策支持。</w:t>
      </w:r>
      <w:r>
        <w:rPr>
          <w:rFonts w:ascii="Times New Roman" w:hAnsi="Times New Roman"/>
          <w:snapToGrid w:val="0"/>
          <w:color w:val="auto"/>
          <w:sz w:val="32"/>
          <w:szCs w:val="32"/>
        </w:rPr>
        <w:t>加强产业链发展规划和政策引导，针对不同产业链的特点和实际实施</w:t>
      </w:r>
      <w:r>
        <w:rPr>
          <w:rFonts w:hAnsi="仿宋_GB2312"/>
          <w:snapToGrid w:val="0"/>
          <w:color w:val="auto"/>
          <w:sz w:val="32"/>
          <w:szCs w:val="32"/>
        </w:rPr>
        <w:t>“</w:t>
      </w:r>
      <w:r>
        <w:rPr>
          <w:rFonts w:ascii="Times New Roman" w:hAnsi="Times New Roman"/>
          <w:snapToGrid w:val="0"/>
          <w:color w:val="auto"/>
          <w:sz w:val="32"/>
          <w:szCs w:val="32"/>
        </w:rPr>
        <w:t>一链一策</w:t>
      </w:r>
      <w:r>
        <w:rPr>
          <w:rFonts w:hAnsi="仿宋_GB2312"/>
          <w:snapToGrid w:val="0"/>
          <w:color w:val="auto"/>
          <w:sz w:val="32"/>
          <w:szCs w:val="32"/>
        </w:rPr>
        <w:t>”</w:t>
      </w:r>
      <w:r>
        <w:rPr>
          <w:rFonts w:ascii="Times New Roman" w:hAnsi="Times New Roman"/>
          <w:snapToGrid w:val="0"/>
          <w:color w:val="auto"/>
          <w:sz w:val="32"/>
          <w:szCs w:val="32"/>
        </w:rPr>
        <w:t>，积极争取国家、省、市专项资金支持，在落实我</w:t>
      </w:r>
      <w:r>
        <w:rPr>
          <w:rFonts w:ascii="Times New Roman" w:hAnsi="Times New Roman" w:hint="eastAsia"/>
          <w:snapToGrid w:val="0"/>
          <w:color w:val="auto"/>
          <w:sz w:val="32"/>
          <w:szCs w:val="32"/>
        </w:rPr>
        <w:t>区</w:t>
      </w:r>
      <w:r>
        <w:rPr>
          <w:rFonts w:ascii="Times New Roman" w:hAnsi="Times New Roman"/>
          <w:snapToGrid w:val="0"/>
          <w:color w:val="auto"/>
          <w:sz w:val="32"/>
          <w:szCs w:val="32"/>
        </w:rPr>
        <w:t>出台的各类扶持政策基础上，综合施策、精准发力，创新出台支持政策，打好政策组合拳，为产业链发展提供政策支撑。完善金融支持政策，围绕产业链重点企业，谋划储备一批制造业高质量项目，发挥洛阳制造业高质量发展基金作用，争取黄河流域先进制造业基金、国家制造业转型升级基金支持。</w:t>
      </w:r>
    </w:p>
    <w:p w14:paraId="6EBD4497" w14:textId="77777777" w:rsidR="00C97237" w:rsidRDefault="00000000">
      <w:pPr>
        <w:pStyle w:val="ab"/>
        <w:adjustRightInd w:val="0"/>
        <w:snapToGrid w:val="0"/>
        <w:spacing w:beforeAutospacing="0" w:afterAutospacing="0" w:line="590" w:lineRule="exact"/>
        <w:ind w:firstLineChars="200" w:firstLine="640"/>
        <w:rPr>
          <w:rFonts w:ascii="Times New Roman" w:eastAsia="楷体_GB2312" w:hAnsi="Times New Roman" w:cs="Times New Roman"/>
          <w:snapToGrid w:val="0"/>
          <w:kern w:val="0"/>
          <w:sz w:val="32"/>
          <w:szCs w:val="32"/>
        </w:rPr>
      </w:pPr>
      <w:r>
        <w:rPr>
          <w:rFonts w:ascii="Times New Roman" w:eastAsia="楷体_GB2312" w:hAnsi="Times New Roman" w:cs="Times New Roman"/>
          <w:snapToGrid w:val="0"/>
          <w:kern w:val="0"/>
          <w:sz w:val="32"/>
          <w:szCs w:val="32"/>
        </w:rPr>
        <w:t>（三）加强协调督导。</w:t>
      </w:r>
      <w:r>
        <w:rPr>
          <w:rFonts w:ascii="Times New Roman" w:eastAsia="仿宋_GB2312" w:hAnsi="Times New Roman" w:cs="Times New Roman"/>
          <w:snapToGrid w:val="0"/>
          <w:kern w:val="0"/>
          <w:sz w:val="32"/>
          <w:szCs w:val="32"/>
        </w:rPr>
        <w:t>建立并实施链长制协调督导机制，产业链发展领导小组办公室定期召开工作例会，加强对产业链推进工作实施情况进行督促检查，确保各项工作落到实处。加强各部门沟通协调力度，及时协调解决产业链发展中遇到的难题，构建推进产业链发展的长效常态机制。</w:t>
      </w:r>
    </w:p>
    <w:p w14:paraId="6DFD36C9" w14:textId="77777777" w:rsidR="00C97237" w:rsidRDefault="00000000">
      <w:pPr>
        <w:pStyle w:val="ab"/>
        <w:adjustRightInd w:val="0"/>
        <w:snapToGrid w:val="0"/>
        <w:spacing w:beforeAutospacing="0" w:afterAutospacing="0" w:line="590" w:lineRule="exact"/>
        <w:ind w:firstLineChars="200" w:firstLine="640"/>
        <w:rPr>
          <w:rFonts w:ascii="Times New Roman" w:eastAsia="仿宋_GB2312" w:hAnsi="Times New Roman" w:cs="Times New Roman"/>
          <w:snapToGrid w:val="0"/>
          <w:kern w:val="0"/>
          <w:sz w:val="32"/>
          <w:szCs w:val="32"/>
        </w:rPr>
      </w:pPr>
      <w:r>
        <w:rPr>
          <w:rFonts w:ascii="Times New Roman" w:eastAsia="楷体_GB2312" w:hAnsi="Times New Roman" w:cs="Times New Roman"/>
          <w:snapToGrid w:val="0"/>
          <w:kern w:val="0"/>
          <w:sz w:val="32"/>
          <w:szCs w:val="32"/>
        </w:rPr>
        <w:t>（四）加大宣传引导。</w:t>
      </w:r>
      <w:r>
        <w:rPr>
          <w:rFonts w:ascii="Times New Roman" w:eastAsia="仿宋_GB2312" w:hAnsi="Times New Roman" w:cs="Times New Roman"/>
          <w:snapToGrid w:val="0"/>
          <w:kern w:val="0"/>
          <w:sz w:val="32"/>
          <w:szCs w:val="32"/>
        </w:rPr>
        <w:t>加大宣传力度，强化链长制工作舆论环境营造，充分依托电视、广播、报刊、网络等新闻媒体，多角度、多形式加强宣传报道，为产业链培育发展营造良好发展氛围。</w:t>
      </w:r>
    </w:p>
    <w:p w14:paraId="262BA672" w14:textId="77777777" w:rsidR="00C97237" w:rsidRDefault="00000000">
      <w:pPr>
        <w:pStyle w:val="ab"/>
        <w:adjustRightInd w:val="0"/>
        <w:snapToGrid w:val="0"/>
        <w:spacing w:beforeAutospacing="0" w:afterAutospacing="0" w:line="590" w:lineRule="exact"/>
        <w:rPr>
          <w:rFonts w:ascii="Times New Roman" w:eastAsia="仿宋_GB2312" w:hAnsi="Times New Roman" w:cs="Times New Roman"/>
          <w:snapToGrid w:val="0"/>
          <w:kern w:val="0"/>
          <w:sz w:val="32"/>
          <w:szCs w:val="32"/>
        </w:rPr>
      </w:pPr>
      <w:r>
        <w:rPr>
          <w:rFonts w:ascii="Times New Roman" w:eastAsia="仿宋_GB2312" w:hAnsi="Times New Roman" w:cs="Times New Roman" w:hint="eastAsia"/>
          <w:snapToGrid w:val="0"/>
          <w:kern w:val="0"/>
          <w:sz w:val="32"/>
          <w:szCs w:val="32"/>
        </w:rPr>
        <w:t>附件：重点产业链链长分工安排</w:t>
      </w:r>
    </w:p>
    <w:p w14:paraId="739D2CC4" w14:textId="77777777" w:rsidR="00C97237" w:rsidRDefault="00C97237">
      <w:pPr>
        <w:pStyle w:val="Default"/>
        <w:snapToGrid w:val="0"/>
        <w:spacing w:line="580" w:lineRule="exact"/>
        <w:ind w:firstLineChars="200" w:firstLine="880"/>
        <w:jc w:val="both"/>
        <w:rPr>
          <w:rFonts w:ascii="Times New Roman" w:eastAsia="方正小标宋简体" w:hAnsi="Times New Roman" w:cs="方正小标宋简体"/>
          <w:bCs/>
          <w:snapToGrid w:val="0"/>
          <w:color w:val="auto"/>
          <w:sz w:val="44"/>
          <w:szCs w:val="44"/>
        </w:rPr>
      </w:pPr>
    </w:p>
    <w:p w14:paraId="6FCB54BC" w14:textId="77777777" w:rsidR="00C97237" w:rsidRDefault="00C97237">
      <w:pPr>
        <w:pStyle w:val="Default"/>
        <w:snapToGrid w:val="0"/>
        <w:spacing w:line="580" w:lineRule="exact"/>
        <w:ind w:firstLineChars="200" w:firstLine="880"/>
        <w:jc w:val="both"/>
        <w:rPr>
          <w:rFonts w:ascii="Times New Roman" w:eastAsia="方正小标宋简体" w:hAnsi="Times New Roman" w:cs="方正小标宋简体"/>
          <w:bCs/>
          <w:snapToGrid w:val="0"/>
          <w:color w:val="auto"/>
          <w:sz w:val="44"/>
          <w:szCs w:val="44"/>
        </w:rPr>
      </w:pPr>
    </w:p>
    <w:p w14:paraId="667EA21C" w14:textId="77777777" w:rsidR="00C97237" w:rsidRDefault="00000000">
      <w:pPr>
        <w:pStyle w:val="Default"/>
        <w:snapToGrid w:val="0"/>
        <w:spacing w:line="580" w:lineRule="exact"/>
        <w:ind w:firstLineChars="200" w:firstLine="880"/>
        <w:jc w:val="both"/>
        <w:rPr>
          <w:rFonts w:ascii="Times New Roman" w:eastAsia="方正小标宋简体" w:hAnsi="Times New Roman" w:cs="方正小标宋简体"/>
          <w:bCs/>
          <w:snapToGrid w:val="0"/>
          <w:color w:val="auto"/>
          <w:sz w:val="44"/>
          <w:szCs w:val="44"/>
        </w:rPr>
      </w:pPr>
      <w:r>
        <w:rPr>
          <w:rFonts w:ascii="Times New Roman" w:eastAsia="方正小标宋简体" w:hAnsi="Times New Roman" w:cs="方正小标宋简体" w:hint="eastAsia"/>
          <w:bCs/>
          <w:snapToGrid w:val="0"/>
          <w:color w:val="auto"/>
          <w:sz w:val="44"/>
          <w:szCs w:val="44"/>
        </w:rPr>
        <w:lastRenderedPageBreak/>
        <w:t>重点产业链链长（会长）分工安排</w:t>
      </w:r>
    </w:p>
    <w:p w14:paraId="231E0914" w14:textId="77777777" w:rsidR="00C97237" w:rsidRDefault="00C97237">
      <w:pPr>
        <w:pStyle w:val="Default"/>
        <w:snapToGrid w:val="0"/>
        <w:spacing w:line="580" w:lineRule="exact"/>
        <w:ind w:firstLineChars="200" w:firstLine="643"/>
        <w:jc w:val="both"/>
        <w:rPr>
          <w:rFonts w:ascii="Times New Roman" w:hAnsi="Times New Roman"/>
          <w:b/>
          <w:snapToGrid w:val="0"/>
          <w:color w:val="auto"/>
          <w:sz w:val="32"/>
          <w:szCs w:val="21"/>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801"/>
        <w:gridCol w:w="1164"/>
        <w:gridCol w:w="1129"/>
        <w:gridCol w:w="1325"/>
        <w:gridCol w:w="1654"/>
        <w:gridCol w:w="1096"/>
      </w:tblGrid>
      <w:tr w:rsidR="00C97237" w14:paraId="7856E179" w14:textId="77777777">
        <w:trPr>
          <w:trHeight w:val="1660"/>
          <w:jc w:val="center"/>
        </w:trPr>
        <w:tc>
          <w:tcPr>
            <w:tcW w:w="487" w:type="dxa"/>
            <w:vAlign w:val="center"/>
          </w:tcPr>
          <w:p w14:paraId="524F163D" w14:textId="77777777" w:rsidR="00C97237" w:rsidRDefault="00000000">
            <w:pPr>
              <w:spacing w:line="580" w:lineRule="exact"/>
              <w:jc w:val="center"/>
              <w:rPr>
                <w:rFonts w:ascii="Times New Roman" w:eastAsia="黑体" w:hAnsi="Times New Roman" w:cs="黑体"/>
                <w:kern w:val="0"/>
                <w:sz w:val="28"/>
                <w:szCs w:val="28"/>
              </w:rPr>
            </w:pPr>
            <w:r>
              <w:rPr>
                <w:rFonts w:ascii="Times New Roman" w:eastAsia="黑体" w:hAnsi="Times New Roman" w:cs="黑体" w:hint="eastAsia"/>
                <w:kern w:val="0"/>
                <w:sz w:val="28"/>
                <w:szCs w:val="28"/>
              </w:rPr>
              <w:t>序号</w:t>
            </w:r>
          </w:p>
        </w:tc>
        <w:tc>
          <w:tcPr>
            <w:tcW w:w="2801" w:type="dxa"/>
            <w:vAlign w:val="center"/>
          </w:tcPr>
          <w:p w14:paraId="3F14F10F" w14:textId="77777777" w:rsidR="00C97237" w:rsidRDefault="00000000">
            <w:pPr>
              <w:spacing w:line="580" w:lineRule="exact"/>
              <w:jc w:val="center"/>
              <w:rPr>
                <w:rFonts w:ascii="Times New Roman" w:eastAsia="黑体" w:hAnsi="Times New Roman" w:cs="黑体"/>
                <w:kern w:val="0"/>
                <w:sz w:val="28"/>
                <w:szCs w:val="28"/>
              </w:rPr>
            </w:pPr>
            <w:r>
              <w:rPr>
                <w:rFonts w:ascii="Times New Roman" w:eastAsia="黑体" w:hAnsi="Times New Roman" w:cs="黑体" w:hint="eastAsia"/>
                <w:kern w:val="0"/>
                <w:sz w:val="28"/>
                <w:szCs w:val="28"/>
              </w:rPr>
              <w:t>产业链名称</w:t>
            </w:r>
          </w:p>
        </w:tc>
        <w:tc>
          <w:tcPr>
            <w:tcW w:w="1164" w:type="dxa"/>
            <w:vAlign w:val="center"/>
          </w:tcPr>
          <w:p w14:paraId="2170B08E" w14:textId="77777777" w:rsidR="00C97237" w:rsidRDefault="00000000">
            <w:pPr>
              <w:spacing w:line="580" w:lineRule="exact"/>
              <w:jc w:val="center"/>
              <w:rPr>
                <w:rFonts w:ascii="Times New Roman" w:eastAsia="黑体" w:hAnsi="Times New Roman" w:cs="黑体"/>
                <w:kern w:val="0"/>
                <w:sz w:val="28"/>
                <w:szCs w:val="28"/>
              </w:rPr>
            </w:pPr>
            <w:r>
              <w:rPr>
                <w:rFonts w:ascii="Times New Roman" w:eastAsia="黑体" w:hAnsi="Times New Roman" w:cs="黑体" w:hint="eastAsia"/>
                <w:kern w:val="0"/>
                <w:sz w:val="28"/>
                <w:szCs w:val="28"/>
              </w:rPr>
              <w:t>总链长</w:t>
            </w:r>
          </w:p>
        </w:tc>
        <w:tc>
          <w:tcPr>
            <w:tcW w:w="1129" w:type="dxa"/>
            <w:vAlign w:val="center"/>
          </w:tcPr>
          <w:p w14:paraId="7B3204D5" w14:textId="77777777" w:rsidR="00C97237" w:rsidRDefault="00000000">
            <w:pPr>
              <w:spacing w:line="580" w:lineRule="exact"/>
              <w:jc w:val="center"/>
              <w:rPr>
                <w:rFonts w:ascii="Times New Roman" w:eastAsia="黑体" w:hAnsi="Times New Roman" w:cs="黑体"/>
                <w:kern w:val="0"/>
                <w:sz w:val="28"/>
                <w:szCs w:val="28"/>
              </w:rPr>
            </w:pPr>
            <w:r>
              <w:rPr>
                <w:rFonts w:ascii="Times New Roman" w:eastAsia="黑体" w:hAnsi="Times New Roman" w:cs="黑体" w:hint="eastAsia"/>
                <w:kern w:val="0"/>
                <w:sz w:val="28"/>
                <w:szCs w:val="28"/>
              </w:rPr>
              <w:t>链长</w:t>
            </w:r>
          </w:p>
        </w:tc>
        <w:tc>
          <w:tcPr>
            <w:tcW w:w="1325" w:type="dxa"/>
            <w:vAlign w:val="center"/>
          </w:tcPr>
          <w:p w14:paraId="48F069FF" w14:textId="77777777" w:rsidR="00C97237" w:rsidRDefault="00000000">
            <w:pPr>
              <w:spacing w:line="400" w:lineRule="exact"/>
              <w:jc w:val="center"/>
              <w:rPr>
                <w:rFonts w:ascii="Times New Roman" w:eastAsia="黑体" w:hAnsi="Times New Roman" w:cs="黑体"/>
                <w:kern w:val="0"/>
                <w:sz w:val="28"/>
                <w:szCs w:val="28"/>
              </w:rPr>
            </w:pPr>
            <w:r>
              <w:rPr>
                <w:rFonts w:ascii="Times New Roman" w:eastAsia="黑体" w:hAnsi="Times New Roman" w:cs="黑体" w:hint="eastAsia"/>
                <w:kern w:val="0"/>
                <w:sz w:val="28"/>
                <w:szCs w:val="28"/>
              </w:rPr>
              <w:t>会长（龙头企业负责人）</w:t>
            </w:r>
          </w:p>
        </w:tc>
        <w:tc>
          <w:tcPr>
            <w:tcW w:w="1654" w:type="dxa"/>
            <w:vAlign w:val="center"/>
          </w:tcPr>
          <w:p w14:paraId="4A1F36F9" w14:textId="77777777" w:rsidR="00C97237" w:rsidRDefault="00000000">
            <w:pPr>
              <w:spacing w:line="580" w:lineRule="exact"/>
              <w:jc w:val="center"/>
              <w:rPr>
                <w:rFonts w:ascii="Times New Roman" w:eastAsia="黑体" w:hAnsi="Times New Roman" w:cs="黑体"/>
                <w:kern w:val="0"/>
                <w:sz w:val="28"/>
                <w:szCs w:val="28"/>
              </w:rPr>
            </w:pPr>
            <w:r>
              <w:rPr>
                <w:rFonts w:ascii="Times New Roman" w:eastAsia="黑体" w:hAnsi="Times New Roman" w:cs="黑体" w:hint="eastAsia"/>
                <w:kern w:val="0"/>
                <w:sz w:val="28"/>
                <w:szCs w:val="28"/>
              </w:rPr>
              <w:t>责任单位</w:t>
            </w:r>
          </w:p>
        </w:tc>
        <w:tc>
          <w:tcPr>
            <w:tcW w:w="1096" w:type="dxa"/>
            <w:vAlign w:val="center"/>
          </w:tcPr>
          <w:p w14:paraId="2A8CD868" w14:textId="77777777" w:rsidR="00C97237" w:rsidRDefault="00000000">
            <w:pPr>
              <w:spacing w:line="580" w:lineRule="exact"/>
              <w:jc w:val="center"/>
              <w:rPr>
                <w:rFonts w:ascii="Times New Roman" w:eastAsia="黑体" w:hAnsi="Times New Roman" w:cs="黑体"/>
                <w:kern w:val="0"/>
                <w:sz w:val="28"/>
                <w:szCs w:val="28"/>
              </w:rPr>
            </w:pPr>
            <w:r>
              <w:rPr>
                <w:rFonts w:ascii="Times New Roman" w:eastAsia="黑体" w:hAnsi="Times New Roman" w:cs="黑体" w:hint="eastAsia"/>
                <w:kern w:val="0"/>
                <w:sz w:val="28"/>
                <w:szCs w:val="28"/>
              </w:rPr>
              <w:t>责任人</w:t>
            </w:r>
          </w:p>
        </w:tc>
      </w:tr>
      <w:tr w:rsidR="00C97237" w14:paraId="5719B58C" w14:textId="77777777">
        <w:trPr>
          <w:trHeight w:val="1257"/>
          <w:jc w:val="center"/>
        </w:trPr>
        <w:tc>
          <w:tcPr>
            <w:tcW w:w="487" w:type="dxa"/>
            <w:vAlign w:val="center"/>
          </w:tcPr>
          <w:p w14:paraId="3814DB0A" w14:textId="77777777" w:rsidR="00C97237" w:rsidRDefault="00000000">
            <w:pPr>
              <w:spacing w:line="58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1</w:t>
            </w:r>
          </w:p>
        </w:tc>
        <w:tc>
          <w:tcPr>
            <w:tcW w:w="2801" w:type="dxa"/>
            <w:vAlign w:val="center"/>
          </w:tcPr>
          <w:p w14:paraId="1323E0AF"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绿色智造产业链</w:t>
            </w:r>
          </w:p>
        </w:tc>
        <w:tc>
          <w:tcPr>
            <w:tcW w:w="1164" w:type="dxa"/>
            <w:vMerge w:val="restart"/>
            <w:vAlign w:val="center"/>
          </w:tcPr>
          <w:p w14:paraId="626F4914"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赵玉勋</w:t>
            </w:r>
          </w:p>
        </w:tc>
        <w:tc>
          <w:tcPr>
            <w:tcW w:w="1129" w:type="dxa"/>
            <w:vAlign w:val="center"/>
          </w:tcPr>
          <w:p w14:paraId="6253643F" w14:textId="77777777" w:rsidR="00C97237" w:rsidRDefault="00000000">
            <w:pPr>
              <w:spacing w:line="580" w:lineRule="exact"/>
              <w:jc w:val="center"/>
              <w:rPr>
                <w:rFonts w:ascii="Times New Roman" w:eastAsia="仿宋" w:hAnsi="Times New Roman" w:cs="仿宋"/>
                <w:sz w:val="22"/>
              </w:rPr>
            </w:pPr>
            <w:r>
              <w:rPr>
                <w:rFonts w:ascii="Times New Roman" w:eastAsia="仿宋" w:hAnsi="Times New Roman" w:cs="仿宋" w:hint="eastAsia"/>
                <w:sz w:val="28"/>
                <w:szCs w:val="28"/>
              </w:rPr>
              <w:t>刘大亮</w:t>
            </w:r>
          </w:p>
        </w:tc>
        <w:tc>
          <w:tcPr>
            <w:tcW w:w="1325" w:type="dxa"/>
            <w:vAlign w:val="center"/>
          </w:tcPr>
          <w:p w14:paraId="3439B8E0" w14:textId="77777777" w:rsidR="00C97237" w:rsidRDefault="00000000">
            <w:pPr>
              <w:spacing w:line="580" w:lineRule="exact"/>
              <w:jc w:val="center"/>
              <w:rPr>
                <w:rFonts w:ascii="Times New Roman" w:eastAsia="仿宋" w:hAnsi="Times New Roman" w:cs="仿宋"/>
              </w:rPr>
            </w:pPr>
            <w:r>
              <w:rPr>
                <w:rFonts w:ascii="Times New Roman" w:eastAsia="仿宋" w:hAnsi="Times New Roman" w:cs="仿宋" w:hint="eastAsia"/>
                <w:kern w:val="0"/>
                <w:sz w:val="28"/>
                <w:szCs w:val="28"/>
              </w:rPr>
              <w:t>张耀卿</w:t>
            </w:r>
          </w:p>
        </w:tc>
        <w:tc>
          <w:tcPr>
            <w:tcW w:w="1654" w:type="dxa"/>
            <w:vAlign w:val="center"/>
          </w:tcPr>
          <w:p w14:paraId="25764A1C" w14:textId="77777777" w:rsidR="00C97237" w:rsidRDefault="00000000">
            <w:pPr>
              <w:spacing w:line="40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产业集聚区</w:t>
            </w:r>
          </w:p>
          <w:p w14:paraId="4605DAC1" w14:textId="77777777" w:rsidR="00C97237" w:rsidRDefault="00000000">
            <w:pPr>
              <w:spacing w:line="400" w:lineRule="exact"/>
              <w:jc w:val="center"/>
              <w:rPr>
                <w:rFonts w:ascii="Times New Roman" w:eastAsia="仿宋" w:hAnsi="Times New Roman" w:cs="仿宋"/>
              </w:rPr>
            </w:pPr>
            <w:r>
              <w:rPr>
                <w:rFonts w:ascii="Times New Roman" w:eastAsia="仿宋" w:hAnsi="Times New Roman" w:cs="仿宋" w:hint="eastAsia"/>
                <w:kern w:val="0"/>
                <w:sz w:val="28"/>
                <w:szCs w:val="28"/>
              </w:rPr>
              <w:t>岳滩镇</w:t>
            </w:r>
          </w:p>
        </w:tc>
        <w:tc>
          <w:tcPr>
            <w:tcW w:w="1096" w:type="dxa"/>
            <w:vAlign w:val="center"/>
          </w:tcPr>
          <w:p w14:paraId="69A5FBFF" w14:textId="77777777" w:rsidR="00C97237" w:rsidRDefault="00000000">
            <w:pPr>
              <w:spacing w:line="40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王少红</w:t>
            </w:r>
          </w:p>
          <w:p w14:paraId="1FC15655" w14:textId="77777777" w:rsidR="00C97237" w:rsidRDefault="00000000">
            <w:pPr>
              <w:spacing w:line="400" w:lineRule="exact"/>
              <w:jc w:val="center"/>
              <w:rPr>
                <w:rFonts w:ascii="Times New Roman" w:eastAsia="仿宋" w:hAnsi="Times New Roman" w:cs="仿宋"/>
              </w:rPr>
            </w:pPr>
            <w:r>
              <w:rPr>
                <w:rFonts w:ascii="Times New Roman" w:eastAsia="仿宋" w:hAnsi="Times New Roman" w:cs="仿宋" w:hint="eastAsia"/>
                <w:kern w:val="0"/>
                <w:sz w:val="28"/>
                <w:szCs w:val="28"/>
              </w:rPr>
              <w:t>郭朝辉</w:t>
            </w:r>
          </w:p>
        </w:tc>
      </w:tr>
      <w:tr w:rsidR="00C97237" w14:paraId="25C76040" w14:textId="77777777">
        <w:trPr>
          <w:trHeight w:val="1008"/>
          <w:jc w:val="center"/>
        </w:trPr>
        <w:tc>
          <w:tcPr>
            <w:tcW w:w="487" w:type="dxa"/>
            <w:vAlign w:val="center"/>
          </w:tcPr>
          <w:p w14:paraId="10569E52" w14:textId="77777777" w:rsidR="00C97237" w:rsidRDefault="00000000">
            <w:pPr>
              <w:spacing w:line="58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2</w:t>
            </w:r>
          </w:p>
        </w:tc>
        <w:tc>
          <w:tcPr>
            <w:tcW w:w="2801" w:type="dxa"/>
            <w:vAlign w:val="center"/>
          </w:tcPr>
          <w:p w14:paraId="660456D3"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新材料产业链</w:t>
            </w:r>
          </w:p>
        </w:tc>
        <w:tc>
          <w:tcPr>
            <w:tcW w:w="1164" w:type="dxa"/>
            <w:vMerge/>
            <w:vAlign w:val="center"/>
          </w:tcPr>
          <w:p w14:paraId="4F83CED8" w14:textId="77777777" w:rsidR="00C97237" w:rsidRDefault="00C97237">
            <w:pPr>
              <w:spacing w:line="580" w:lineRule="exact"/>
              <w:jc w:val="center"/>
              <w:rPr>
                <w:rFonts w:ascii="Times New Roman" w:eastAsia="仿宋" w:hAnsi="Times New Roman" w:cs="仿宋"/>
                <w:kern w:val="0"/>
                <w:sz w:val="28"/>
                <w:szCs w:val="28"/>
              </w:rPr>
            </w:pPr>
          </w:p>
        </w:tc>
        <w:tc>
          <w:tcPr>
            <w:tcW w:w="1129" w:type="dxa"/>
            <w:vAlign w:val="center"/>
          </w:tcPr>
          <w:p w14:paraId="0EA3076B"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苏敬彪</w:t>
            </w:r>
          </w:p>
        </w:tc>
        <w:tc>
          <w:tcPr>
            <w:tcW w:w="1325" w:type="dxa"/>
            <w:vAlign w:val="center"/>
          </w:tcPr>
          <w:p w14:paraId="1F604A45"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李建波</w:t>
            </w:r>
          </w:p>
        </w:tc>
        <w:tc>
          <w:tcPr>
            <w:tcW w:w="1654" w:type="dxa"/>
            <w:vAlign w:val="center"/>
          </w:tcPr>
          <w:p w14:paraId="4C0E0DF6"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商城街道</w:t>
            </w:r>
          </w:p>
        </w:tc>
        <w:tc>
          <w:tcPr>
            <w:tcW w:w="1096" w:type="dxa"/>
            <w:vAlign w:val="center"/>
          </w:tcPr>
          <w:p w14:paraId="523A687D"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李育英</w:t>
            </w:r>
          </w:p>
        </w:tc>
      </w:tr>
      <w:tr w:rsidR="00C97237" w14:paraId="178AFE63" w14:textId="77777777">
        <w:trPr>
          <w:trHeight w:val="905"/>
          <w:jc w:val="center"/>
        </w:trPr>
        <w:tc>
          <w:tcPr>
            <w:tcW w:w="487" w:type="dxa"/>
            <w:vAlign w:val="center"/>
          </w:tcPr>
          <w:p w14:paraId="6CC42CBF" w14:textId="77777777" w:rsidR="00C97237" w:rsidRDefault="00000000">
            <w:pPr>
              <w:spacing w:line="58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3</w:t>
            </w:r>
          </w:p>
        </w:tc>
        <w:tc>
          <w:tcPr>
            <w:tcW w:w="2801" w:type="dxa"/>
            <w:vAlign w:val="center"/>
          </w:tcPr>
          <w:p w14:paraId="3CF58FC0"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制鞋产业链</w:t>
            </w:r>
          </w:p>
        </w:tc>
        <w:tc>
          <w:tcPr>
            <w:tcW w:w="1164" w:type="dxa"/>
            <w:vMerge/>
            <w:vAlign w:val="center"/>
          </w:tcPr>
          <w:p w14:paraId="33989609" w14:textId="77777777" w:rsidR="00C97237" w:rsidRDefault="00C97237">
            <w:pPr>
              <w:spacing w:line="580" w:lineRule="exact"/>
              <w:jc w:val="center"/>
              <w:rPr>
                <w:rFonts w:ascii="Times New Roman" w:eastAsia="仿宋" w:hAnsi="Times New Roman" w:cs="仿宋"/>
                <w:kern w:val="0"/>
                <w:sz w:val="28"/>
                <w:szCs w:val="28"/>
              </w:rPr>
            </w:pPr>
          </w:p>
        </w:tc>
        <w:tc>
          <w:tcPr>
            <w:tcW w:w="1129" w:type="dxa"/>
            <w:vAlign w:val="center"/>
          </w:tcPr>
          <w:p w14:paraId="7FC0B693"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苏敬彪</w:t>
            </w:r>
          </w:p>
        </w:tc>
        <w:tc>
          <w:tcPr>
            <w:tcW w:w="1325" w:type="dxa"/>
            <w:vAlign w:val="center"/>
          </w:tcPr>
          <w:p w14:paraId="1F292768"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于前进</w:t>
            </w:r>
          </w:p>
        </w:tc>
        <w:tc>
          <w:tcPr>
            <w:tcW w:w="1654" w:type="dxa"/>
            <w:vAlign w:val="center"/>
          </w:tcPr>
          <w:p w14:paraId="08D979F5"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山化镇</w:t>
            </w:r>
          </w:p>
        </w:tc>
        <w:tc>
          <w:tcPr>
            <w:tcW w:w="1096" w:type="dxa"/>
            <w:vAlign w:val="center"/>
          </w:tcPr>
          <w:p w14:paraId="1A284FD3"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李艳峰</w:t>
            </w:r>
          </w:p>
        </w:tc>
      </w:tr>
      <w:tr w:rsidR="00C97237" w14:paraId="3F9D0C60" w14:textId="77777777">
        <w:trPr>
          <w:trHeight w:val="1037"/>
          <w:jc w:val="center"/>
        </w:trPr>
        <w:tc>
          <w:tcPr>
            <w:tcW w:w="487" w:type="dxa"/>
            <w:vAlign w:val="center"/>
          </w:tcPr>
          <w:p w14:paraId="4A4DE04D" w14:textId="77777777" w:rsidR="00C97237" w:rsidRDefault="00000000">
            <w:pPr>
              <w:spacing w:line="58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4</w:t>
            </w:r>
          </w:p>
        </w:tc>
        <w:tc>
          <w:tcPr>
            <w:tcW w:w="2801" w:type="dxa"/>
            <w:vAlign w:val="center"/>
          </w:tcPr>
          <w:p w14:paraId="28A2B6A0"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电线电缆产业链</w:t>
            </w:r>
          </w:p>
        </w:tc>
        <w:tc>
          <w:tcPr>
            <w:tcW w:w="1164" w:type="dxa"/>
            <w:vMerge/>
            <w:vAlign w:val="center"/>
          </w:tcPr>
          <w:p w14:paraId="0544EB00" w14:textId="77777777" w:rsidR="00C97237" w:rsidRDefault="00C97237">
            <w:pPr>
              <w:spacing w:line="580" w:lineRule="exact"/>
              <w:jc w:val="center"/>
              <w:rPr>
                <w:rFonts w:ascii="Times New Roman" w:eastAsia="仿宋" w:hAnsi="Times New Roman" w:cs="仿宋"/>
                <w:kern w:val="0"/>
                <w:sz w:val="28"/>
                <w:szCs w:val="28"/>
              </w:rPr>
            </w:pPr>
          </w:p>
        </w:tc>
        <w:tc>
          <w:tcPr>
            <w:tcW w:w="1129" w:type="dxa"/>
            <w:vAlign w:val="center"/>
          </w:tcPr>
          <w:p w14:paraId="3FF80E6E"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史书通</w:t>
            </w:r>
          </w:p>
        </w:tc>
        <w:tc>
          <w:tcPr>
            <w:tcW w:w="1325" w:type="dxa"/>
            <w:vAlign w:val="center"/>
          </w:tcPr>
          <w:p w14:paraId="2A4E6AFA"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魏迎春</w:t>
            </w:r>
          </w:p>
        </w:tc>
        <w:tc>
          <w:tcPr>
            <w:tcW w:w="1654" w:type="dxa"/>
            <w:vAlign w:val="center"/>
          </w:tcPr>
          <w:p w14:paraId="1D6ACA92"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顾县镇</w:t>
            </w:r>
          </w:p>
        </w:tc>
        <w:tc>
          <w:tcPr>
            <w:tcW w:w="1096" w:type="dxa"/>
            <w:vAlign w:val="center"/>
          </w:tcPr>
          <w:p w14:paraId="24E9FD09"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滑伟东</w:t>
            </w:r>
          </w:p>
        </w:tc>
      </w:tr>
      <w:tr w:rsidR="00C97237" w14:paraId="2D1B7070" w14:textId="77777777">
        <w:trPr>
          <w:trHeight w:val="1037"/>
          <w:jc w:val="center"/>
        </w:trPr>
        <w:tc>
          <w:tcPr>
            <w:tcW w:w="487" w:type="dxa"/>
            <w:vAlign w:val="center"/>
          </w:tcPr>
          <w:p w14:paraId="06F08B02" w14:textId="77777777" w:rsidR="00C97237" w:rsidRDefault="00000000">
            <w:pPr>
              <w:spacing w:line="58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5</w:t>
            </w:r>
          </w:p>
        </w:tc>
        <w:tc>
          <w:tcPr>
            <w:tcW w:w="2801" w:type="dxa"/>
            <w:vAlign w:val="center"/>
          </w:tcPr>
          <w:p w14:paraId="55116DD1"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耐火材料产业链</w:t>
            </w:r>
          </w:p>
        </w:tc>
        <w:tc>
          <w:tcPr>
            <w:tcW w:w="1164" w:type="dxa"/>
            <w:vMerge/>
            <w:vAlign w:val="center"/>
          </w:tcPr>
          <w:p w14:paraId="18AEDD92" w14:textId="77777777" w:rsidR="00C97237" w:rsidRDefault="00C97237">
            <w:pPr>
              <w:spacing w:line="580" w:lineRule="exact"/>
              <w:jc w:val="center"/>
              <w:rPr>
                <w:rFonts w:ascii="Times New Roman" w:eastAsia="仿宋" w:hAnsi="Times New Roman" w:cs="仿宋"/>
                <w:kern w:val="0"/>
                <w:sz w:val="28"/>
                <w:szCs w:val="28"/>
              </w:rPr>
            </w:pPr>
          </w:p>
        </w:tc>
        <w:tc>
          <w:tcPr>
            <w:tcW w:w="1129" w:type="dxa"/>
            <w:vAlign w:val="center"/>
          </w:tcPr>
          <w:p w14:paraId="0776DA12"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刘</w:t>
            </w:r>
            <w:r>
              <w:rPr>
                <w:rFonts w:ascii="Times New Roman" w:eastAsia="仿宋" w:hAnsi="Times New Roman" w:cs="仿宋" w:hint="eastAsia"/>
                <w:kern w:val="0"/>
                <w:sz w:val="28"/>
                <w:szCs w:val="28"/>
              </w:rPr>
              <w:t xml:space="preserve">  </w:t>
            </w:r>
            <w:r>
              <w:rPr>
                <w:rFonts w:ascii="Times New Roman" w:eastAsia="仿宋" w:hAnsi="Times New Roman" w:cs="仿宋" w:hint="eastAsia"/>
                <w:kern w:val="0"/>
                <w:sz w:val="28"/>
                <w:szCs w:val="28"/>
              </w:rPr>
              <w:t>海</w:t>
            </w:r>
          </w:p>
        </w:tc>
        <w:tc>
          <w:tcPr>
            <w:tcW w:w="1325" w:type="dxa"/>
            <w:vAlign w:val="center"/>
          </w:tcPr>
          <w:p w14:paraId="7598A892"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白宏宇</w:t>
            </w:r>
          </w:p>
        </w:tc>
        <w:tc>
          <w:tcPr>
            <w:tcW w:w="1654" w:type="dxa"/>
            <w:vAlign w:val="center"/>
          </w:tcPr>
          <w:p w14:paraId="7C87E68A"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府店镇</w:t>
            </w:r>
          </w:p>
        </w:tc>
        <w:tc>
          <w:tcPr>
            <w:tcW w:w="1096" w:type="dxa"/>
            <w:vAlign w:val="center"/>
          </w:tcPr>
          <w:p w14:paraId="04A445EE"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张飞飞</w:t>
            </w:r>
          </w:p>
        </w:tc>
      </w:tr>
      <w:tr w:rsidR="00C97237" w14:paraId="7A97FD51" w14:textId="77777777">
        <w:trPr>
          <w:trHeight w:val="1188"/>
          <w:jc w:val="center"/>
        </w:trPr>
        <w:tc>
          <w:tcPr>
            <w:tcW w:w="487" w:type="dxa"/>
            <w:vAlign w:val="center"/>
          </w:tcPr>
          <w:p w14:paraId="10B53C47" w14:textId="77777777" w:rsidR="00C97237" w:rsidRDefault="00000000">
            <w:pPr>
              <w:spacing w:line="58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6</w:t>
            </w:r>
          </w:p>
        </w:tc>
        <w:tc>
          <w:tcPr>
            <w:tcW w:w="2801" w:type="dxa"/>
            <w:vAlign w:val="center"/>
          </w:tcPr>
          <w:p w14:paraId="13D61D21"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新型包装材料产业链</w:t>
            </w:r>
          </w:p>
        </w:tc>
        <w:tc>
          <w:tcPr>
            <w:tcW w:w="1164" w:type="dxa"/>
            <w:vMerge/>
            <w:vAlign w:val="center"/>
          </w:tcPr>
          <w:p w14:paraId="18282A59" w14:textId="77777777" w:rsidR="00C97237" w:rsidRDefault="00C97237">
            <w:pPr>
              <w:spacing w:line="580" w:lineRule="exact"/>
              <w:jc w:val="center"/>
              <w:rPr>
                <w:rFonts w:ascii="Times New Roman" w:eastAsia="仿宋" w:hAnsi="Times New Roman" w:cs="仿宋"/>
                <w:kern w:val="0"/>
                <w:sz w:val="28"/>
                <w:szCs w:val="28"/>
              </w:rPr>
            </w:pPr>
          </w:p>
        </w:tc>
        <w:tc>
          <w:tcPr>
            <w:tcW w:w="1129" w:type="dxa"/>
            <w:vAlign w:val="center"/>
          </w:tcPr>
          <w:p w14:paraId="57ED4404"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吴</w:t>
            </w:r>
            <w:r>
              <w:rPr>
                <w:rFonts w:ascii="Times New Roman" w:eastAsia="仿宋" w:hAnsi="Times New Roman" w:cs="仿宋" w:hint="eastAsia"/>
                <w:kern w:val="0"/>
                <w:sz w:val="28"/>
                <w:szCs w:val="28"/>
              </w:rPr>
              <w:t xml:space="preserve">  </w:t>
            </w:r>
            <w:r>
              <w:rPr>
                <w:rFonts w:ascii="Times New Roman" w:eastAsia="仿宋" w:hAnsi="Times New Roman" w:cs="仿宋" w:hint="eastAsia"/>
                <w:kern w:val="0"/>
                <w:sz w:val="28"/>
                <w:szCs w:val="28"/>
              </w:rPr>
              <w:t>良</w:t>
            </w:r>
          </w:p>
        </w:tc>
        <w:tc>
          <w:tcPr>
            <w:tcW w:w="1325" w:type="dxa"/>
            <w:vAlign w:val="center"/>
          </w:tcPr>
          <w:p w14:paraId="44572352"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杨益国</w:t>
            </w:r>
          </w:p>
        </w:tc>
        <w:tc>
          <w:tcPr>
            <w:tcW w:w="1654" w:type="dxa"/>
            <w:vAlign w:val="center"/>
          </w:tcPr>
          <w:p w14:paraId="5DF2E0C5"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首阳山街道</w:t>
            </w:r>
          </w:p>
        </w:tc>
        <w:tc>
          <w:tcPr>
            <w:tcW w:w="1096" w:type="dxa"/>
            <w:vAlign w:val="center"/>
          </w:tcPr>
          <w:p w14:paraId="49A5D98E"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段继涛</w:t>
            </w:r>
          </w:p>
        </w:tc>
      </w:tr>
      <w:tr w:rsidR="00C97237" w14:paraId="55F9CCAF" w14:textId="77777777">
        <w:trPr>
          <w:trHeight w:val="1107"/>
          <w:jc w:val="center"/>
        </w:trPr>
        <w:tc>
          <w:tcPr>
            <w:tcW w:w="487" w:type="dxa"/>
            <w:vAlign w:val="center"/>
          </w:tcPr>
          <w:p w14:paraId="33DDF95F" w14:textId="77777777" w:rsidR="00C97237" w:rsidRDefault="00000000">
            <w:pPr>
              <w:spacing w:line="58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7</w:t>
            </w:r>
          </w:p>
        </w:tc>
        <w:tc>
          <w:tcPr>
            <w:tcW w:w="2801" w:type="dxa"/>
            <w:vAlign w:val="center"/>
          </w:tcPr>
          <w:p w14:paraId="65B48F8B"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特色家居产业链</w:t>
            </w:r>
          </w:p>
        </w:tc>
        <w:tc>
          <w:tcPr>
            <w:tcW w:w="1164" w:type="dxa"/>
            <w:vMerge/>
            <w:vAlign w:val="center"/>
          </w:tcPr>
          <w:p w14:paraId="5AF3C620" w14:textId="77777777" w:rsidR="00C97237" w:rsidRDefault="00C97237">
            <w:pPr>
              <w:spacing w:line="580" w:lineRule="exact"/>
              <w:jc w:val="center"/>
              <w:rPr>
                <w:rFonts w:ascii="Times New Roman" w:eastAsia="仿宋" w:hAnsi="Times New Roman" w:cs="仿宋"/>
                <w:kern w:val="0"/>
                <w:sz w:val="28"/>
                <w:szCs w:val="28"/>
              </w:rPr>
            </w:pPr>
          </w:p>
        </w:tc>
        <w:tc>
          <w:tcPr>
            <w:tcW w:w="1129" w:type="dxa"/>
            <w:vAlign w:val="center"/>
          </w:tcPr>
          <w:p w14:paraId="5504926A"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樊红伟</w:t>
            </w:r>
          </w:p>
        </w:tc>
        <w:tc>
          <w:tcPr>
            <w:tcW w:w="1325" w:type="dxa"/>
            <w:vAlign w:val="center"/>
          </w:tcPr>
          <w:p w14:paraId="2B71CFB7"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袁振海</w:t>
            </w:r>
          </w:p>
        </w:tc>
        <w:tc>
          <w:tcPr>
            <w:tcW w:w="1654" w:type="dxa"/>
            <w:vAlign w:val="center"/>
          </w:tcPr>
          <w:p w14:paraId="483A65D7"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高龙镇</w:t>
            </w:r>
          </w:p>
        </w:tc>
        <w:tc>
          <w:tcPr>
            <w:tcW w:w="1096" w:type="dxa"/>
            <w:vAlign w:val="center"/>
          </w:tcPr>
          <w:p w14:paraId="0361B217"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孙正政</w:t>
            </w:r>
          </w:p>
        </w:tc>
      </w:tr>
      <w:tr w:rsidR="00C97237" w14:paraId="23506130" w14:textId="77777777">
        <w:trPr>
          <w:trHeight w:val="1129"/>
          <w:jc w:val="center"/>
        </w:trPr>
        <w:tc>
          <w:tcPr>
            <w:tcW w:w="487" w:type="dxa"/>
            <w:vAlign w:val="center"/>
          </w:tcPr>
          <w:p w14:paraId="6B2E357B" w14:textId="77777777" w:rsidR="00C97237" w:rsidRDefault="00000000">
            <w:pPr>
              <w:spacing w:line="58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8</w:t>
            </w:r>
          </w:p>
        </w:tc>
        <w:tc>
          <w:tcPr>
            <w:tcW w:w="2801" w:type="dxa"/>
            <w:vAlign w:val="center"/>
          </w:tcPr>
          <w:p w14:paraId="66C69CB4"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针织产业链</w:t>
            </w:r>
          </w:p>
        </w:tc>
        <w:tc>
          <w:tcPr>
            <w:tcW w:w="1164" w:type="dxa"/>
            <w:vMerge/>
            <w:vAlign w:val="center"/>
          </w:tcPr>
          <w:p w14:paraId="6C768A51" w14:textId="77777777" w:rsidR="00C97237" w:rsidRDefault="00C97237">
            <w:pPr>
              <w:spacing w:line="580" w:lineRule="exact"/>
              <w:jc w:val="center"/>
              <w:rPr>
                <w:rFonts w:ascii="Times New Roman" w:eastAsia="仿宋" w:hAnsi="Times New Roman" w:cs="仿宋"/>
                <w:kern w:val="0"/>
                <w:sz w:val="28"/>
                <w:szCs w:val="28"/>
              </w:rPr>
            </w:pPr>
          </w:p>
        </w:tc>
        <w:tc>
          <w:tcPr>
            <w:tcW w:w="1129" w:type="dxa"/>
            <w:vAlign w:val="center"/>
          </w:tcPr>
          <w:p w14:paraId="1AA538F8"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朱</w:t>
            </w:r>
            <w:r>
              <w:rPr>
                <w:rFonts w:ascii="Times New Roman" w:eastAsia="仿宋" w:hAnsi="Times New Roman" w:cs="仿宋" w:hint="eastAsia"/>
                <w:kern w:val="0"/>
                <w:sz w:val="28"/>
                <w:szCs w:val="28"/>
              </w:rPr>
              <w:t xml:space="preserve">  </w:t>
            </w:r>
            <w:r>
              <w:rPr>
                <w:rFonts w:ascii="Times New Roman" w:eastAsia="仿宋" w:hAnsi="Times New Roman" w:cs="仿宋" w:hint="eastAsia"/>
                <w:kern w:val="0"/>
                <w:sz w:val="28"/>
                <w:szCs w:val="28"/>
              </w:rPr>
              <w:t>蕾</w:t>
            </w:r>
          </w:p>
        </w:tc>
        <w:tc>
          <w:tcPr>
            <w:tcW w:w="1325" w:type="dxa"/>
            <w:vAlign w:val="center"/>
          </w:tcPr>
          <w:p w14:paraId="4F87392A"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白书民</w:t>
            </w:r>
          </w:p>
        </w:tc>
        <w:tc>
          <w:tcPr>
            <w:tcW w:w="1654" w:type="dxa"/>
            <w:vAlign w:val="center"/>
          </w:tcPr>
          <w:p w14:paraId="11A8ED82"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翟镇镇</w:t>
            </w:r>
          </w:p>
        </w:tc>
        <w:tc>
          <w:tcPr>
            <w:tcW w:w="1096" w:type="dxa"/>
            <w:vAlign w:val="center"/>
          </w:tcPr>
          <w:p w14:paraId="18AC4143" w14:textId="77777777" w:rsidR="00C97237" w:rsidRDefault="00000000">
            <w:pPr>
              <w:spacing w:line="580" w:lineRule="exact"/>
              <w:jc w:val="center"/>
              <w:rPr>
                <w:rFonts w:ascii="Times New Roman" w:eastAsia="仿宋" w:hAnsi="Times New Roman" w:cs="仿宋"/>
                <w:kern w:val="0"/>
                <w:sz w:val="28"/>
                <w:szCs w:val="28"/>
              </w:rPr>
            </w:pPr>
            <w:r>
              <w:rPr>
                <w:rFonts w:ascii="Times New Roman" w:eastAsia="仿宋" w:hAnsi="Times New Roman" w:cs="仿宋" w:hint="eastAsia"/>
                <w:kern w:val="0"/>
                <w:sz w:val="28"/>
                <w:szCs w:val="28"/>
              </w:rPr>
              <w:t>谷恩光</w:t>
            </w:r>
          </w:p>
        </w:tc>
      </w:tr>
    </w:tbl>
    <w:p w14:paraId="5DAD2A9A" w14:textId="77777777" w:rsidR="00C97237" w:rsidRDefault="00C97237">
      <w:pPr>
        <w:spacing w:line="580" w:lineRule="exact"/>
        <w:rPr>
          <w:rFonts w:ascii="仿宋" w:eastAsia="仿宋" w:hAnsi="仿宋" w:cs="仿宋"/>
          <w:color w:val="000000"/>
          <w:sz w:val="32"/>
          <w:szCs w:val="32"/>
        </w:rPr>
      </w:pPr>
    </w:p>
    <w:p w14:paraId="574850AD" w14:textId="77777777" w:rsidR="00C97237" w:rsidRDefault="00C97237">
      <w:pPr>
        <w:widowControl/>
        <w:spacing w:line="580" w:lineRule="exact"/>
        <w:jc w:val="left"/>
        <w:rPr>
          <w:rFonts w:ascii="仿宋" w:eastAsia="仿宋" w:hAnsi="仿宋" w:cs="仿宋"/>
          <w:sz w:val="32"/>
          <w:szCs w:val="32"/>
        </w:rPr>
      </w:pPr>
    </w:p>
    <w:p w14:paraId="0C4BEAEC" w14:textId="77777777" w:rsidR="00C97237" w:rsidRDefault="00C97237">
      <w:pPr>
        <w:widowControl/>
        <w:spacing w:line="580" w:lineRule="exact"/>
        <w:jc w:val="left"/>
        <w:rPr>
          <w:rFonts w:ascii="仿宋" w:eastAsia="仿宋" w:hAnsi="仿宋" w:cs="仿宋"/>
          <w:sz w:val="32"/>
          <w:szCs w:val="32"/>
        </w:rPr>
      </w:pPr>
    </w:p>
    <w:p w14:paraId="57800CB1" w14:textId="77777777" w:rsidR="00C97237" w:rsidRDefault="00C97237">
      <w:pPr>
        <w:widowControl/>
        <w:spacing w:line="580" w:lineRule="exact"/>
        <w:jc w:val="left"/>
        <w:rPr>
          <w:rFonts w:ascii="仿宋" w:eastAsia="仿宋" w:hAnsi="仿宋" w:cs="仿宋"/>
          <w:sz w:val="32"/>
          <w:szCs w:val="32"/>
        </w:rPr>
      </w:pPr>
    </w:p>
    <w:p w14:paraId="6673BB8A" w14:textId="77777777" w:rsidR="00C97237" w:rsidRDefault="00C97237">
      <w:pPr>
        <w:spacing w:line="580" w:lineRule="exact"/>
        <w:rPr>
          <w:rFonts w:ascii="仿宋" w:eastAsia="仿宋" w:hAnsi="仿宋" w:cs="仿宋"/>
          <w:sz w:val="32"/>
          <w:szCs w:val="32"/>
        </w:rPr>
      </w:pPr>
    </w:p>
    <w:p w14:paraId="00EE83CA" w14:textId="77777777" w:rsidR="00C97237" w:rsidRDefault="00C97237">
      <w:pPr>
        <w:pStyle w:val="2"/>
        <w:spacing w:line="580" w:lineRule="exact"/>
        <w:rPr>
          <w:rFonts w:ascii="仿宋" w:eastAsia="仿宋" w:hAnsi="仿宋" w:cs="仿宋"/>
          <w:szCs w:val="32"/>
        </w:rPr>
      </w:pPr>
    </w:p>
    <w:p w14:paraId="59428A03" w14:textId="77777777" w:rsidR="00C97237" w:rsidRDefault="00C97237">
      <w:pPr>
        <w:spacing w:line="580" w:lineRule="exact"/>
        <w:ind w:firstLine="640"/>
        <w:rPr>
          <w:rFonts w:ascii="仿宋" w:eastAsia="仿宋" w:hAnsi="仿宋" w:cs="仿宋"/>
          <w:sz w:val="32"/>
          <w:szCs w:val="32"/>
        </w:rPr>
      </w:pPr>
    </w:p>
    <w:p w14:paraId="68B586AE" w14:textId="77777777" w:rsidR="00C97237" w:rsidRDefault="00C97237">
      <w:pPr>
        <w:spacing w:line="580" w:lineRule="exact"/>
        <w:ind w:firstLineChars="200" w:firstLine="640"/>
        <w:rPr>
          <w:rFonts w:ascii="仿宋" w:eastAsia="仿宋" w:hAnsi="仿宋" w:cs="仿宋"/>
          <w:bCs/>
          <w:sz w:val="32"/>
          <w:szCs w:val="32"/>
        </w:rPr>
      </w:pPr>
    </w:p>
    <w:p w14:paraId="16FCB49A" w14:textId="77777777" w:rsidR="00C97237" w:rsidRDefault="00C97237">
      <w:pPr>
        <w:autoSpaceDN w:val="0"/>
        <w:spacing w:line="580" w:lineRule="exact"/>
        <w:ind w:firstLineChars="200" w:firstLine="640"/>
        <w:rPr>
          <w:rFonts w:ascii="仿宋" w:eastAsia="仿宋" w:hAnsi="仿宋" w:cs="仿宋"/>
          <w:color w:val="000000"/>
          <w:sz w:val="32"/>
          <w:szCs w:val="32"/>
        </w:rPr>
      </w:pPr>
    </w:p>
    <w:p w14:paraId="77A9474B" w14:textId="77777777" w:rsidR="00C97237" w:rsidRDefault="00C97237">
      <w:pPr>
        <w:spacing w:line="580" w:lineRule="exact"/>
        <w:rPr>
          <w:rFonts w:ascii="仿宋" w:eastAsia="仿宋" w:hAnsi="仿宋" w:cs="仿宋"/>
          <w:sz w:val="32"/>
          <w:szCs w:val="32"/>
        </w:rPr>
      </w:pPr>
    </w:p>
    <w:p w14:paraId="3420EFCC" w14:textId="77777777" w:rsidR="00C97237" w:rsidRDefault="00C97237">
      <w:pPr>
        <w:spacing w:line="580" w:lineRule="exact"/>
        <w:rPr>
          <w:rFonts w:ascii="仿宋" w:eastAsia="仿宋" w:hAnsi="仿宋" w:cs="仿宋"/>
          <w:sz w:val="32"/>
          <w:szCs w:val="32"/>
        </w:rPr>
      </w:pPr>
    </w:p>
    <w:sectPr w:rsidR="00C972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6381" w14:textId="77777777" w:rsidR="008C62B0" w:rsidRDefault="008C62B0">
      <w:r>
        <w:separator/>
      </w:r>
    </w:p>
  </w:endnote>
  <w:endnote w:type="continuationSeparator" w:id="0">
    <w:p w14:paraId="0D06C6FC" w14:textId="77777777" w:rsidR="008C62B0" w:rsidRDefault="008C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FZXBSJW--GB1-0">
    <w:altName w:val="宋体"/>
    <w:charset w:val="86"/>
    <w:family w:val="auto"/>
    <w:pitch w:val="default"/>
    <w:sig w:usb0="00000000" w:usb1="00000000" w:usb2="00000000" w:usb3="00000000" w:csb0="00040000" w:csb1="00000000"/>
  </w:font>
  <w:font w:name="TimesNewRomanPSMT">
    <w:altName w:val="等线"/>
    <w:charset w:val="86"/>
    <w:family w:val="auto"/>
    <w:pitch w:val="default"/>
    <w:sig w:usb0="00000000" w:usb1="00000000" w:usb2="00000000" w:usb3="00000000" w:csb0="00040000" w:csb1="00000000"/>
  </w:font>
  <w:font w:name="TimesNewRomanPS-BoldMT">
    <w:altName w:val="宋体"/>
    <w:charset w:val="86"/>
    <w:family w:val="auto"/>
    <w:pitch w:val="default"/>
    <w:sig w:usb0="00000000" w:usb1="00000000" w:usb2="00000000" w:usb3="00000000" w:csb0="00040000" w:csb1="00000000"/>
  </w:font>
  <w:font w:name="方正楷体_GB2312">
    <w:altName w:val="宋体"/>
    <w:charset w:val="86"/>
    <w:family w:val="auto"/>
    <w:pitch w:val="default"/>
    <w:sig w:usb0="00000000" w:usb1="00000000"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6A9D" w14:textId="77777777" w:rsidR="008C62B0" w:rsidRDefault="008C62B0">
      <w:r>
        <w:separator/>
      </w:r>
    </w:p>
  </w:footnote>
  <w:footnote w:type="continuationSeparator" w:id="0">
    <w:p w14:paraId="36E996F8" w14:textId="77777777" w:rsidR="008C62B0" w:rsidRDefault="008C62B0">
      <w:r>
        <w:continuationSeparator/>
      </w:r>
    </w:p>
  </w:footnote>
  <w:footnote w:id="1">
    <w:p w14:paraId="15B0594D" w14:textId="77777777" w:rsidR="00C97237" w:rsidRDefault="00000000">
      <w:pPr>
        <w:snapToGrid w:val="0"/>
        <w:spacing w:line="360" w:lineRule="exact"/>
        <w:jc w:val="left"/>
        <w:rPr>
          <w:rFonts w:ascii="Times New Roman" w:eastAsia="仿宋_GB2312" w:hAnsi="Times New Roman" w:cs="Times New Roman"/>
          <w:sz w:val="31"/>
        </w:rPr>
      </w:pPr>
      <w:r>
        <w:rPr>
          <w:rFonts w:ascii="Times New Roman" w:eastAsia="仿宋_GB2312" w:hAnsi="Times New Roman" w:cs="Times New Roman"/>
          <w:b/>
          <w:bCs/>
          <w:sz w:val="24"/>
        </w:rPr>
        <w:footnoteRef/>
      </w:r>
      <w:r>
        <w:rPr>
          <w:rFonts w:ascii="Times New Roman" w:eastAsia="仿宋_GB2312" w:hAnsi="Times New Roman" w:cs="Times New Roman" w:hint="eastAsia"/>
          <w:b/>
          <w:bCs/>
          <w:sz w:val="24"/>
        </w:rPr>
        <w:t xml:space="preserve"> </w:t>
      </w:r>
      <w:r>
        <w:rPr>
          <w:rFonts w:ascii="Times New Roman" w:eastAsia="仿宋_GB2312" w:hAnsi="Times New Roman" w:cs="Times New Roman"/>
          <w:b/>
          <w:bCs/>
          <w:sz w:val="24"/>
        </w:rPr>
        <w:t>小微企业：</w:t>
      </w:r>
      <w:r>
        <w:rPr>
          <w:rFonts w:ascii="Times New Roman" w:eastAsia="仿宋_GB2312" w:hAnsi="Times New Roman" w:cs="Times New Roman"/>
          <w:sz w:val="24"/>
        </w:rPr>
        <w:t>以国家市场监管总局发布的小微企业名单为准。对于尚未纳入名单的本年度新设立企业，注册资本或出资额（资金数额）在</w:t>
      </w:r>
      <w:r>
        <w:rPr>
          <w:rFonts w:ascii="Times New Roman" w:eastAsia="仿宋_GB2312" w:hAnsi="Times New Roman" w:cs="Times New Roman"/>
          <w:sz w:val="24"/>
        </w:rPr>
        <w:t>500</w:t>
      </w:r>
      <w:r>
        <w:rPr>
          <w:rFonts w:ascii="Times New Roman" w:eastAsia="仿宋_GB2312" w:hAnsi="Times New Roman" w:cs="Times New Roman"/>
          <w:sz w:val="24"/>
        </w:rPr>
        <w:t>万人民币以下（含</w:t>
      </w:r>
      <w:r>
        <w:rPr>
          <w:rFonts w:ascii="Times New Roman" w:eastAsia="仿宋_GB2312" w:hAnsi="Times New Roman" w:cs="Times New Roman"/>
          <w:sz w:val="24"/>
        </w:rPr>
        <w:t>500</w:t>
      </w:r>
      <w:r>
        <w:rPr>
          <w:rFonts w:ascii="Times New Roman" w:eastAsia="仿宋_GB2312" w:hAnsi="Times New Roman" w:cs="Times New Roman"/>
          <w:sz w:val="24"/>
        </w:rPr>
        <w:t>万人民币）的纳入小微企业范围。</w:t>
      </w:r>
    </w:p>
  </w:footnote>
  <w:footnote w:id="2">
    <w:p w14:paraId="295E90E0" w14:textId="77777777" w:rsidR="00C97237" w:rsidRDefault="00000000">
      <w:pPr>
        <w:snapToGrid w:val="0"/>
        <w:spacing w:line="360" w:lineRule="exact"/>
        <w:jc w:val="left"/>
        <w:rPr>
          <w:rFonts w:ascii="Times New Roman" w:eastAsia="仿宋_GB2312" w:hAnsi="Times New Roman" w:cs="Times New Roman"/>
          <w:sz w:val="24"/>
        </w:rPr>
      </w:pPr>
      <w:r>
        <w:rPr>
          <w:rFonts w:ascii="Times New Roman" w:eastAsia="仿宋_GB2312" w:hAnsi="Times New Roman" w:cs="Times New Roman"/>
          <w:b/>
          <w:bCs/>
          <w:sz w:val="24"/>
        </w:rPr>
        <w:footnoteRef/>
      </w:r>
      <w:r>
        <w:rPr>
          <w:rFonts w:ascii="Times New Roman" w:eastAsia="仿宋_GB2312" w:hAnsi="Times New Roman" w:cs="Times New Roman" w:hint="eastAsia"/>
          <w:b/>
          <w:bCs/>
          <w:sz w:val="24"/>
        </w:rPr>
        <w:t xml:space="preserve"> </w:t>
      </w:r>
      <w:r>
        <w:rPr>
          <w:rFonts w:ascii="Times New Roman" w:eastAsia="仿宋_GB2312" w:hAnsi="Times New Roman" w:cs="Times New Roman"/>
          <w:b/>
          <w:bCs/>
          <w:sz w:val="24"/>
        </w:rPr>
        <w:t>高压客户：</w:t>
      </w:r>
      <w:r>
        <w:rPr>
          <w:rFonts w:ascii="Times New Roman" w:eastAsia="仿宋_GB2312" w:hAnsi="Times New Roman" w:cs="Times New Roman"/>
          <w:sz w:val="24"/>
        </w:rPr>
        <w:t>是指采用</w:t>
      </w:r>
      <w:r>
        <w:rPr>
          <w:rFonts w:ascii="Times New Roman" w:eastAsia="仿宋_GB2312" w:hAnsi="Times New Roman" w:cs="Times New Roman"/>
          <w:sz w:val="24"/>
        </w:rPr>
        <w:t>10</w:t>
      </w:r>
      <w:r>
        <w:rPr>
          <w:rFonts w:ascii="Times New Roman" w:eastAsia="仿宋_GB2312" w:hAnsi="Times New Roman" w:cs="Times New Roman"/>
          <w:sz w:val="24"/>
        </w:rPr>
        <w:t>（</w:t>
      </w:r>
      <w:r>
        <w:rPr>
          <w:rFonts w:ascii="Times New Roman" w:eastAsia="仿宋_GB2312" w:hAnsi="Times New Roman" w:cs="Times New Roman"/>
          <w:sz w:val="24"/>
        </w:rPr>
        <w:t>6</w:t>
      </w:r>
      <w:r>
        <w:rPr>
          <w:rFonts w:ascii="Times New Roman" w:eastAsia="仿宋_GB2312" w:hAnsi="Times New Roman" w:cs="Times New Roman"/>
          <w:sz w:val="24"/>
        </w:rPr>
        <w:t>）千伏及以上电压等级供电的客户。</w:t>
      </w:r>
    </w:p>
  </w:footnote>
  <w:footnote w:id="3">
    <w:p w14:paraId="2BE8BA2B" w14:textId="77777777" w:rsidR="00C97237" w:rsidRDefault="00000000">
      <w:pPr>
        <w:snapToGrid w:val="0"/>
        <w:spacing w:line="360" w:lineRule="exact"/>
        <w:jc w:val="left"/>
        <w:rPr>
          <w:rFonts w:ascii="Times New Roman" w:eastAsia="仿宋_GB2312" w:hAnsi="Times New Roman" w:cs="Times New Roman"/>
          <w:sz w:val="24"/>
        </w:rPr>
      </w:pPr>
      <w:r>
        <w:rPr>
          <w:rFonts w:ascii="Times New Roman" w:eastAsia="仿宋_GB2312" w:hAnsi="Times New Roman" w:cs="Times New Roman"/>
          <w:b/>
          <w:bCs/>
          <w:sz w:val="24"/>
        </w:rPr>
        <w:footnoteRef/>
      </w:r>
      <w:r>
        <w:rPr>
          <w:rFonts w:ascii="Times New Roman" w:eastAsia="仿宋_GB2312" w:hAnsi="Times New Roman" w:cs="Times New Roman" w:hint="eastAsia"/>
          <w:b/>
          <w:bCs/>
          <w:sz w:val="24"/>
        </w:rPr>
        <w:t xml:space="preserve"> </w:t>
      </w:r>
      <w:r>
        <w:rPr>
          <w:rFonts w:ascii="Times New Roman" w:eastAsia="仿宋_GB2312" w:hAnsi="Times New Roman" w:cs="Times New Roman"/>
          <w:b/>
          <w:bCs/>
          <w:sz w:val="24"/>
        </w:rPr>
        <w:t>低压客户：</w:t>
      </w:r>
      <w:r>
        <w:rPr>
          <w:rFonts w:ascii="Times New Roman" w:eastAsia="仿宋_GB2312" w:hAnsi="Times New Roman" w:cs="Times New Roman"/>
          <w:sz w:val="24"/>
        </w:rPr>
        <w:t>是指采用</w:t>
      </w:r>
      <w:r>
        <w:rPr>
          <w:rFonts w:ascii="Times New Roman" w:eastAsia="仿宋_GB2312" w:hAnsi="Times New Roman" w:cs="Times New Roman"/>
          <w:sz w:val="24"/>
        </w:rPr>
        <w:t>400</w:t>
      </w:r>
      <w:r>
        <w:rPr>
          <w:rFonts w:ascii="Times New Roman" w:eastAsia="仿宋_GB2312" w:hAnsi="Times New Roman" w:cs="Times New Roman"/>
          <w:sz w:val="24"/>
        </w:rPr>
        <w:t>伏及以下电压等级供电的客户。</w:t>
      </w:r>
    </w:p>
  </w:footnote>
  <w:footnote w:id="4">
    <w:p w14:paraId="1A3AC077" w14:textId="77777777" w:rsidR="00C97237" w:rsidRDefault="00C97237">
      <w:pPr>
        <w:snapToGrid w:val="0"/>
        <w:jc w:val="left"/>
        <w:rPr>
          <w:rFonts w:ascii="Times New Roman" w:eastAsia="仿宋_GB2312" w:hAnsi="Times New Roman" w:cs="Times New Roman"/>
          <w:b/>
          <w:bCs/>
          <w:sz w:val="24"/>
        </w:rPr>
      </w:pPr>
    </w:p>
    <w:p w14:paraId="5AF65B96" w14:textId="77777777" w:rsidR="00C97237" w:rsidRDefault="00000000">
      <w:pPr>
        <w:snapToGrid w:val="0"/>
        <w:jc w:val="left"/>
        <w:rPr>
          <w:rFonts w:ascii="Times New Roman" w:eastAsia="仿宋_GB2312" w:hAnsi="Times New Roman" w:cs="Times New Roman"/>
          <w:sz w:val="24"/>
        </w:rPr>
      </w:pPr>
      <w:r>
        <w:rPr>
          <w:rFonts w:ascii="Times New Roman" w:eastAsia="仿宋_GB2312" w:hAnsi="Times New Roman" w:cs="Times New Roman"/>
          <w:b/>
          <w:bCs/>
          <w:sz w:val="24"/>
        </w:rPr>
        <w:footnoteRef/>
      </w:r>
      <w:r>
        <w:rPr>
          <w:rFonts w:ascii="Times New Roman" w:eastAsia="仿宋_GB2312" w:hAnsi="Times New Roman" w:cs="Times New Roman"/>
          <w:b/>
          <w:bCs/>
          <w:sz w:val="24"/>
        </w:rPr>
        <w:t xml:space="preserve"> “</w:t>
      </w:r>
      <w:r>
        <w:rPr>
          <w:rFonts w:ascii="Times New Roman" w:eastAsia="仿宋_GB2312" w:hAnsi="Times New Roman" w:cs="Times New Roman"/>
          <w:b/>
          <w:bCs/>
          <w:sz w:val="24"/>
        </w:rPr>
        <w:t>三零</w:t>
      </w:r>
      <w:r>
        <w:rPr>
          <w:rFonts w:ascii="Times New Roman" w:eastAsia="仿宋_GB2312" w:hAnsi="Times New Roman" w:cs="Times New Roman"/>
          <w:b/>
          <w:bCs/>
          <w:sz w:val="24"/>
        </w:rPr>
        <w:t>”</w:t>
      </w:r>
      <w:r>
        <w:rPr>
          <w:rFonts w:ascii="Times New Roman" w:eastAsia="仿宋_GB2312" w:hAnsi="Times New Roman" w:cs="Times New Roman"/>
          <w:b/>
          <w:bCs/>
          <w:sz w:val="24"/>
        </w:rPr>
        <w:t>：</w:t>
      </w:r>
      <w:r>
        <w:rPr>
          <w:rFonts w:ascii="Times New Roman" w:eastAsia="仿宋_GB2312" w:hAnsi="Times New Roman" w:cs="Times New Roman"/>
          <w:sz w:val="24"/>
        </w:rPr>
        <w:t>零上门是指实行线上用电报装服务，客户可以在线提出用电需求，签订电子合同，供电企业委派专人上门服务，客户无需往返营业厅，用电报装</w:t>
      </w:r>
      <w:r>
        <w:rPr>
          <w:rFonts w:ascii="Times New Roman" w:eastAsia="仿宋_GB2312" w:hAnsi="Times New Roman" w:cs="Times New Roman"/>
          <w:sz w:val="24"/>
        </w:rPr>
        <w:t>“</w:t>
      </w:r>
      <w:r>
        <w:rPr>
          <w:rFonts w:ascii="Times New Roman" w:eastAsia="仿宋_GB2312" w:hAnsi="Times New Roman" w:cs="Times New Roman"/>
          <w:sz w:val="24"/>
        </w:rPr>
        <w:t>一次都不跑</w:t>
      </w:r>
      <w:r>
        <w:rPr>
          <w:rFonts w:ascii="Times New Roman" w:eastAsia="仿宋_GB2312" w:hAnsi="Times New Roman" w:cs="Times New Roman"/>
          <w:sz w:val="24"/>
        </w:rPr>
        <w:t>”</w:t>
      </w:r>
      <w:r>
        <w:rPr>
          <w:rFonts w:ascii="Times New Roman" w:eastAsia="仿宋_GB2312" w:hAnsi="Times New Roman" w:cs="Times New Roman"/>
          <w:sz w:val="24"/>
        </w:rPr>
        <w:t>。零审批是指供电企业精简办电资料，一次性收取所有材料，代替客户办理电力接入外线工程审批手续，地方政府有关部门优化审批服务，实现一窗受理、并行操作、限时办结。零投资是指供电企业将投资界面延伸至客户红线，计量装置及以上工程由供电企业投资建设。</w:t>
      </w:r>
    </w:p>
  </w:footnote>
  <w:footnote w:id="5">
    <w:p w14:paraId="382478D6" w14:textId="77777777" w:rsidR="00C97237" w:rsidRDefault="00000000">
      <w:pPr>
        <w:snapToGrid w:val="0"/>
        <w:jc w:val="left"/>
        <w:rPr>
          <w:rFonts w:ascii="宋体" w:eastAsia="仿宋_GB2312" w:hAnsi="宋体" w:cs="宋体"/>
          <w:sz w:val="24"/>
        </w:rPr>
      </w:pPr>
      <w:r>
        <w:rPr>
          <w:rFonts w:ascii="Times New Roman" w:eastAsia="仿宋_GB2312" w:hAnsi="Times New Roman" w:cs="Times New Roman"/>
          <w:b/>
          <w:bCs/>
          <w:sz w:val="24"/>
        </w:rPr>
        <w:footnoteRef/>
      </w:r>
      <w:r>
        <w:rPr>
          <w:rFonts w:ascii="Times New Roman" w:eastAsia="仿宋_GB2312" w:hAnsi="Times New Roman" w:cs="Times New Roman"/>
          <w:b/>
          <w:bCs/>
          <w:sz w:val="24"/>
        </w:rPr>
        <w:t xml:space="preserve"> “</w:t>
      </w:r>
      <w:r>
        <w:rPr>
          <w:rFonts w:ascii="Times New Roman" w:eastAsia="仿宋_GB2312" w:hAnsi="Times New Roman" w:cs="Times New Roman"/>
          <w:b/>
          <w:bCs/>
          <w:sz w:val="24"/>
        </w:rPr>
        <w:t>三省</w:t>
      </w:r>
      <w:r>
        <w:rPr>
          <w:rFonts w:ascii="Times New Roman" w:eastAsia="仿宋_GB2312" w:hAnsi="Times New Roman" w:cs="Times New Roman"/>
          <w:b/>
          <w:bCs/>
          <w:sz w:val="24"/>
        </w:rPr>
        <w:t>”</w:t>
      </w:r>
      <w:r>
        <w:rPr>
          <w:rFonts w:ascii="Times New Roman" w:eastAsia="仿宋_GB2312" w:hAnsi="Times New Roman" w:cs="Times New Roman"/>
          <w:b/>
          <w:bCs/>
          <w:sz w:val="24"/>
        </w:rPr>
        <w:t>：</w:t>
      </w:r>
      <w:r>
        <w:rPr>
          <w:rFonts w:ascii="Times New Roman" w:eastAsia="仿宋_GB2312" w:hAnsi="Times New Roman" w:cs="Times New Roman"/>
          <w:sz w:val="24"/>
        </w:rPr>
        <w:t>省力是指推广</w:t>
      </w:r>
      <w:r>
        <w:rPr>
          <w:rFonts w:ascii="Times New Roman" w:eastAsia="仿宋_GB2312" w:hAnsi="Times New Roman" w:cs="Times New Roman"/>
          <w:sz w:val="24"/>
        </w:rPr>
        <w:t>“</w:t>
      </w:r>
      <w:r>
        <w:rPr>
          <w:rFonts w:ascii="Times New Roman" w:eastAsia="仿宋_GB2312" w:hAnsi="Times New Roman" w:cs="Times New Roman"/>
          <w:sz w:val="24"/>
        </w:rPr>
        <w:t>互联网</w:t>
      </w:r>
      <w:r>
        <w:rPr>
          <w:rFonts w:ascii="Times New Roman" w:eastAsia="仿宋_GB2312" w:hAnsi="Times New Roman" w:cs="Times New Roman"/>
          <w:sz w:val="24"/>
        </w:rPr>
        <w:t>+”</w:t>
      </w:r>
      <w:r>
        <w:rPr>
          <w:rFonts w:ascii="Times New Roman" w:eastAsia="仿宋_GB2312" w:hAnsi="Times New Roman" w:cs="Times New Roman"/>
          <w:sz w:val="24"/>
        </w:rPr>
        <w:t>线上办电服务，推动政企办电信息互联互通，供电企业直接获取客户办电所需证照信息，客户在线提交用电申请、查询业务办理进程、评价服务质量，实现</w:t>
      </w:r>
      <w:r>
        <w:rPr>
          <w:rFonts w:ascii="Times New Roman" w:eastAsia="仿宋_GB2312" w:hAnsi="Times New Roman" w:cs="Times New Roman"/>
          <w:sz w:val="24"/>
        </w:rPr>
        <w:t>“</w:t>
      </w:r>
      <w:r>
        <w:rPr>
          <w:rFonts w:ascii="Times New Roman" w:eastAsia="仿宋_GB2312" w:hAnsi="Times New Roman" w:cs="Times New Roman"/>
          <w:sz w:val="24"/>
        </w:rPr>
        <w:t>最多跑一次</w:t>
      </w:r>
      <w:r>
        <w:rPr>
          <w:rFonts w:ascii="Times New Roman" w:eastAsia="仿宋_GB2312" w:hAnsi="Times New Roman" w:cs="Times New Roman"/>
          <w:sz w:val="24"/>
        </w:rPr>
        <w:t>”</w:t>
      </w:r>
      <w:r>
        <w:rPr>
          <w:rFonts w:ascii="Times New Roman" w:eastAsia="仿宋_GB2312" w:hAnsi="Times New Roman" w:cs="Times New Roman"/>
          <w:sz w:val="24"/>
        </w:rPr>
        <w:t>。省时是指地方政府有关部门简化接网工程审批程序、压减审批时限；供电企业实行业务办理限时制，加快办理速度，确保及时接电。省钱是指供电企业优化供电方案，实行就近就地接入电网，降低办电成本。</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5F357"/>
    <w:multiLevelType w:val="singleLevel"/>
    <w:tmpl w:val="AF95F357"/>
    <w:lvl w:ilvl="0">
      <w:start w:val="3"/>
      <w:numFmt w:val="chineseCounting"/>
      <w:suff w:val="nothing"/>
      <w:lvlText w:val="（%1）"/>
      <w:lvlJc w:val="left"/>
      <w:rPr>
        <w:rFonts w:hint="eastAsia"/>
      </w:rPr>
    </w:lvl>
  </w:abstractNum>
  <w:abstractNum w:abstractNumId="1" w15:restartNumberingAfterBreak="0">
    <w:nsid w:val="B4E78E6D"/>
    <w:multiLevelType w:val="singleLevel"/>
    <w:tmpl w:val="B4E78E6D"/>
    <w:lvl w:ilvl="0">
      <w:start w:val="1"/>
      <w:numFmt w:val="chineseCounting"/>
      <w:suff w:val="nothing"/>
      <w:lvlText w:val="%1、"/>
      <w:lvlJc w:val="left"/>
      <w:rPr>
        <w:rFonts w:hint="eastAsia"/>
      </w:rPr>
    </w:lvl>
  </w:abstractNum>
  <w:abstractNum w:abstractNumId="2" w15:restartNumberingAfterBreak="0">
    <w:nsid w:val="B94E3875"/>
    <w:multiLevelType w:val="singleLevel"/>
    <w:tmpl w:val="B94E3875"/>
    <w:lvl w:ilvl="0">
      <w:start w:val="7"/>
      <w:numFmt w:val="chineseCounting"/>
      <w:suff w:val="nothing"/>
      <w:lvlText w:val="（%1）"/>
      <w:lvlJc w:val="left"/>
      <w:rPr>
        <w:rFonts w:hint="eastAsia"/>
      </w:rPr>
    </w:lvl>
  </w:abstractNum>
  <w:abstractNum w:abstractNumId="3" w15:restartNumberingAfterBreak="0">
    <w:nsid w:val="CD2E984F"/>
    <w:multiLevelType w:val="singleLevel"/>
    <w:tmpl w:val="CD2E984F"/>
    <w:lvl w:ilvl="0">
      <w:start w:val="4"/>
      <w:numFmt w:val="chineseCounting"/>
      <w:suff w:val="nothing"/>
      <w:lvlText w:val="%1、"/>
      <w:lvlJc w:val="left"/>
      <w:rPr>
        <w:rFonts w:hint="eastAsia"/>
      </w:rPr>
    </w:lvl>
  </w:abstractNum>
  <w:abstractNum w:abstractNumId="4" w15:restartNumberingAfterBreak="0">
    <w:nsid w:val="D6637151"/>
    <w:multiLevelType w:val="singleLevel"/>
    <w:tmpl w:val="D6637151"/>
    <w:lvl w:ilvl="0">
      <w:start w:val="2"/>
      <w:numFmt w:val="chineseCounting"/>
      <w:suff w:val="nothing"/>
      <w:lvlText w:val="（%1）"/>
      <w:lvlJc w:val="left"/>
      <w:rPr>
        <w:rFonts w:ascii="楷体" w:eastAsia="楷体" w:hAnsi="楷体" w:cs="楷体" w:hint="eastAsia"/>
        <w:sz w:val="28"/>
        <w:szCs w:val="28"/>
      </w:rPr>
    </w:lvl>
  </w:abstractNum>
  <w:abstractNum w:abstractNumId="5" w15:restartNumberingAfterBreak="0">
    <w:nsid w:val="FF71AA71"/>
    <w:multiLevelType w:val="singleLevel"/>
    <w:tmpl w:val="FF71AA71"/>
    <w:lvl w:ilvl="0">
      <w:start w:val="1"/>
      <w:numFmt w:val="decimal"/>
      <w:suff w:val="nothing"/>
      <w:lvlText w:val="%1、"/>
      <w:lvlJc w:val="left"/>
    </w:lvl>
  </w:abstractNum>
  <w:abstractNum w:abstractNumId="6" w15:restartNumberingAfterBreak="0">
    <w:nsid w:val="0FB41B72"/>
    <w:multiLevelType w:val="singleLevel"/>
    <w:tmpl w:val="0FB41B72"/>
    <w:lvl w:ilvl="0">
      <w:start w:val="2"/>
      <w:numFmt w:val="chineseCounting"/>
      <w:suff w:val="nothing"/>
      <w:lvlText w:val="（%1）"/>
      <w:lvlJc w:val="left"/>
      <w:rPr>
        <w:rFonts w:hint="eastAsia"/>
      </w:rPr>
    </w:lvl>
  </w:abstractNum>
  <w:abstractNum w:abstractNumId="7" w15:restartNumberingAfterBreak="0">
    <w:nsid w:val="21823141"/>
    <w:multiLevelType w:val="singleLevel"/>
    <w:tmpl w:val="21823141"/>
    <w:lvl w:ilvl="0">
      <w:start w:val="1"/>
      <w:numFmt w:val="decimal"/>
      <w:suff w:val="space"/>
      <w:lvlText w:val="%1."/>
      <w:lvlJc w:val="left"/>
    </w:lvl>
  </w:abstractNum>
  <w:abstractNum w:abstractNumId="8" w15:restartNumberingAfterBreak="0">
    <w:nsid w:val="2B7722F7"/>
    <w:multiLevelType w:val="singleLevel"/>
    <w:tmpl w:val="2B7722F7"/>
    <w:lvl w:ilvl="0">
      <w:start w:val="2"/>
      <w:numFmt w:val="chineseCounting"/>
      <w:suff w:val="nothing"/>
      <w:lvlText w:val="（%1）"/>
      <w:lvlJc w:val="left"/>
      <w:pPr>
        <w:ind w:left="-26"/>
      </w:pPr>
      <w:rPr>
        <w:rFonts w:hint="eastAsia"/>
      </w:rPr>
    </w:lvl>
  </w:abstractNum>
  <w:abstractNum w:abstractNumId="9" w15:restartNumberingAfterBreak="0">
    <w:nsid w:val="4AEA0052"/>
    <w:multiLevelType w:val="singleLevel"/>
    <w:tmpl w:val="4AEA0052"/>
    <w:lvl w:ilvl="0">
      <w:start w:val="1"/>
      <w:numFmt w:val="chineseCounting"/>
      <w:suff w:val="nothing"/>
      <w:lvlText w:val="%1、"/>
      <w:lvlJc w:val="left"/>
      <w:rPr>
        <w:rFonts w:hint="eastAsia"/>
      </w:rPr>
    </w:lvl>
  </w:abstractNum>
  <w:abstractNum w:abstractNumId="10" w15:restartNumberingAfterBreak="0">
    <w:nsid w:val="50FC6235"/>
    <w:multiLevelType w:val="singleLevel"/>
    <w:tmpl w:val="50FC6235"/>
    <w:lvl w:ilvl="0">
      <w:start w:val="2"/>
      <w:numFmt w:val="chineseCounting"/>
      <w:suff w:val="nothing"/>
      <w:lvlText w:val="（%1）"/>
      <w:lvlJc w:val="left"/>
      <w:rPr>
        <w:rFonts w:hint="eastAsia"/>
      </w:rPr>
    </w:lvl>
  </w:abstractNum>
  <w:abstractNum w:abstractNumId="11" w15:restartNumberingAfterBreak="0">
    <w:nsid w:val="5A3195C7"/>
    <w:multiLevelType w:val="singleLevel"/>
    <w:tmpl w:val="5A3195C7"/>
    <w:lvl w:ilvl="0">
      <w:start w:val="11"/>
      <w:numFmt w:val="chineseCounting"/>
      <w:suff w:val="nothing"/>
      <w:lvlText w:val="（%1）"/>
      <w:lvlJc w:val="left"/>
      <w:rPr>
        <w:rFonts w:hint="eastAsia"/>
      </w:rPr>
    </w:lvl>
  </w:abstractNum>
  <w:abstractNum w:abstractNumId="12" w15:restartNumberingAfterBreak="0">
    <w:nsid w:val="67FE69C1"/>
    <w:multiLevelType w:val="singleLevel"/>
    <w:tmpl w:val="67FE69C1"/>
    <w:lvl w:ilvl="0">
      <w:start w:val="5"/>
      <w:numFmt w:val="chineseCounting"/>
      <w:lvlText w:val="(%1)"/>
      <w:lvlJc w:val="left"/>
      <w:pPr>
        <w:tabs>
          <w:tab w:val="left" w:pos="312"/>
        </w:tabs>
      </w:pPr>
      <w:rPr>
        <w:rFonts w:hint="eastAsia"/>
      </w:rPr>
    </w:lvl>
  </w:abstractNum>
  <w:abstractNum w:abstractNumId="13" w15:restartNumberingAfterBreak="0">
    <w:nsid w:val="7826184C"/>
    <w:multiLevelType w:val="singleLevel"/>
    <w:tmpl w:val="7826184C"/>
    <w:lvl w:ilvl="0">
      <w:start w:val="2"/>
      <w:numFmt w:val="chineseCounting"/>
      <w:suff w:val="nothing"/>
      <w:lvlText w:val="（%1）"/>
      <w:lvlJc w:val="left"/>
      <w:rPr>
        <w:rFonts w:hint="eastAsia"/>
      </w:rPr>
    </w:lvl>
  </w:abstractNum>
  <w:abstractNum w:abstractNumId="14" w15:restartNumberingAfterBreak="0">
    <w:nsid w:val="7D5B730A"/>
    <w:multiLevelType w:val="multilevel"/>
    <w:tmpl w:val="7D5B730A"/>
    <w:lvl w:ilvl="0">
      <w:start w:val="1"/>
      <w:numFmt w:val="japaneseCounting"/>
      <w:lvlText w:val="%1、"/>
      <w:lvlJc w:val="left"/>
      <w:pPr>
        <w:ind w:left="1363" w:hanging="720"/>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16cid:durableId="777480630">
    <w:abstractNumId w:val="13"/>
  </w:num>
  <w:num w:numId="2" w16cid:durableId="1018776796">
    <w:abstractNumId w:val="3"/>
  </w:num>
  <w:num w:numId="3" w16cid:durableId="936910186">
    <w:abstractNumId w:val="6"/>
  </w:num>
  <w:num w:numId="4" w16cid:durableId="1156072561">
    <w:abstractNumId w:val="1"/>
  </w:num>
  <w:num w:numId="5" w16cid:durableId="1367097142">
    <w:abstractNumId w:val="10"/>
  </w:num>
  <w:num w:numId="6" w16cid:durableId="888298689">
    <w:abstractNumId w:val="12"/>
  </w:num>
  <w:num w:numId="7" w16cid:durableId="251284505">
    <w:abstractNumId w:val="2"/>
  </w:num>
  <w:num w:numId="8" w16cid:durableId="1312713144">
    <w:abstractNumId w:val="14"/>
  </w:num>
  <w:num w:numId="9" w16cid:durableId="1083801031">
    <w:abstractNumId w:val="8"/>
  </w:num>
  <w:num w:numId="10" w16cid:durableId="976757581">
    <w:abstractNumId w:val="7"/>
  </w:num>
  <w:num w:numId="11" w16cid:durableId="2026900422">
    <w:abstractNumId w:val="11"/>
  </w:num>
  <w:num w:numId="12" w16cid:durableId="1216742834">
    <w:abstractNumId w:val="0"/>
  </w:num>
  <w:num w:numId="13" w16cid:durableId="1873496716">
    <w:abstractNumId w:val="9"/>
  </w:num>
  <w:num w:numId="14" w16cid:durableId="1497643941">
    <w:abstractNumId w:val="5"/>
  </w:num>
  <w:num w:numId="15" w16cid:durableId="1083376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M4NmY4YmYxOGYyMWRmNmViMjliNzU4ZjcxZTAxODcifQ=="/>
  </w:docVars>
  <w:rsids>
    <w:rsidRoot w:val="00172A27"/>
    <w:rsid w:val="00172A27"/>
    <w:rsid w:val="00415741"/>
    <w:rsid w:val="0064600B"/>
    <w:rsid w:val="008C62B0"/>
    <w:rsid w:val="00C97237"/>
    <w:rsid w:val="011032CF"/>
    <w:rsid w:val="0133056F"/>
    <w:rsid w:val="01817BD2"/>
    <w:rsid w:val="01AA3501"/>
    <w:rsid w:val="02191612"/>
    <w:rsid w:val="039C4C0B"/>
    <w:rsid w:val="052C5A26"/>
    <w:rsid w:val="05AD249B"/>
    <w:rsid w:val="05FB2DF4"/>
    <w:rsid w:val="06CD6E7E"/>
    <w:rsid w:val="07347105"/>
    <w:rsid w:val="07784AEE"/>
    <w:rsid w:val="078C6702"/>
    <w:rsid w:val="07DF20A3"/>
    <w:rsid w:val="08E644B9"/>
    <w:rsid w:val="09316473"/>
    <w:rsid w:val="0A8F52C9"/>
    <w:rsid w:val="0BCC40DF"/>
    <w:rsid w:val="0BD07FF2"/>
    <w:rsid w:val="0BEC6682"/>
    <w:rsid w:val="0C0F70A7"/>
    <w:rsid w:val="0C5B58D3"/>
    <w:rsid w:val="0D1A7790"/>
    <w:rsid w:val="0D4E4915"/>
    <w:rsid w:val="0E993CF9"/>
    <w:rsid w:val="0FFF1491"/>
    <w:rsid w:val="10063570"/>
    <w:rsid w:val="10312AC2"/>
    <w:rsid w:val="11504743"/>
    <w:rsid w:val="11C34397"/>
    <w:rsid w:val="120A3ECD"/>
    <w:rsid w:val="128551C9"/>
    <w:rsid w:val="12A44D45"/>
    <w:rsid w:val="12B11C39"/>
    <w:rsid w:val="13093802"/>
    <w:rsid w:val="13456E7F"/>
    <w:rsid w:val="13BE21C5"/>
    <w:rsid w:val="14F83691"/>
    <w:rsid w:val="15004EB9"/>
    <w:rsid w:val="165505B1"/>
    <w:rsid w:val="17072DCC"/>
    <w:rsid w:val="178B1F7B"/>
    <w:rsid w:val="17B26CC8"/>
    <w:rsid w:val="17C44B7C"/>
    <w:rsid w:val="18A63868"/>
    <w:rsid w:val="19452314"/>
    <w:rsid w:val="197C1BB3"/>
    <w:rsid w:val="19CB1E08"/>
    <w:rsid w:val="19D21305"/>
    <w:rsid w:val="19E4218B"/>
    <w:rsid w:val="1A966110"/>
    <w:rsid w:val="1AA21E3E"/>
    <w:rsid w:val="1ABE6A54"/>
    <w:rsid w:val="1B8D1BCA"/>
    <w:rsid w:val="1C41275A"/>
    <w:rsid w:val="1C4B2D6B"/>
    <w:rsid w:val="1C6B3E7F"/>
    <w:rsid w:val="1CED201F"/>
    <w:rsid w:val="1D3232C2"/>
    <w:rsid w:val="1DEE4EDF"/>
    <w:rsid w:val="1E675335"/>
    <w:rsid w:val="1F683310"/>
    <w:rsid w:val="214A3AB7"/>
    <w:rsid w:val="21647319"/>
    <w:rsid w:val="21942EFD"/>
    <w:rsid w:val="21C01836"/>
    <w:rsid w:val="224F2F23"/>
    <w:rsid w:val="22AF555E"/>
    <w:rsid w:val="22E9414E"/>
    <w:rsid w:val="239E541F"/>
    <w:rsid w:val="23AE17C7"/>
    <w:rsid w:val="24D0052A"/>
    <w:rsid w:val="255F5DC9"/>
    <w:rsid w:val="25A45EDF"/>
    <w:rsid w:val="26244800"/>
    <w:rsid w:val="26607E0B"/>
    <w:rsid w:val="27456173"/>
    <w:rsid w:val="291D7202"/>
    <w:rsid w:val="29356109"/>
    <w:rsid w:val="2AAE1BDE"/>
    <w:rsid w:val="2ADE2E59"/>
    <w:rsid w:val="2B27704D"/>
    <w:rsid w:val="2B826AD2"/>
    <w:rsid w:val="2BDD7E0D"/>
    <w:rsid w:val="2CA65DA8"/>
    <w:rsid w:val="2D461584"/>
    <w:rsid w:val="2E6F3E87"/>
    <w:rsid w:val="2EA43C65"/>
    <w:rsid w:val="2EF518CC"/>
    <w:rsid w:val="2F8B1805"/>
    <w:rsid w:val="2FCA1634"/>
    <w:rsid w:val="30620123"/>
    <w:rsid w:val="30905E56"/>
    <w:rsid w:val="31E618CD"/>
    <w:rsid w:val="320076C4"/>
    <w:rsid w:val="32F3769E"/>
    <w:rsid w:val="33433854"/>
    <w:rsid w:val="34B0073B"/>
    <w:rsid w:val="350B337D"/>
    <w:rsid w:val="350C5B55"/>
    <w:rsid w:val="358A36F4"/>
    <w:rsid w:val="35AD4AE2"/>
    <w:rsid w:val="36D72DDE"/>
    <w:rsid w:val="370B2BFA"/>
    <w:rsid w:val="370E649F"/>
    <w:rsid w:val="374521F3"/>
    <w:rsid w:val="37BD1CC2"/>
    <w:rsid w:val="37E103E0"/>
    <w:rsid w:val="384335AE"/>
    <w:rsid w:val="38BD21C3"/>
    <w:rsid w:val="39120D2A"/>
    <w:rsid w:val="39885BA1"/>
    <w:rsid w:val="39947E64"/>
    <w:rsid w:val="3A7E51F4"/>
    <w:rsid w:val="3AA53587"/>
    <w:rsid w:val="3AD64861"/>
    <w:rsid w:val="3BFB3D4E"/>
    <w:rsid w:val="3C166321"/>
    <w:rsid w:val="3C2F7FA0"/>
    <w:rsid w:val="3C5B11E0"/>
    <w:rsid w:val="3D3B13A2"/>
    <w:rsid w:val="3DCB7B0E"/>
    <w:rsid w:val="3E3F5395"/>
    <w:rsid w:val="3E9B17F3"/>
    <w:rsid w:val="3EB73112"/>
    <w:rsid w:val="400972E3"/>
    <w:rsid w:val="423B260A"/>
    <w:rsid w:val="423D2D1A"/>
    <w:rsid w:val="42522604"/>
    <w:rsid w:val="425807F5"/>
    <w:rsid w:val="42BD68A0"/>
    <w:rsid w:val="43B7018A"/>
    <w:rsid w:val="43E0431A"/>
    <w:rsid w:val="449827A0"/>
    <w:rsid w:val="44CD6E9E"/>
    <w:rsid w:val="44E720DD"/>
    <w:rsid w:val="44F905EC"/>
    <w:rsid w:val="4524663A"/>
    <w:rsid w:val="461F5992"/>
    <w:rsid w:val="463904B5"/>
    <w:rsid w:val="468414E7"/>
    <w:rsid w:val="469151CD"/>
    <w:rsid w:val="46EC7C97"/>
    <w:rsid w:val="47C75BE9"/>
    <w:rsid w:val="48277868"/>
    <w:rsid w:val="48481843"/>
    <w:rsid w:val="48B72926"/>
    <w:rsid w:val="48DB1A89"/>
    <w:rsid w:val="48E249E8"/>
    <w:rsid w:val="49D0395E"/>
    <w:rsid w:val="4A3551E4"/>
    <w:rsid w:val="4A3D501D"/>
    <w:rsid w:val="4A795C1A"/>
    <w:rsid w:val="4B4B1CD1"/>
    <w:rsid w:val="4BEC55BD"/>
    <w:rsid w:val="4C0A26D1"/>
    <w:rsid w:val="4C4F162E"/>
    <w:rsid w:val="4CB64553"/>
    <w:rsid w:val="4E2B5591"/>
    <w:rsid w:val="4E341C76"/>
    <w:rsid w:val="4E4356D5"/>
    <w:rsid w:val="4EB57365"/>
    <w:rsid w:val="4EBD4C3E"/>
    <w:rsid w:val="4F200A28"/>
    <w:rsid w:val="4F2A47BD"/>
    <w:rsid w:val="4F3B4EF7"/>
    <w:rsid w:val="4F5871E8"/>
    <w:rsid w:val="4F9915DB"/>
    <w:rsid w:val="50A27D7D"/>
    <w:rsid w:val="50B76D64"/>
    <w:rsid w:val="50E55BA4"/>
    <w:rsid w:val="513B3A05"/>
    <w:rsid w:val="514D6F51"/>
    <w:rsid w:val="515B2876"/>
    <w:rsid w:val="52050EB6"/>
    <w:rsid w:val="520D0220"/>
    <w:rsid w:val="528221E1"/>
    <w:rsid w:val="52C549C1"/>
    <w:rsid w:val="534D30EE"/>
    <w:rsid w:val="53884224"/>
    <w:rsid w:val="54C20DA9"/>
    <w:rsid w:val="55253581"/>
    <w:rsid w:val="55B10C65"/>
    <w:rsid w:val="56706631"/>
    <w:rsid w:val="568420A7"/>
    <w:rsid w:val="56D55895"/>
    <w:rsid w:val="57391633"/>
    <w:rsid w:val="578C3DCB"/>
    <w:rsid w:val="57D835B4"/>
    <w:rsid w:val="586378F4"/>
    <w:rsid w:val="586C2A93"/>
    <w:rsid w:val="58EF7857"/>
    <w:rsid w:val="59175621"/>
    <w:rsid w:val="59ED0E87"/>
    <w:rsid w:val="5A634C11"/>
    <w:rsid w:val="5AC60B64"/>
    <w:rsid w:val="5AF136D4"/>
    <w:rsid w:val="5B416A3A"/>
    <w:rsid w:val="5B441679"/>
    <w:rsid w:val="5B924C41"/>
    <w:rsid w:val="5B9A7BA8"/>
    <w:rsid w:val="5BBA178B"/>
    <w:rsid w:val="5BF32DC9"/>
    <w:rsid w:val="5BF67E63"/>
    <w:rsid w:val="5C765445"/>
    <w:rsid w:val="5D140952"/>
    <w:rsid w:val="5E9602F1"/>
    <w:rsid w:val="5F016559"/>
    <w:rsid w:val="5F3117E6"/>
    <w:rsid w:val="5F4B2D4D"/>
    <w:rsid w:val="5F974683"/>
    <w:rsid w:val="60212422"/>
    <w:rsid w:val="602966B3"/>
    <w:rsid w:val="6057032B"/>
    <w:rsid w:val="60B30283"/>
    <w:rsid w:val="60BE7222"/>
    <w:rsid w:val="60CB4D45"/>
    <w:rsid w:val="62B54F60"/>
    <w:rsid w:val="631937AB"/>
    <w:rsid w:val="6408302B"/>
    <w:rsid w:val="64665D52"/>
    <w:rsid w:val="65444892"/>
    <w:rsid w:val="65844E26"/>
    <w:rsid w:val="659A2854"/>
    <w:rsid w:val="65B0031E"/>
    <w:rsid w:val="65DE0B27"/>
    <w:rsid w:val="665F2361"/>
    <w:rsid w:val="66FD6B4E"/>
    <w:rsid w:val="6709665B"/>
    <w:rsid w:val="67BC03E8"/>
    <w:rsid w:val="69004E16"/>
    <w:rsid w:val="6A0C0B73"/>
    <w:rsid w:val="6A1C4155"/>
    <w:rsid w:val="6A80242C"/>
    <w:rsid w:val="6B2E6669"/>
    <w:rsid w:val="6B977C84"/>
    <w:rsid w:val="6BE45C45"/>
    <w:rsid w:val="6C7F223C"/>
    <w:rsid w:val="6CB01C53"/>
    <w:rsid w:val="6CD3454A"/>
    <w:rsid w:val="6CF72010"/>
    <w:rsid w:val="6D1D0151"/>
    <w:rsid w:val="6DC0069D"/>
    <w:rsid w:val="6DC15E40"/>
    <w:rsid w:val="6E205FBE"/>
    <w:rsid w:val="6ECE0830"/>
    <w:rsid w:val="6F574FE3"/>
    <w:rsid w:val="6F950A83"/>
    <w:rsid w:val="6FBC5DCC"/>
    <w:rsid w:val="6FCF5C43"/>
    <w:rsid w:val="6FD9416C"/>
    <w:rsid w:val="70B65630"/>
    <w:rsid w:val="70DA4D71"/>
    <w:rsid w:val="71B63DE8"/>
    <w:rsid w:val="71D0561F"/>
    <w:rsid w:val="72523604"/>
    <w:rsid w:val="7278360D"/>
    <w:rsid w:val="72A47834"/>
    <w:rsid w:val="7301785D"/>
    <w:rsid w:val="736373F7"/>
    <w:rsid w:val="736C169C"/>
    <w:rsid w:val="739E4375"/>
    <w:rsid w:val="73AB5D7F"/>
    <w:rsid w:val="73CC71F8"/>
    <w:rsid w:val="74B91E7C"/>
    <w:rsid w:val="74D802BB"/>
    <w:rsid w:val="76560DD5"/>
    <w:rsid w:val="76BB5607"/>
    <w:rsid w:val="77391C45"/>
    <w:rsid w:val="774D53E4"/>
    <w:rsid w:val="775C7241"/>
    <w:rsid w:val="77B56C77"/>
    <w:rsid w:val="78207030"/>
    <w:rsid w:val="783B134A"/>
    <w:rsid w:val="785968C7"/>
    <w:rsid w:val="78866988"/>
    <w:rsid w:val="78B20E90"/>
    <w:rsid w:val="78D7236D"/>
    <w:rsid w:val="78EA1445"/>
    <w:rsid w:val="798F6279"/>
    <w:rsid w:val="7A323D0C"/>
    <w:rsid w:val="7A672580"/>
    <w:rsid w:val="7A771FD4"/>
    <w:rsid w:val="7AAB6032"/>
    <w:rsid w:val="7ADB4DB3"/>
    <w:rsid w:val="7BFA2D2E"/>
    <w:rsid w:val="7C8A58D6"/>
    <w:rsid w:val="7CCE2D72"/>
    <w:rsid w:val="7CE87343"/>
    <w:rsid w:val="7DE934FF"/>
    <w:rsid w:val="7DF45FE6"/>
    <w:rsid w:val="7DF7493E"/>
    <w:rsid w:val="7E4F6C02"/>
    <w:rsid w:val="7F4E3974"/>
    <w:rsid w:val="7F691071"/>
    <w:rsid w:val="7F98704B"/>
    <w:rsid w:val="7FBC5070"/>
    <w:rsid w:val="7FC528AD"/>
    <w:rsid w:val="7FDB6AB2"/>
    <w:rsid w:val="7FF2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8237E1"/>
  <w15:docId w15:val="{817ACF96-26EA-406A-9515-7046FE81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Body Text Indent" w:uiPriority="99" w:unhideWhenUsed="1" w:qFormat="1"/>
    <w:lsdException w:name="Subtitle" w:uiPriority="11" w:qFormat="1"/>
    <w:lsdException w:name="Salutation" w:uiPriority="99" w:unhideWhenUsed="1"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40" w:after="40"/>
    </w:pPr>
    <w:rPr>
      <w:rFonts w:ascii="Calibri" w:eastAsia="仿宋" w:hAnsi="Calibri" w:cs="Calibri"/>
      <w:bCs/>
      <w:sz w:val="32"/>
    </w:rPr>
  </w:style>
  <w:style w:type="paragraph" w:styleId="a4">
    <w:name w:val="Normal Indent"/>
    <w:qFormat/>
    <w:pPr>
      <w:widowControl w:val="0"/>
      <w:ind w:firstLineChars="200" w:firstLine="420"/>
      <w:jc w:val="both"/>
    </w:pPr>
    <w:rPr>
      <w:rFonts w:eastAsia="仿宋_GB2312"/>
      <w:kern w:val="2"/>
      <w:sz w:val="31"/>
      <w:szCs w:val="32"/>
    </w:rPr>
  </w:style>
  <w:style w:type="paragraph" w:styleId="a5">
    <w:name w:val="Salutation"/>
    <w:basedOn w:val="a"/>
    <w:next w:val="a"/>
    <w:uiPriority w:val="99"/>
    <w:unhideWhenUsed/>
    <w:qFormat/>
    <w:rPr>
      <w:rFonts w:ascii="Times New Roman" w:eastAsia="仿宋_GB2312" w:hAnsi="Times New Roman" w:cs="Times New Roman"/>
      <w:sz w:val="32"/>
    </w:rPr>
  </w:style>
  <w:style w:type="paragraph" w:styleId="a6">
    <w:name w:val="Body Text Indent"/>
    <w:basedOn w:val="a"/>
    <w:uiPriority w:val="99"/>
    <w:unhideWhenUsed/>
    <w:qFormat/>
    <w:pPr>
      <w:spacing w:after="120"/>
      <w:ind w:leftChars="200" w:left="420"/>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uiPriority w:val="11"/>
    <w:qFormat/>
    <w:pPr>
      <w:wordWrap w:val="0"/>
      <w:spacing w:after="60"/>
      <w:jc w:val="center"/>
    </w:pPr>
    <w:rPr>
      <w:rFonts w:ascii="Times New Roman" w:eastAsia="宋体" w:hAnsi="Times New Roman" w:cs="Times New Roman"/>
      <w:sz w:val="24"/>
      <w:szCs w:val="22"/>
    </w:rPr>
  </w:style>
  <w:style w:type="paragraph" w:styleId="aa">
    <w:name w:val="footnote text"/>
    <w:basedOn w:val="a"/>
    <w:qFormat/>
    <w:pPr>
      <w:snapToGrid w:val="0"/>
      <w:jc w:val="left"/>
    </w:pPr>
  </w:style>
  <w:style w:type="paragraph" w:styleId="ab">
    <w:name w:val="Normal (Web)"/>
    <w:basedOn w:val="a"/>
    <w:uiPriority w:val="99"/>
    <w:unhideWhenUsed/>
    <w:qFormat/>
    <w:pPr>
      <w:spacing w:before="100" w:beforeAutospacing="1" w:after="100" w:afterAutospacing="1"/>
    </w:pPr>
    <w:rPr>
      <w:rFonts w:ascii="宋体" w:eastAsia="宋体" w:hAnsi="宋体" w:cs="宋体"/>
      <w:sz w:val="24"/>
    </w:rPr>
  </w:style>
  <w:style w:type="paragraph" w:styleId="20">
    <w:name w:val="Body Text First Indent 2"/>
    <w:basedOn w:val="a6"/>
    <w:next w:val="a"/>
    <w:uiPriority w:val="99"/>
    <w:qFormat/>
    <w:pPr>
      <w:tabs>
        <w:tab w:val="left" w:pos="945"/>
        <w:tab w:val="left" w:pos="1155"/>
      </w:tabs>
      <w:spacing w:after="0" w:line="360" w:lineRule="auto"/>
      <w:ind w:leftChars="0" w:left="0" w:firstLineChars="200" w:firstLine="420"/>
    </w:pPr>
    <w:rPr>
      <w:rFonts w:ascii="仿宋_GB2312" w:eastAsia="楷体_GB2312" w:cs="黑体"/>
      <w:b/>
      <w:kern w:val="44"/>
      <w:sz w:val="44"/>
      <w:szCs w:val="20"/>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qFormat/>
    <w:rPr>
      <w:vertAlign w:val="superscript"/>
    </w:rPr>
  </w:style>
  <w:style w:type="paragraph" w:customStyle="1" w:styleId="Default">
    <w:name w:val="Default"/>
    <w:next w:val="a9"/>
    <w:uiPriority w:val="99"/>
    <w:qFormat/>
    <w:pPr>
      <w:widowControl w:val="0"/>
      <w:autoSpaceDE w:val="0"/>
      <w:autoSpaceDN w:val="0"/>
      <w:adjustRightInd w:val="0"/>
    </w:pPr>
    <w:rPr>
      <w:rFonts w:ascii="仿宋_GB2312" w:eastAsia="仿宋_GB2312" w:hAnsi="Calibri"/>
      <w:color w:val="000000"/>
      <w:sz w:val="24"/>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Bodytext2">
    <w:name w:val="Body text|2"/>
    <w:basedOn w:val="a"/>
    <w:qFormat/>
    <w:pPr>
      <w:spacing w:line="415" w:lineRule="exact"/>
      <w:ind w:firstLine="460"/>
    </w:pPr>
    <w:rPr>
      <w:rFonts w:ascii="仿宋" w:eastAsia="仿宋" w:hAnsi="仿宋" w:cs="仿宋"/>
      <w:sz w:val="20"/>
      <w:szCs w:val="20"/>
      <w:lang w:val="zh-CN" w:bidi="zh-CN"/>
    </w:rPr>
  </w:style>
  <w:style w:type="paragraph" w:customStyle="1" w:styleId="Other1">
    <w:name w:val="Other|1"/>
    <w:basedOn w:val="a"/>
    <w:qFormat/>
    <w:pPr>
      <w:spacing w:line="444" w:lineRule="auto"/>
      <w:ind w:firstLine="400"/>
    </w:pPr>
    <w:rPr>
      <w:rFonts w:ascii="宋体" w:eastAsia="宋体" w:hAnsi="宋体" w:cs="宋体"/>
      <w:sz w:val="18"/>
      <w:szCs w:val="18"/>
      <w:lang w:val="zh-CN" w:bidi="zh-CN"/>
    </w:rPr>
  </w:style>
  <w:style w:type="paragraph" w:customStyle="1" w:styleId="Headerorfooter1">
    <w:name w:val="Header or footer|1"/>
    <w:basedOn w:val="a"/>
    <w:qFormat/>
    <w:rPr>
      <w:sz w:val="18"/>
      <w:szCs w:val="18"/>
    </w:rPr>
  </w:style>
  <w:style w:type="paragraph" w:customStyle="1" w:styleId="TableParagraph">
    <w:name w:val="Table Paragraph"/>
    <w:basedOn w:val="a"/>
    <w:qFormat/>
  </w:style>
  <w:style w:type="paragraph" w:styleId="ae">
    <w:name w:val="No Spacing"/>
    <w:uiPriority w:val="1"/>
    <w:qFormat/>
    <w:pPr>
      <w:widowControl w:val="0"/>
      <w:jc w:val="both"/>
    </w:pPr>
    <w:rPr>
      <w:rFonts w:ascii="Calibri" w:hAnsi="Calibri"/>
      <w:kern w:val="2"/>
      <w:sz w:val="21"/>
      <w:szCs w:val="22"/>
    </w:rPr>
  </w:style>
  <w:style w:type="paragraph" w:customStyle="1" w:styleId="NormalIndent1">
    <w:name w:val="Normal Indent1"/>
    <w:basedOn w:val="a"/>
    <w:qFormat/>
    <w:pPr>
      <w:spacing w:line="660" w:lineRule="exact"/>
      <w:ind w:firstLineChars="200" w:firstLine="720"/>
    </w:pPr>
    <w:rPr>
      <w:rFonts w:ascii="Calibri" w:eastAsia="楷体_GB2312" w:hAnsi="Calibri" w:cs="黑体"/>
      <w:sz w:val="36"/>
      <w:szCs w:val="36"/>
    </w:rPr>
  </w:style>
  <w:style w:type="paragraph" w:styleId="af">
    <w:name w:val="List Paragraph"/>
    <w:basedOn w:val="a"/>
    <w:uiPriority w:val="34"/>
    <w:qFormat/>
    <w:pPr>
      <w:ind w:firstLineChars="200" w:firstLine="420"/>
    </w:pPr>
  </w:style>
  <w:style w:type="paragraph" w:customStyle="1" w:styleId="BodyText1">
    <w:name w:val="Body Text1"/>
    <w:next w:val="Default"/>
    <w:qFormat/>
    <w:pPr>
      <w:widowControl w:val="0"/>
      <w:ind w:left="108"/>
    </w:pPr>
    <w:rPr>
      <w:rFonts w:ascii="仿宋_GB2312" w:eastAsia="仿宋_GB2312" w:hAnsi="仿宋_GB231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258</Pages>
  <Words>18270</Words>
  <Characters>104144</Characters>
  <Application>Microsoft Office Word</Application>
  <DocSecurity>0</DocSecurity>
  <Lines>867</Lines>
  <Paragraphs>244</Paragraphs>
  <ScaleCrop>false</ScaleCrop>
  <Company/>
  <LinksUpToDate>false</LinksUpToDate>
  <CharactersWithSpaces>122170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疾风知草劲</dc:creator>
  <cp:lastModifiedBy>Administrator</cp:lastModifiedBy>
  <cp:revision>2</cp:revision>
  <dcterms:created xsi:type="dcterms:W3CDTF">2022-06-06T02:10:00Z</dcterms:created>
  <dcterms:modified xsi:type="dcterms:W3CDTF">2023-01-04T02:43:00Z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926A07538456415F9B564E7B499A43D8</vt:lpwstr>
  </property>
</Properties>
</file>