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before="313" w:beforeLines="100" w:line="640" w:lineRule="exact"/>
        <w:jc w:val="center"/>
        <w:textAlignment w:val="auto"/>
        <w:rPr>
          <w:rFonts w:hint="eastAsia" w:ascii="仿宋" w:hAnsi="仿宋" w:eastAsia="仿宋" w:cs="仿宋"/>
          <w:b/>
          <w:color w:val="auto"/>
          <w:spacing w:val="-6"/>
          <w:sz w:val="32"/>
          <w:szCs w:val="32"/>
          <w:highlight w:val="none"/>
        </w:rPr>
      </w:pPr>
      <w:r>
        <w:rPr>
          <w:rFonts w:hint="eastAsia" w:ascii="仿宋" w:hAnsi="仿宋" w:eastAsia="仿宋" w:cs="仿宋"/>
          <w:b/>
          <w:color w:val="auto"/>
          <w:spacing w:val="-6"/>
          <w:sz w:val="44"/>
          <w:szCs w:val="44"/>
          <w:highlight w:val="none"/>
          <w:lang w:eastAsia="zh-CN"/>
        </w:rPr>
        <w:t>偃师区2021年城市公共区域窨井设施治理提升工程</w:t>
      </w:r>
      <w:r>
        <w:rPr>
          <w:rFonts w:hint="eastAsia" w:ascii="仿宋" w:hAnsi="仿宋" w:eastAsia="仿宋" w:cs="仿宋"/>
          <w:b/>
          <w:color w:val="auto"/>
          <w:spacing w:val="-6"/>
          <w:sz w:val="44"/>
          <w:szCs w:val="44"/>
          <w:highlight w:val="none"/>
        </w:rPr>
        <w:t>绩效评价报告</w:t>
      </w:r>
    </w:p>
    <w:p>
      <w:pPr>
        <w:keepNext w:val="0"/>
        <w:keepLines w:val="0"/>
        <w:pageBreakBefore w:val="0"/>
        <w:widowControl w:val="0"/>
        <w:kinsoku/>
        <w:wordWrap/>
        <w:overflowPunct/>
        <w:topLinePunct w:val="0"/>
        <w:autoSpaceDE/>
        <w:autoSpaceDN/>
        <w:bidi w:val="0"/>
        <w:adjustRightInd/>
        <w:snapToGrid w:val="0"/>
        <w:spacing w:before="313" w:beforeLines="100" w:line="560" w:lineRule="exact"/>
        <w:jc w:val="righ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1"/>
          <w:highlight w:val="none"/>
        </w:rPr>
        <w:t>豫燎旺</w:t>
      </w:r>
      <w:r>
        <w:rPr>
          <w:rFonts w:hint="eastAsia" w:ascii="仿宋" w:hAnsi="仿宋" w:eastAsia="仿宋" w:cs="仿宋"/>
          <w:color w:val="auto"/>
          <w:sz w:val="28"/>
          <w:szCs w:val="21"/>
          <w:highlight w:val="none"/>
          <w:lang w:val="en-US" w:eastAsia="zh-CN"/>
        </w:rPr>
        <w:t>绩效评</w:t>
      </w:r>
      <w:r>
        <w:rPr>
          <w:rFonts w:hint="eastAsia" w:ascii="仿宋" w:hAnsi="仿宋" w:eastAsia="仿宋" w:cs="仿宋"/>
          <w:color w:val="auto"/>
          <w:sz w:val="28"/>
          <w:szCs w:val="21"/>
          <w:highlight w:val="none"/>
        </w:rPr>
        <w:t>字</w:t>
      </w:r>
      <w:r>
        <w:rPr>
          <w:rFonts w:hint="eastAsia" w:ascii="仿宋" w:hAnsi="仿宋" w:eastAsia="仿宋" w:cs="仿宋"/>
          <w:color w:val="auto"/>
          <w:sz w:val="28"/>
          <w:szCs w:val="21"/>
          <w:highlight w:val="none"/>
          <w:lang w:eastAsia="zh-CN"/>
        </w:rPr>
        <w:t>【</w:t>
      </w:r>
      <w:r>
        <w:rPr>
          <w:rFonts w:hint="eastAsia" w:ascii="仿宋" w:hAnsi="仿宋" w:eastAsia="仿宋" w:cs="仿宋"/>
          <w:color w:val="auto"/>
          <w:sz w:val="28"/>
          <w:szCs w:val="21"/>
          <w:highlight w:val="none"/>
          <w:lang w:val="en-US" w:eastAsia="zh-CN"/>
        </w:rPr>
        <w:t>2022</w:t>
      </w:r>
      <w:r>
        <w:rPr>
          <w:rFonts w:hint="eastAsia" w:ascii="仿宋" w:hAnsi="仿宋" w:eastAsia="仿宋" w:cs="仿宋"/>
          <w:color w:val="auto"/>
          <w:sz w:val="28"/>
          <w:szCs w:val="21"/>
          <w:highlight w:val="none"/>
          <w:lang w:eastAsia="zh-CN"/>
        </w:rPr>
        <w:t>】</w:t>
      </w:r>
      <w:r>
        <w:rPr>
          <w:rFonts w:hint="eastAsia" w:ascii="仿宋" w:hAnsi="仿宋" w:eastAsia="仿宋" w:cs="仿宋"/>
          <w:color w:val="auto"/>
          <w:sz w:val="28"/>
          <w:szCs w:val="21"/>
          <w:highlight w:val="none"/>
        </w:rPr>
        <w:t>第</w:t>
      </w:r>
      <w:r>
        <w:rPr>
          <w:rFonts w:hint="eastAsia" w:ascii="仿宋" w:hAnsi="仿宋" w:eastAsia="仿宋" w:cs="仿宋"/>
          <w:color w:val="auto"/>
          <w:sz w:val="28"/>
          <w:szCs w:val="21"/>
          <w:highlight w:val="none"/>
          <w:lang w:val="en-US" w:eastAsia="zh-CN"/>
        </w:rPr>
        <w:t>12-008</w:t>
      </w:r>
      <w:r>
        <w:rPr>
          <w:rFonts w:hint="eastAsia" w:ascii="仿宋" w:hAnsi="仿宋" w:eastAsia="仿宋" w:cs="仿宋"/>
          <w:color w:val="auto"/>
          <w:sz w:val="28"/>
          <w:szCs w:val="21"/>
          <w:highlight w:val="none"/>
        </w:rPr>
        <w:t>号</w:t>
      </w:r>
    </w:p>
    <w:p>
      <w:pPr>
        <w:keepNext w:val="0"/>
        <w:keepLines w:val="0"/>
        <w:pageBreakBefore w:val="0"/>
        <w:kinsoku/>
        <w:wordWrap/>
        <w:overflowPunct/>
        <w:topLinePunct w:val="0"/>
        <w:autoSpaceDE/>
        <w:autoSpaceDN/>
        <w:bidi w:val="0"/>
        <w:adjustRightInd w:val="0"/>
        <w:spacing w:line="560" w:lineRule="exact"/>
        <w:jc w:val="left"/>
        <w:textAlignment w:val="auto"/>
        <w:rPr>
          <w:rFonts w:hint="eastAsia" w:ascii="仿宋" w:hAnsi="仿宋" w:eastAsia="仿宋" w:cs="仿宋"/>
          <w:color w:val="auto"/>
          <w:spacing w:val="6"/>
          <w:sz w:val="28"/>
          <w:szCs w:val="28"/>
          <w:highlight w:val="none"/>
          <w:lang w:eastAsia="zh-CN"/>
        </w:rPr>
      </w:pPr>
      <w:r>
        <w:rPr>
          <w:rFonts w:hint="eastAsia" w:ascii="仿宋" w:hAnsi="仿宋" w:eastAsia="仿宋" w:cs="仿宋"/>
          <w:b/>
          <w:bCs/>
          <w:color w:val="auto"/>
          <w:spacing w:val="6"/>
          <w:sz w:val="28"/>
          <w:szCs w:val="28"/>
          <w:highlight w:val="none"/>
          <w:lang w:eastAsia="zh-CN"/>
        </w:rPr>
        <w:t>洛阳市偃师区财政局：</w:t>
      </w:r>
    </w:p>
    <w:p>
      <w:pPr>
        <w:keepNext w:val="0"/>
        <w:keepLines w:val="0"/>
        <w:pageBreakBefore w:val="0"/>
        <w:kinsoku/>
        <w:wordWrap/>
        <w:overflowPunct/>
        <w:topLinePunct w:val="0"/>
        <w:autoSpaceDE/>
        <w:autoSpaceDN/>
        <w:bidi w:val="0"/>
        <w:adjustRightInd w:val="0"/>
        <w:spacing w:line="560" w:lineRule="exact"/>
        <w:ind w:left="0" w:leftChars="0" w:firstLine="639" w:firstLineChars="219"/>
        <w:jc w:val="left"/>
        <w:textAlignment w:val="auto"/>
        <w:rPr>
          <w:rFonts w:hint="eastAsia" w:ascii="仿宋" w:hAnsi="仿宋" w:eastAsia="仿宋" w:cs="仿宋"/>
          <w:color w:val="auto"/>
          <w:spacing w:val="6"/>
          <w:sz w:val="28"/>
          <w:szCs w:val="28"/>
          <w:highlight w:val="none"/>
        </w:rPr>
      </w:pPr>
      <w:r>
        <w:rPr>
          <w:rFonts w:hint="eastAsia" w:ascii="仿宋" w:hAnsi="仿宋" w:eastAsia="仿宋" w:cs="仿宋"/>
          <w:b w:val="0"/>
          <w:bCs w:val="0"/>
          <w:color w:val="auto"/>
          <w:spacing w:val="6"/>
          <w:sz w:val="28"/>
          <w:szCs w:val="28"/>
          <w:highlight w:val="none"/>
        </w:rPr>
        <w:t>为加强</w:t>
      </w:r>
      <w:r>
        <w:rPr>
          <w:rFonts w:hint="eastAsia" w:ascii="仿宋" w:hAnsi="仿宋" w:eastAsia="仿宋" w:cs="仿宋"/>
          <w:b w:val="0"/>
          <w:bCs w:val="0"/>
          <w:color w:val="auto"/>
          <w:spacing w:val="6"/>
          <w:sz w:val="28"/>
          <w:szCs w:val="28"/>
          <w:highlight w:val="none"/>
          <w:lang w:eastAsia="zh-CN"/>
        </w:rPr>
        <w:t>偃师区2021年城市公共区域窨井设施治理提升工程</w:t>
      </w:r>
      <w:r>
        <w:rPr>
          <w:rFonts w:hint="eastAsia" w:ascii="仿宋" w:hAnsi="仿宋" w:eastAsia="仿宋" w:cs="仿宋"/>
          <w:b w:val="0"/>
          <w:bCs w:val="0"/>
          <w:color w:val="auto"/>
          <w:spacing w:val="6"/>
          <w:sz w:val="28"/>
          <w:szCs w:val="28"/>
          <w:highlight w:val="none"/>
        </w:rPr>
        <w:t>项目财政支出管理，</w:t>
      </w:r>
      <w:r>
        <w:rPr>
          <w:rFonts w:hint="eastAsia" w:ascii="仿宋" w:hAnsi="仿宋" w:eastAsia="仿宋" w:cs="仿宋"/>
          <w:color w:val="auto"/>
          <w:spacing w:val="6"/>
          <w:sz w:val="28"/>
          <w:szCs w:val="28"/>
          <w:highlight w:val="none"/>
        </w:rPr>
        <w:t>贯彻落实《中共洛阳市委 洛阳市人民政府关于全面实施预算绩效管理的实施意见》（洛发</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2021</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3号）精神，充分发挥</w:t>
      </w:r>
      <w:r>
        <w:rPr>
          <w:rFonts w:hint="eastAsia" w:ascii="仿宋" w:hAnsi="仿宋" w:eastAsia="仿宋" w:cs="仿宋"/>
          <w:color w:val="auto"/>
          <w:spacing w:val="6"/>
          <w:sz w:val="28"/>
          <w:szCs w:val="28"/>
          <w:highlight w:val="none"/>
          <w:lang w:eastAsia="zh-CN"/>
        </w:rPr>
        <w:t>偃师区2021年城市公共区域窨井设施治理提升工程</w:t>
      </w:r>
      <w:r>
        <w:rPr>
          <w:rFonts w:hint="eastAsia" w:ascii="仿宋" w:hAnsi="仿宋" w:eastAsia="仿宋" w:cs="仿宋"/>
          <w:color w:val="auto"/>
          <w:spacing w:val="6"/>
          <w:sz w:val="28"/>
          <w:szCs w:val="28"/>
          <w:highlight w:val="none"/>
        </w:rPr>
        <w:t>资金使用效益，根据《项目支出绩效评价管理办法》（财预</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2020</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10号）、《洛阳市市级部门预算绩效目标管理办法》等5个办法的通知（洛财效</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2020</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3号）、《洛阳市市级预算绩效管理委托第三方机构管理办法》（洛财效</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2022</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4号）</w:t>
      </w:r>
      <w:r>
        <w:rPr>
          <w:rFonts w:hint="eastAsia" w:ascii="仿宋" w:hAnsi="仿宋" w:eastAsia="仿宋" w:cs="仿宋"/>
          <w:color w:val="auto"/>
          <w:spacing w:val="6"/>
          <w:sz w:val="28"/>
          <w:szCs w:val="28"/>
          <w:highlight w:val="none"/>
          <w:lang w:eastAsia="zh-CN"/>
        </w:rPr>
        <w:t>、《偃师市财政局关于印发&lt;偃师市市级预算项目政策事前绩效评估管理办法&gt;等5个办法的通知 》（偃财文【2020】144号）</w:t>
      </w:r>
      <w:r>
        <w:rPr>
          <w:rFonts w:hint="eastAsia" w:ascii="仿宋" w:hAnsi="仿宋" w:eastAsia="仿宋" w:cs="仿宋"/>
          <w:color w:val="auto"/>
          <w:spacing w:val="6"/>
          <w:sz w:val="28"/>
          <w:szCs w:val="28"/>
          <w:highlight w:val="none"/>
        </w:rPr>
        <w:t>等文件精神，受贵单位委托，我事务所成立绩效评价工作小组，于</w:t>
      </w:r>
      <w:r>
        <w:rPr>
          <w:rFonts w:hint="eastAsia" w:ascii="仿宋" w:hAnsi="仿宋" w:eastAsia="仿宋" w:cs="仿宋"/>
          <w:color w:val="auto"/>
          <w:spacing w:val="6"/>
          <w:sz w:val="28"/>
          <w:szCs w:val="28"/>
          <w:highlight w:val="none"/>
        </w:rPr>
        <w:t>202</w:t>
      </w:r>
      <w:r>
        <w:rPr>
          <w:rFonts w:hint="eastAsia" w:ascii="仿宋" w:hAnsi="仿宋" w:eastAsia="仿宋" w:cs="仿宋"/>
          <w:color w:val="auto"/>
          <w:spacing w:val="6"/>
          <w:sz w:val="28"/>
          <w:szCs w:val="28"/>
          <w:highlight w:val="none"/>
          <w:lang w:val="en-US" w:eastAsia="zh-CN"/>
        </w:rPr>
        <w:t>2</w:t>
      </w:r>
      <w:r>
        <w:rPr>
          <w:rFonts w:hint="eastAsia" w:ascii="仿宋" w:hAnsi="仿宋" w:eastAsia="仿宋" w:cs="仿宋"/>
          <w:color w:val="auto"/>
          <w:spacing w:val="6"/>
          <w:sz w:val="28"/>
          <w:szCs w:val="28"/>
          <w:highlight w:val="none"/>
        </w:rPr>
        <w:t>年</w:t>
      </w:r>
      <w:r>
        <w:rPr>
          <w:rFonts w:hint="eastAsia" w:ascii="仿宋" w:hAnsi="仿宋" w:eastAsia="仿宋" w:cs="仿宋"/>
          <w:color w:val="auto"/>
          <w:spacing w:val="6"/>
          <w:sz w:val="28"/>
          <w:szCs w:val="28"/>
          <w:highlight w:val="none"/>
          <w:lang w:val="en-US" w:eastAsia="zh-CN"/>
        </w:rPr>
        <w:t>12</w:t>
      </w:r>
      <w:r>
        <w:rPr>
          <w:rFonts w:hint="eastAsia" w:ascii="仿宋" w:hAnsi="仿宋" w:eastAsia="仿宋" w:cs="仿宋"/>
          <w:color w:val="auto"/>
          <w:spacing w:val="6"/>
          <w:sz w:val="28"/>
          <w:szCs w:val="28"/>
          <w:highlight w:val="none"/>
        </w:rPr>
        <w:t>月</w:t>
      </w:r>
      <w:r>
        <w:rPr>
          <w:rFonts w:hint="eastAsia" w:ascii="仿宋" w:hAnsi="仿宋" w:eastAsia="仿宋" w:cs="仿宋"/>
          <w:color w:val="auto"/>
          <w:spacing w:val="6"/>
          <w:sz w:val="28"/>
          <w:szCs w:val="28"/>
          <w:highlight w:val="none"/>
          <w:lang w:val="en-US" w:eastAsia="zh-CN"/>
        </w:rPr>
        <w:t>15</w:t>
      </w:r>
      <w:r>
        <w:rPr>
          <w:rFonts w:hint="eastAsia" w:ascii="仿宋" w:hAnsi="仿宋" w:eastAsia="仿宋" w:cs="仿宋"/>
          <w:color w:val="auto"/>
          <w:spacing w:val="6"/>
          <w:sz w:val="28"/>
          <w:szCs w:val="28"/>
          <w:highlight w:val="none"/>
        </w:rPr>
        <w:t>日至</w:t>
      </w:r>
      <w:r>
        <w:rPr>
          <w:rFonts w:hint="eastAsia" w:ascii="仿宋" w:hAnsi="仿宋" w:eastAsia="仿宋" w:cs="仿宋"/>
          <w:color w:val="auto"/>
          <w:spacing w:val="6"/>
          <w:sz w:val="28"/>
          <w:szCs w:val="28"/>
          <w:highlight w:val="none"/>
          <w:lang w:val="en-US" w:eastAsia="zh-CN"/>
        </w:rPr>
        <w:t>2022年12</w:t>
      </w:r>
      <w:r>
        <w:rPr>
          <w:rFonts w:hint="eastAsia" w:ascii="仿宋" w:hAnsi="仿宋" w:eastAsia="仿宋" w:cs="仿宋"/>
          <w:color w:val="auto"/>
          <w:spacing w:val="6"/>
          <w:sz w:val="28"/>
          <w:szCs w:val="28"/>
          <w:highlight w:val="none"/>
        </w:rPr>
        <w:t>月</w:t>
      </w:r>
      <w:r>
        <w:rPr>
          <w:rFonts w:hint="eastAsia" w:ascii="仿宋" w:hAnsi="仿宋" w:eastAsia="仿宋" w:cs="仿宋"/>
          <w:color w:val="auto"/>
          <w:spacing w:val="6"/>
          <w:sz w:val="28"/>
          <w:szCs w:val="28"/>
          <w:highlight w:val="none"/>
          <w:lang w:val="en-US" w:eastAsia="zh-CN"/>
        </w:rPr>
        <w:t>30</w:t>
      </w:r>
      <w:r>
        <w:rPr>
          <w:rFonts w:hint="eastAsia" w:ascii="仿宋" w:hAnsi="仿宋" w:eastAsia="仿宋" w:cs="仿宋"/>
          <w:color w:val="auto"/>
          <w:spacing w:val="6"/>
          <w:sz w:val="28"/>
          <w:szCs w:val="28"/>
          <w:highlight w:val="none"/>
        </w:rPr>
        <w:t>日</w:t>
      </w:r>
      <w:r>
        <w:rPr>
          <w:rFonts w:hint="eastAsia" w:ascii="仿宋" w:hAnsi="仿宋" w:eastAsia="仿宋" w:cs="仿宋"/>
          <w:color w:val="auto"/>
          <w:spacing w:val="6"/>
          <w:sz w:val="28"/>
          <w:szCs w:val="28"/>
          <w:highlight w:val="none"/>
        </w:rPr>
        <w:t>对</w:t>
      </w:r>
      <w:r>
        <w:rPr>
          <w:rFonts w:hint="eastAsia" w:ascii="仿宋" w:hAnsi="仿宋" w:eastAsia="仿宋" w:cs="仿宋"/>
          <w:color w:val="auto"/>
          <w:spacing w:val="6"/>
          <w:sz w:val="28"/>
          <w:szCs w:val="28"/>
          <w:highlight w:val="none"/>
          <w:lang w:eastAsia="zh-CN"/>
        </w:rPr>
        <w:t>偃师区2021年城市公共区域窨井设施治理提升工程</w:t>
      </w:r>
      <w:r>
        <w:rPr>
          <w:rFonts w:hint="eastAsia" w:ascii="仿宋" w:hAnsi="仿宋" w:eastAsia="仿宋" w:cs="仿宋"/>
          <w:color w:val="auto"/>
          <w:spacing w:val="6"/>
          <w:sz w:val="28"/>
          <w:szCs w:val="28"/>
          <w:highlight w:val="none"/>
        </w:rPr>
        <w:t>项目进行了绩效评价，现将有关情况报告如下：</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2" w:firstLineChars="20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一、项目基本情况</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（一）项目概况</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1、项目背景</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84" w:firstLineChars="200"/>
        <w:jc w:val="left"/>
        <w:textAlignment w:val="auto"/>
        <w:rPr>
          <w:rFonts w:hint="eastAsia" w:ascii="仿宋" w:hAnsi="仿宋" w:eastAsia="仿宋" w:cs="仿宋"/>
          <w:color w:val="auto"/>
          <w:spacing w:val="6"/>
          <w:kern w:val="2"/>
          <w:sz w:val="28"/>
          <w:szCs w:val="28"/>
          <w:highlight w:val="none"/>
        </w:rPr>
      </w:pPr>
      <w:r>
        <w:rPr>
          <w:rFonts w:hint="eastAsia" w:ascii="仿宋" w:hAnsi="仿宋" w:eastAsia="仿宋" w:cs="仿宋"/>
          <w:color w:val="auto"/>
          <w:spacing w:val="6"/>
          <w:kern w:val="2"/>
          <w:sz w:val="28"/>
          <w:szCs w:val="28"/>
          <w:highlight w:val="none"/>
        </w:rPr>
        <w:t>按照省、市关于提升城市精细化管理服务水平的工作要求，为进一步提高城市窨井设施管养水平，优化城市道路功能，保障市民出行安全，美化城市街区空间，打造“整洁、有序、舒适、愉悦”的城市环境。河南省推进城镇基础设施建设管理工作联席会议办公室</w:t>
      </w:r>
      <w:r>
        <w:rPr>
          <w:rFonts w:hint="eastAsia" w:ascii="仿宋" w:hAnsi="仿宋" w:eastAsia="仿宋" w:cs="仿宋"/>
          <w:color w:val="auto"/>
          <w:spacing w:val="6"/>
          <w:kern w:val="2"/>
          <w:sz w:val="28"/>
          <w:szCs w:val="28"/>
          <w:highlight w:val="none"/>
          <w:lang w:eastAsia="zh-CN"/>
        </w:rPr>
        <w:t>下发</w:t>
      </w:r>
      <w:r>
        <w:rPr>
          <w:rFonts w:hint="eastAsia" w:ascii="仿宋" w:hAnsi="仿宋" w:eastAsia="仿宋" w:cs="仿宋"/>
          <w:color w:val="auto"/>
          <w:spacing w:val="6"/>
          <w:kern w:val="2"/>
          <w:sz w:val="28"/>
          <w:szCs w:val="28"/>
          <w:highlight w:val="none"/>
        </w:rPr>
        <w:t>《关于印发</w:t>
      </w:r>
      <w:r>
        <w:rPr>
          <w:rFonts w:hint="eastAsia" w:ascii="仿宋" w:hAnsi="仿宋" w:eastAsia="仿宋" w:cs="仿宋"/>
          <w:color w:val="auto"/>
          <w:spacing w:val="6"/>
          <w:kern w:val="2"/>
          <w:sz w:val="28"/>
          <w:szCs w:val="28"/>
          <w:highlight w:val="none"/>
          <w:lang w:val="en-US" w:eastAsia="zh-CN"/>
        </w:rPr>
        <w:t>&lt;</w:t>
      </w:r>
      <w:r>
        <w:rPr>
          <w:rFonts w:hint="eastAsia" w:ascii="仿宋" w:hAnsi="仿宋" w:eastAsia="仿宋" w:cs="仿宋"/>
          <w:color w:val="auto"/>
          <w:spacing w:val="6"/>
          <w:kern w:val="2"/>
          <w:sz w:val="28"/>
          <w:szCs w:val="28"/>
          <w:highlight w:val="none"/>
          <w:lang w:eastAsia="zh-CN"/>
        </w:rPr>
        <w:t>河南省城市公共区域窨井盖专项整治三年行动方案（2021-2023年）</w:t>
      </w:r>
      <w:r>
        <w:rPr>
          <w:rFonts w:hint="eastAsia" w:ascii="仿宋" w:hAnsi="仿宋" w:eastAsia="仿宋" w:cs="仿宋"/>
          <w:color w:val="auto"/>
          <w:spacing w:val="6"/>
          <w:kern w:val="2"/>
          <w:sz w:val="28"/>
          <w:szCs w:val="28"/>
          <w:highlight w:val="none"/>
          <w:lang w:val="en-US" w:eastAsia="zh-CN"/>
        </w:rPr>
        <w:t>&gt;</w:t>
      </w:r>
      <w:r>
        <w:rPr>
          <w:rFonts w:hint="eastAsia" w:ascii="仿宋" w:hAnsi="仿宋" w:eastAsia="仿宋" w:cs="仿宋"/>
          <w:color w:val="auto"/>
          <w:spacing w:val="6"/>
          <w:kern w:val="2"/>
          <w:sz w:val="28"/>
          <w:szCs w:val="28"/>
          <w:highlight w:val="none"/>
        </w:rPr>
        <w:t>》</w:t>
      </w:r>
      <w:r>
        <w:rPr>
          <w:rFonts w:hint="eastAsia" w:ascii="仿宋" w:hAnsi="仿宋" w:eastAsia="仿宋" w:cs="仿宋"/>
          <w:color w:val="auto"/>
          <w:spacing w:val="6"/>
          <w:kern w:val="2"/>
          <w:sz w:val="28"/>
          <w:szCs w:val="28"/>
          <w:highlight w:val="none"/>
          <w:lang w:eastAsia="zh-CN"/>
        </w:rPr>
        <w:t>（豫城建联办【2021】1号）</w:t>
      </w:r>
      <w:r>
        <w:rPr>
          <w:rFonts w:hint="eastAsia" w:ascii="仿宋" w:hAnsi="仿宋" w:eastAsia="仿宋" w:cs="仿宋"/>
          <w:color w:val="auto"/>
          <w:spacing w:val="6"/>
          <w:kern w:val="2"/>
          <w:sz w:val="28"/>
          <w:szCs w:val="28"/>
          <w:highlight w:val="none"/>
        </w:rPr>
        <w:t>的通知，要求各地严格按照通知要求，即刻成立窨井盖专项整治工作领导小组，明确牵头部门，制定工作方案，细化工作措施，压实主体责任。《关于印发</w:t>
      </w:r>
      <w:r>
        <w:rPr>
          <w:rFonts w:hint="eastAsia" w:ascii="仿宋" w:hAnsi="仿宋" w:eastAsia="仿宋" w:cs="仿宋"/>
          <w:color w:val="auto"/>
          <w:spacing w:val="6"/>
          <w:kern w:val="2"/>
          <w:sz w:val="28"/>
          <w:szCs w:val="28"/>
          <w:highlight w:val="none"/>
          <w:lang w:val="en-US" w:eastAsia="zh-CN"/>
        </w:rPr>
        <w:t>&lt;</w:t>
      </w:r>
      <w:r>
        <w:rPr>
          <w:rFonts w:hint="eastAsia" w:ascii="仿宋" w:hAnsi="仿宋" w:eastAsia="仿宋" w:cs="仿宋"/>
          <w:color w:val="auto"/>
          <w:spacing w:val="6"/>
          <w:kern w:val="2"/>
          <w:sz w:val="28"/>
          <w:szCs w:val="28"/>
          <w:highlight w:val="none"/>
        </w:rPr>
        <w:t>2021年窨井设施专项整治工作推进方案</w:t>
      </w:r>
      <w:r>
        <w:rPr>
          <w:rFonts w:hint="eastAsia" w:ascii="仿宋" w:hAnsi="仿宋" w:eastAsia="仿宋" w:cs="仿宋"/>
          <w:color w:val="auto"/>
          <w:spacing w:val="6"/>
          <w:kern w:val="2"/>
          <w:sz w:val="28"/>
          <w:szCs w:val="28"/>
          <w:highlight w:val="none"/>
          <w:lang w:val="en-US" w:eastAsia="zh-CN"/>
        </w:rPr>
        <w:t>&gt;</w:t>
      </w:r>
      <w:r>
        <w:rPr>
          <w:rFonts w:hint="eastAsia" w:ascii="仿宋" w:hAnsi="仿宋" w:eastAsia="仿宋" w:cs="仿宋"/>
          <w:color w:val="auto"/>
          <w:spacing w:val="6"/>
          <w:kern w:val="2"/>
          <w:sz w:val="28"/>
          <w:szCs w:val="28"/>
          <w:highlight w:val="none"/>
        </w:rPr>
        <w:t>的通知》（豫城建联办</w:t>
      </w:r>
      <w:r>
        <w:rPr>
          <w:rFonts w:hint="eastAsia" w:ascii="仿宋" w:hAnsi="仿宋" w:eastAsia="仿宋" w:cs="仿宋"/>
          <w:color w:val="auto"/>
          <w:spacing w:val="6"/>
          <w:kern w:val="2"/>
          <w:sz w:val="28"/>
          <w:szCs w:val="28"/>
          <w:highlight w:val="none"/>
          <w:lang w:eastAsia="zh-CN"/>
        </w:rPr>
        <w:t>【</w:t>
      </w:r>
      <w:r>
        <w:rPr>
          <w:rFonts w:hint="eastAsia" w:ascii="仿宋" w:hAnsi="仿宋" w:eastAsia="仿宋" w:cs="仿宋"/>
          <w:color w:val="auto"/>
          <w:spacing w:val="6"/>
          <w:kern w:val="2"/>
          <w:sz w:val="28"/>
          <w:szCs w:val="28"/>
          <w:highlight w:val="none"/>
        </w:rPr>
        <w:t>2021</w:t>
      </w:r>
      <w:r>
        <w:rPr>
          <w:rFonts w:hint="eastAsia" w:ascii="仿宋" w:hAnsi="仿宋" w:eastAsia="仿宋" w:cs="仿宋"/>
          <w:color w:val="auto"/>
          <w:spacing w:val="6"/>
          <w:kern w:val="2"/>
          <w:sz w:val="28"/>
          <w:szCs w:val="28"/>
          <w:highlight w:val="none"/>
          <w:lang w:eastAsia="zh-CN"/>
        </w:rPr>
        <w:t>】</w:t>
      </w:r>
      <w:r>
        <w:rPr>
          <w:rFonts w:hint="eastAsia" w:ascii="仿宋" w:hAnsi="仿宋" w:eastAsia="仿宋" w:cs="仿宋"/>
          <w:color w:val="auto"/>
          <w:spacing w:val="6"/>
          <w:kern w:val="2"/>
          <w:sz w:val="28"/>
          <w:szCs w:val="28"/>
          <w:highlight w:val="none"/>
          <w:lang w:val="en-US" w:eastAsia="zh-CN"/>
        </w:rPr>
        <w:t>3</w:t>
      </w:r>
      <w:r>
        <w:rPr>
          <w:rFonts w:hint="eastAsia" w:ascii="仿宋" w:hAnsi="仿宋" w:eastAsia="仿宋" w:cs="仿宋"/>
          <w:color w:val="auto"/>
          <w:spacing w:val="6"/>
          <w:kern w:val="2"/>
          <w:sz w:val="28"/>
          <w:szCs w:val="28"/>
          <w:highlight w:val="none"/>
        </w:rPr>
        <w:t>号）的通知，要求各地严格按照《推进方案》明确的目标任务，抓好工作落实，各地专项整治领导小组要切实发挥组织领导职能，在抓好市本级专项整治工作的同时，要加强对所辖县（市）的工作指导和监督检查，确保市、县同步启动、同步实施、共同推进。</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84"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kern w:val="2"/>
          <w:sz w:val="28"/>
          <w:szCs w:val="28"/>
          <w:highlight w:val="none"/>
          <w:lang w:val="en-US" w:eastAsia="zh-CN"/>
        </w:rPr>
        <w:t>2、项目</w:t>
      </w:r>
      <w:r>
        <w:rPr>
          <w:rFonts w:hint="eastAsia" w:ascii="仿宋" w:hAnsi="仿宋" w:eastAsia="仿宋" w:cs="仿宋"/>
          <w:color w:val="auto"/>
          <w:sz w:val="28"/>
          <w:szCs w:val="28"/>
          <w:highlight w:val="none"/>
          <w:lang w:eastAsia="zh-CN"/>
        </w:rPr>
        <w:t>相关单位</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项目</w:t>
      </w:r>
      <w:r>
        <w:rPr>
          <w:rFonts w:hint="eastAsia" w:ascii="仿宋" w:hAnsi="仿宋" w:eastAsia="仿宋" w:cs="仿宋"/>
          <w:color w:val="auto"/>
          <w:sz w:val="28"/>
          <w:szCs w:val="28"/>
          <w:highlight w:val="none"/>
        </w:rPr>
        <w:t>建设单位为偃师区住房和城乡建设局，采购代理机构</w:t>
      </w:r>
      <w:r>
        <w:rPr>
          <w:rFonts w:hint="eastAsia" w:ascii="仿宋" w:hAnsi="仿宋" w:eastAsia="仿宋" w:cs="仿宋"/>
          <w:color w:val="auto"/>
          <w:sz w:val="28"/>
          <w:szCs w:val="28"/>
          <w:highlight w:val="none"/>
          <w:lang w:eastAsia="zh-CN"/>
        </w:rPr>
        <w:t>为华夏经纬工程咨询有限公司，</w:t>
      </w:r>
      <w:r>
        <w:rPr>
          <w:rFonts w:hint="eastAsia" w:ascii="仿宋" w:hAnsi="仿宋" w:eastAsia="仿宋" w:cs="仿宋"/>
          <w:color w:val="auto"/>
          <w:sz w:val="28"/>
          <w:szCs w:val="28"/>
          <w:highlight w:val="none"/>
        </w:rPr>
        <w:t>施工</w:t>
      </w:r>
      <w:r>
        <w:rPr>
          <w:rFonts w:hint="eastAsia" w:ascii="仿宋" w:hAnsi="仿宋" w:eastAsia="仿宋" w:cs="仿宋"/>
          <w:color w:val="auto"/>
          <w:sz w:val="28"/>
          <w:szCs w:val="28"/>
          <w:highlight w:val="none"/>
          <w:lang w:eastAsia="zh-CN"/>
        </w:rPr>
        <w:t>单位（承包单位）</w:t>
      </w:r>
      <w:r>
        <w:rPr>
          <w:rFonts w:hint="eastAsia" w:ascii="仿宋" w:hAnsi="仿宋" w:eastAsia="仿宋" w:cs="仿宋"/>
          <w:color w:val="auto"/>
          <w:sz w:val="28"/>
          <w:szCs w:val="28"/>
          <w:highlight w:val="none"/>
        </w:rPr>
        <w:t>为</w:t>
      </w:r>
      <w:r>
        <w:rPr>
          <w:rFonts w:hint="eastAsia" w:ascii="仿宋" w:hAnsi="仿宋" w:eastAsia="仿宋" w:cs="仿宋"/>
          <w:color w:val="auto"/>
          <w:sz w:val="28"/>
          <w:szCs w:val="28"/>
          <w:highlight w:val="none"/>
          <w:lang w:eastAsia="zh-CN"/>
        </w:rPr>
        <w:t>洛阳建兴市政工程</w:t>
      </w:r>
      <w:r>
        <w:rPr>
          <w:rFonts w:hint="eastAsia" w:ascii="仿宋" w:hAnsi="仿宋" w:eastAsia="仿宋" w:cs="仿宋"/>
          <w:color w:val="auto"/>
          <w:sz w:val="28"/>
          <w:szCs w:val="28"/>
          <w:highlight w:val="none"/>
        </w:rPr>
        <w:t>有限公司，监理</w:t>
      </w:r>
      <w:r>
        <w:rPr>
          <w:rFonts w:hint="eastAsia" w:ascii="仿宋" w:hAnsi="仿宋" w:eastAsia="仿宋" w:cs="仿宋"/>
          <w:color w:val="auto"/>
          <w:sz w:val="28"/>
          <w:szCs w:val="28"/>
          <w:highlight w:val="none"/>
          <w:lang w:eastAsia="zh-CN"/>
        </w:rPr>
        <w:t>单位</w:t>
      </w:r>
      <w:r>
        <w:rPr>
          <w:rFonts w:hint="eastAsia" w:ascii="仿宋" w:hAnsi="仿宋" w:eastAsia="仿宋" w:cs="仿宋"/>
          <w:color w:val="auto"/>
          <w:sz w:val="28"/>
          <w:szCs w:val="28"/>
          <w:highlight w:val="none"/>
        </w:rPr>
        <w:t>为河南</w:t>
      </w:r>
      <w:r>
        <w:rPr>
          <w:rFonts w:hint="eastAsia" w:ascii="仿宋" w:hAnsi="仿宋" w:eastAsia="仿宋" w:cs="仿宋"/>
          <w:color w:val="auto"/>
          <w:sz w:val="28"/>
          <w:szCs w:val="28"/>
          <w:highlight w:val="none"/>
          <w:lang w:eastAsia="zh-CN"/>
        </w:rPr>
        <w:t>大久工程管理</w:t>
      </w:r>
      <w:r>
        <w:rPr>
          <w:rFonts w:hint="eastAsia" w:ascii="仿宋" w:hAnsi="仿宋" w:eastAsia="仿宋" w:cs="仿宋"/>
          <w:color w:val="auto"/>
          <w:sz w:val="28"/>
          <w:szCs w:val="28"/>
          <w:highlight w:val="none"/>
        </w:rPr>
        <w:t>有限公司，各方在签订合同的基础上履行各自的职责和义务。</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84" w:firstLineChars="200"/>
        <w:jc w:val="left"/>
        <w:textAlignment w:val="auto"/>
        <w:rPr>
          <w:rFonts w:hint="eastAsia" w:ascii="仿宋" w:hAnsi="仿宋" w:eastAsia="仿宋" w:cs="仿宋"/>
          <w:color w:val="auto"/>
          <w:spacing w:val="6"/>
          <w:kern w:val="2"/>
          <w:sz w:val="28"/>
          <w:szCs w:val="28"/>
          <w:highlight w:val="none"/>
        </w:rPr>
      </w:pPr>
      <w:r>
        <w:rPr>
          <w:rFonts w:hint="eastAsia" w:ascii="仿宋" w:hAnsi="仿宋" w:eastAsia="仿宋" w:cs="仿宋"/>
          <w:color w:val="auto"/>
          <w:spacing w:val="6"/>
          <w:kern w:val="2"/>
          <w:sz w:val="28"/>
          <w:szCs w:val="28"/>
          <w:highlight w:val="none"/>
        </w:rPr>
        <w:t>偃师区住房和城乡建设局成立于1976年，成立之初名为偃师县城建设委员会，1981年更名为偃师县城镇建设局，1984年更名为偃师县城乡建设环境保护局，1997年更名为偃师市建设管理委员会，2001年更名为偃师市建设局，2010年更名为偃师市住房和城乡建设局，2014年更名为偃师市住房和城乡规划建设局，2019年更名为偃师市住房和城乡建设局，2021年6月更名为洛阳市偃师区住房和城乡建设局。局机关位于华夏路18号，承担着全市城市建设管理、村镇建设管理、建筑市场管理、人民防空事业、推进住房发展工作、监督管理全市房地产市场等多方面的工作职责。</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84"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color w:val="auto"/>
          <w:spacing w:val="6"/>
          <w:kern w:val="2"/>
          <w:sz w:val="28"/>
          <w:szCs w:val="28"/>
          <w:highlight w:val="none"/>
          <w:lang w:val="en-US" w:eastAsia="zh-CN"/>
        </w:rPr>
        <w:t>3、</w:t>
      </w:r>
      <w:r>
        <w:rPr>
          <w:rFonts w:hint="eastAsia" w:ascii="仿宋" w:hAnsi="仿宋" w:eastAsia="仿宋" w:cs="仿宋"/>
          <w:b w:val="0"/>
          <w:bCs w:val="0"/>
          <w:color w:val="auto"/>
          <w:sz w:val="28"/>
          <w:szCs w:val="28"/>
          <w:highlight w:val="none"/>
        </w:rPr>
        <w:t>项目的主要内容及实施情况</w:t>
      </w:r>
    </w:p>
    <w:p>
      <w:pPr>
        <w:pStyle w:val="7"/>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主要内容</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主要目标：</w:t>
      </w:r>
      <w:r>
        <w:rPr>
          <w:rFonts w:hint="eastAsia" w:ascii="仿宋" w:hAnsi="仿宋" w:eastAsia="仿宋" w:cs="仿宋"/>
          <w:color w:val="auto"/>
          <w:sz w:val="28"/>
          <w:szCs w:val="28"/>
          <w:highlight w:val="none"/>
        </w:rPr>
        <w:t>各市、县(市、区)2月1日前全面启动专项整治工作，6月底之前，完成城市建成区范围内城市道路等区域所有窨井设施的核查和确权建档工作。建立专项整治工作台账，对存在重大安全隐患的窨井设施及时进行治理，当年完成40%问题井盖的整治任务。12月底之前，所有核查建档的窨井设施数据信息全部纳入数字化城管平台进行管理。</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pacing w:val="6"/>
          <w:kern w:val="2"/>
          <w:sz w:val="28"/>
          <w:szCs w:val="28"/>
          <w:highlight w:val="none"/>
          <w:lang w:eastAsia="zh-CN"/>
        </w:rPr>
      </w:pPr>
      <w:r>
        <w:rPr>
          <w:rFonts w:hint="eastAsia" w:ascii="仿宋" w:hAnsi="仿宋" w:eastAsia="仿宋" w:cs="仿宋"/>
          <w:color w:val="auto"/>
          <w:sz w:val="28"/>
          <w:szCs w:val="28"/>
          <w:highlight w:val="none"/>
          <w:lang w:eastAsia="zh-CN"/>
        </w:rPr>
        <w:t>建设规模及内容：</w:t>
      </w:r>
      <w:r>
        <w:rPr>
          <w:rFonts w:hint="eastAsia" w:ascii="仿宋" w:hAnsi="仿宋" w:eastAsia="仿宋" w:cs="仿宋"/>
          <w:color w:val="auto"/>
          <w:sz w:val="28"/>
          <w:szCs w:val="28"/>
          <w:highlight w:val="none"/>
        </w:rPr>
        <w:t>本次改造范围为老城区和首阳山片区。主要包含商都路、新新路、太学路、西亳大道、槐新路、槐新南路等，车行道及人行道上的雨污水井盖、雨水篦子等窨井设施改造提升。</w:t>
      </w:r>
    </w:p>
    <w:p>
      <w:pPr>
        <w:pStyle w:val="7"/>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实施情况</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项目实施过程：</w:t>
      </w:r>
      <w:r>
        <w:rPr>
          <w:rFonts w:hint="eastAsia" w:ascii="仿宋" w:hAnsi="仿宋" w:eastAsia="仿宋" w:cs="仿宋"/>
          <w:color w:val="auto"/>
          <w:sz w:val="28"/>
          <w:szCs w:val="28"/>
          <w:highlight w:val="none"/>
        </w:rPr>
        <w:t>①2020年12月31日河南省推进城镇基础设施建设管理工作联席会议办公室下发《关于印发&lt;河南省城市公共区域窨井盖专项整治三年行动方案（2021-2023年）&gt;的通知》（豫城建联办【2021】1号）</w:t>
      </w:r>
      <w:r>
        <w:rPr>
          <w:rFonts w:hint="eastAsia" w:ascii="仿宋" w:hAnsi="仿宋" w:eastAsia="仿宋" w:cs="仿宋"/>
          <w:color w:val="auto"/>
          <w:sz w:val="28"/>
          <w:szCs w:val="28"/>
          <w:highlight w:val="none"/>
          <w:lang w:eastAsia="zh-CN"/>
        </w:rPr>
        <w:t>，要求各地</w:t>
      </w:r>
      <w:r>
        <w:rPr>
          <w:rFonts w:hint="eastAsia" w:ascii="仿宋" w:hAnsi="仿宋" w:eastAsia="仿宋" w:cs="仿宋"/>
          <w:color w:val="auto"/>
          <w:sz w:val="28"/>
          <w:szCs w:val="28"/>
          <w:highlight w:val="none"/>
        </w:rPr>
        <w:t>即刻成立窨井盖专项整治工作领导小组，明确牵头部门，制定工作方案，细化工作措施，压实主体责任；</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②</w:t>
      </w:r>
      <w:r>
        <w:rPr>
          <w:rFonts w:hint="eastAsia" w:ascii="仿宋" w:hAnsi="仿宋" w:eastAsia="仿宋" w:cs="仿宋"/>
          <w:color w:val="auto"/>
          <w:sz w:val="28"/>
          <w:szCs w:val="28"/>
          <w:highlight w:val="none"/>
          <w:lang w:val="en-US" w:eastAsia="zh-CN"/>
        </w:rPr>
        <w:t>2021年1月29日河南省推进城镇基础设施建设管理工作联席会议办公室下发《关于印发&lt;2021年窨井设施专项整治工作推进方案&gt;的通知》（豫城建联办【2021】3号），提出专项整治工作推进方案，深入推进整治工作的开展，确保窨井设施专项整治工作成效；</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③</w:t>
      </w:r>
      <w:r>
        <w:rPr>
          <w:rFonts w:hint="eastAsia" w:ascii="仿宋" w:hAnsi="仿宋" w:eastAsia="仿宋" w:cs="仿宋"/>
          <w:color w:val="auto"/>
          <w:sz w:val="28"/>
          <w:szCs w:val="28"/>
          <w:highlight w:val="none"/>
          <w:lang w:val="en-US" w:eastAsia="zh-CN"/>
        </w:rPr>
        <w:t>2021年5月24日偃师区住房和城乡建设局提出《关于拨付窨井盖专项整治所需资金的请示》（偃建文【2021】67号）申请，列示三年内本项目工程建设所需物资明细及资金总额5531503.32元，偃师财政局收文处理签经各级领导审核批复并签字。</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④</w:t>
      </w:r>
      <w:r>
        <w:rPr>
          <w:rFonts w:hint="eastAsia" w:ascii="仿宋" w:hAnsi="仿宋" w:eastAsia="仿宋" w:cs="仿宋"/>
          <w:color w:val="auto"/>
          <w:sz w:val="28"/>
          <w:szCs w:val="28"/>
          <w:highlight w:val="none"/>
          <w:lang w:val="en-US" w:eastAsia="zh-CN"/>
        </w:rPr>
        <w:t>2021年偃师区住房和城乡建设局就偃师区2021年城市公共区域窨井设施治理提升工程编制《市级部门预算项目绩效申报表》，明确了项目实施的财政资金额度、绩效目标、绩效指标等各项指标；</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⑤2021年7月12日偃师区财政投资评审中心</w:t>
      </w:r>
      <w:r>
        <w:rPr>
          <w:rFonts w:hint="eastAsia" w:ascii="仿宋" w:hAnsi="仿宋" w:eastAsia="仿宋" w:cs="仿宋"/>
          <w:color w:val="auto"/>
          <w:sz w:val="28"/>
          <w:szCs w:val="28"/>
          <w:highlight w:val="none"/>
          <w:lang w:eastAsia="zh-CN"/>
        </w:rPr>
        <w:t>就偃师区2021年城市公共区域窨井设施治理提升工程预算金额进行评审。《偃师区政府投资项目预算评审呈报表》中列示送审金额为2,103,361.95元，审定金额为1,838,095.13元，审减金额为265,266.82元；并经各级项目、财政领导及负责人审核、复核、批复，审核项目预算资金额度。评审中心出具《偃师区2021年城市公共区域窨井设施治理提升工程预算评审报告》（偃财评审【2021】7-22号），阐述项目预算审减原因，并附《工程预算审定表》、《建设工程预算评审结论征求意见书》，对项目工程的预算进行评审；</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⑥2021年7月</w:t>
      </w:r>
      <w:r>
        <w:rPr>
          <w:rFonts w:hint="eastAsia" w:ascii="仿宋" w:hAnsi="仿宋" w:eastAsia="仿宋" w:cs="仿宋"/>
          <w:color w:val="auto"/>
          <w:sz w:val="28"/>
          <w:szCs w:val="28"/>
          <w:highlight w:val="none"/>
          <w:lang w:val="en-US" w:eastAsia="zh-CN"/>
        </w:rPr>
        <w:t>12日</w:t>
      </w:r>
      <w:r>
        <w:rPr>
          <w:rFonts w:hint="eastAsia" w:ascii="仿宋" w:hAnsi="仿宋" w:eastAsia="仿宋" w:cs="仿宋"/>
          <w:color w:val="auto"/>
          <w:sz w:val="28"/>
          <w:szCs w:val="28"/>
          <w:highlight w:val="none"/>
        </w:rPr>
        <w:t>偃师区住房和城乡建设局</w:t>
      </w:r>
      <w:r>
        <w:rPr>
          <w:rFonts w:hint="eastAsia" w:ascii="仿宋" w:hAnsi="仿宋" w:eastAsia="仿宋" w:cs="仿宋"/>
          <w:color w:val="auto"/>
          <w:sz w:val="28"/>
          <w:szCs w:val="28"/>
          <w:highlight w:val="none"/>
          <w:lang w:eastAsia="zh-CN"/>
        </w:rPr>
        <w:t>与华夏经纬工程咨询有限公司签订《偃师市政府采购项目委托代理协议书》，委托华夏经纬工程咨询有限公司就偃师区2021年城市公共区域窨井设施治理提升工程代为公开招标。</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rPr>
        <w:t>⑦</w:t>
      </w:r>
      <w:r>
        <w:rPr>
          <w:rFonts w:hint="eastAsia" w:ascii="仿宋" w:hAnsi="仿宋" w:eastAsia="仿宋" w:cs="仿宋"/>
          <w:color w:val="auto"/>
          <w:sz w:val="28"/>
          <w:szCs w:val="28"/>
          <w:highlight w:val="none"/>
          <w:lang w:eastAsia="zh-CN"/>
        </w:rPr>
        <w:t>2021年7月12日偃师区住房和城乡建设局编制《偃师市政府采购备案表》，明确项目计划完成时间为</w:t>
      </w:r>
      <w:r>
        <w:rPr>
          <w:rFonts w:hint="eastAsia" w:ascii="仿宋" w:hAnsi="仿宋" w:eastAsia="仿宋" w:cs="仿宋"/>
          <w:color w:val="auto"/>
          <w:sz w:val="28"/>
          <w:szCs w:val="28"/>
          <w:highlight w:val="none"/>
          <w:lang w:val="en-US" w:eastAsia="zh-CN"/>
        </w:rPr>
        <w:t>2021年8月31日，采购单价为1,746,190.37元,采购方式为竞争性磋商，采购编号为偃政采【230】，资金来源为预算内，支付方式为国库直接支付。经偃师市财政局领导审核同意，通过。</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⑧2021年7月12日华夏经纬工程咨询有限公司</w:t>
      </w:r>
      <w:r>
        <w:rPr>
          <w:rFonts w:hint="eastAsia" w:ascii="仿宋" w:hAnsi="仿宋" w:eastAsia="仿宋" w:cs="仿宋"/>
          <w:color w:val="auto"/>
          <w:sz w:val="28"/>
          <w:szCs w:val="28"/>
          <w:highlight w:val="none"/>
          <w:lang w:eastAsia="zh-CN"/>
        </w:rPr>
        <w:t>受偃师区住房和城乡建设局委托</w:t>
      </w:r>
      <w:r>
        <w:rPr>
          <w:rFonts w:hint="eastAsia" w:ascii="仿宋" w:hAnsi="仿宋" w:eastAsia="仿宋" w:cs="仿宋"/>
          <w:color w:val="auto"/>
          <w:sz w:val="28"/>
          <w:szCs w:val="28"/>
          <w:highlight w:val="none"/>
        </w:rPr>
        <w:t>在《中国招标投标公共服务平台》、《河南省电子招标投标服务平台》、《河南省（洛阳市）政府采购网》、《全国公共资源交易平台(河南省.洛阳市)》发布</w:t>
      </w:r>
      <w:r>
        <w:rPr>
          <w:rFonts w:hint="eastAsia" w:ascii="仿宋" w:hAnsi="仿宋" w:eastAsia="仿宋" w:cs="仿宋"/>
          <w:color w:val="auto"/>
          <w:sz w:val="28"/>
          <w:szCs w:val="28"/>
          <w:highlight w:val="none"/>
          <w:lang w:eastAsia="zh-CN"/>
        </w:rPr>
        <w:t>采购</w:t>
      </w:r>
      <w:r>
        <w:rPr>
          <w:rFonts w:hint="eastAsia" w:ascii="仿宋" w:hAnsi="仿宋" w:eastAsia="仿宋" w:cs="仿宋"/>
          <w:color w:val="auto"/>
          <w:sz w:val="28"/>
          <w:szCs w:val="28"/>
          <w:highlight w:val="none"/>
        </w:rPr>
        <w:t>公告，</w:t>
      </w:r>
      <w:r>
        <w:rPr>
          <w:rFonts w:hint="eastAsia" w:ascii="仿宋" w:hAnsi="仿宋" w:eastAsia="仿宋" w:cs="仿宋"/>
          <w:color w:val="auto"/>
          <w:sz w:val="28"/>
          <w:szCs w:val="28"/>
          <w:highlight w:val="none"/>
          <w:lang w:eastAsia="zh-CN"/>
        </w:rPr>
        <w:t>采购预算金额和最高限价为1,746,190.37元，预算控制金额为1,746,190.37元；</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⑨2021年7月13-19日通过网络获取磋商文件《偃师区2021年城市公共区域窨井设施治理提升工程 磋商文件》（偃师政采磋商（2021）0230号），供应商领取招标（采购）文件</w:t>
      </w:r>
      <w:r>
        <w:rPr>
          <w:rFonts w:hint="eastAsia" w:ascii="仿宋" w:hAnsi="仿宋" w:eastAsia="仿宋" w:cs="仿宋"/>
          <w:color w:val="auto"/>
          <w:sz w:val="28"/>
          <w:szCs w:val="28"/>
          <w:highlight w:val="none"/>
          <w:lang w:eastAsia="zh-CN"/>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⑩2021年7月23日在偃师市公共资源交易中心公开招标</w:t>
      </w:r>
      <w:r>
        <w:rPr>
          <w:rFonts w:hint="eastAsia" w:ascii="仿宋" w:hAnsi="仿宋" w:eastAsia="仿宋" w:cs="仿宋"/>
          <w:color w:val="auto"/>
          <w:sz w:val="28"/>
          <w:szCs w:val="28"/>
          <w:highlight w:val="none"/>
          <w:lang w:eastAsia="zh-CN"/>
        </w:rPr>
        <w:t>，在规定的投标截止时间前，共计</w:t>
      </w:r>
      <w:r>
        <w:rPr>
          <w:rFonts w:hint="eastAsia" w:ascii="仿宋" w:hAnsi="仿宋" w:eastAsia="仿宋" w:cs="仿宋"/>
          <w:color w:val="auto"/>
          <w:sz w:val="28"/>
          <w:szCs w:val="28"/>
          <w:highlight w:val="none"/>
          <w:lang w:val="en-US" w:eastAsia="zh-CN"/>
        </w:rPr>
        <w:t>4家供应商递交了响应文件</w:t>
      </w:r>
      <w:r>
        <w:rPr>
          <w:rFonts w:hint="eastAsia" w:ascii="仿宋" w:hAnsi="仿宋" w:eastAsia="仿宋" w:cs="仿宋"/>
          <w:color w:val="auto"/>
          <w:sz w:val="28"/>
          <w:szCs w:val="28"/>
          <w:highlight w:val="none"/>
          <w:lang w:eastAsia="zh-CN"/>
        </w:rPr>
        <w:t>。偃师市财政局和偃师市发改委领导出席并监督开标会议。磋商小组依法组建，经初步评审选出了四家符合要求的单位参与招投标，由磋商小组评审推荐并确认，</w:t>
      </w:r>
      <w:r>
        <w:rPr>
          <w:rFonts w:hint="eastAsia" w:ascii="仿宋" w:hAnsi="仿宋" w:eastAsia="仿宋" w:cs="仿宋"/>
          <w:color w:val="auto"/>
          <w:sz w:val="28"/>
          <w:szCs w:val="28"/>
          <w:highlight w:val="none"/>
        </w:rPr>
        <w:t>最终</w:t>
      </w:r>
      <w:r>
        <w:rPr>
          <w:rFonts w:hint="eastAsia" w:ascii="仿宋" w:hAnsi="仿宋" w:eastAsia="仿宋" w:cs="仿宋"/>
          <w:color w:val="auto"/>
          <w:sz w:val="28"/>
          <w:szCs w:val="28"/>
          <w:highlight w:val="none"/>
          <w:lang w:eastAsia="zh-CN"/>
        </w:rPr>
        <w:t>确定项目成交</w:t>
      </w:r>
      <w:r>
        <w:rPr>
          <w:rFonts w:hint="eastAsia" w:ascii="仿宋" w:hAnsi="仿宋" w:eastAsia="仿宋" w:cs="仿宋"/>
          <w:color w:val="auto"/>
          <w:sz w:val="28"/>
          <w:szCs w:val="28"/>
          <w:highlight w:val="none"/>
        </w:rPr>
        <w:t>单位为洛阳建兴市政工程有限公司</w:t>
      </w:r>
      <w:r>
        <w:rPr>
          <w:rFonts w:hint="eastAsia" w:ascii="仿宋" w:hAnsi="仿宋" w:eastAsia="仿宋" w:cs="仿宋"/>
          <w:color w:val="auto"/>
          <w:sz w:val="28"/>
          <w:szCs w:val="28"/>
          <w:highlight w:val="none"/>
          <w:lang w:eastAsia="zh-CN"/>
        </w:rPr>
        <w:t>，并出具成交通知书</w:t>
      </w:r>
      <w:r>
        <w:rPr>
          <w:rFonts w:hint="eastAsia" w:ascii="仿宋" w:hAnsi="仿宋" w:eastAsia="仿宋" w:cs="仿宋"/>
          <w:color w:val="auto"/>
          <w:sz w:val="28"/>
          <w:szCs w:val="28"/>
          <w:highlight w:val="none"/>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⑪</w:t>
      </w:r>
      <w:r>
        <w:rPr>
          <w:rFonts w:hint="eastAsia" w:ascii="仿宋" w:hAnsi="仿宋" w:eastAsia="仿宋" w:cs="仿宋"/>
          <w:color w:val="auto"/>
          <w:sz w:val="28"/>
          <w:szCs w:val="28"/>
          <w:highlight w:val="none"/>
        </w:rPr>
        <w:t>2021年7月23日与河南大久工程管理有限公司签订监理合同</w:t>
      </w:r>
      <w:r>
        <w:rPr>
          <w:rFonts w:hint="eastAsia" w:ascii="仿宋" w:hAnsi="仿宋" w:eastAsia="仿宋" w:cs="仿宋"/>
          <w:color w:val="auto"/>
          <w:sz w:val="28"/>
          <w:szCs w:val="28"/>
          <w:highlight w:val="none"/>
          <w:lang w:eastAsia="zh-CN"/>
        </w:rPr>
        <w:t>，确定总监理工程师，合同签约金额为</w:t>
      </w:r>
      <w:r>
        <w:rPr>
          <w:rFonts w:hint="eastAsia" w:ascii="仿宋" w:hAnsi="仿宋" w:eastAsia="仿宋" w:cs="仿宋"/>
          <w:color w:val="auto"/>
          <w:sz w:val="28"/>
          <w:szCs w:val="28"/>
          <w:highlight w:val="none"/>
          <w:lang w:val="en-US" w:eastAsia="zh-CN"/>
        </w:rPr>
        <w:t>1.50万元，支付方式为费用随工程进度付款，工程竣工后付清，</w:t>
      </w:r>
      <w:r>
        <w:rPr>
          <w:rFonts w:hint="eastAsia" w:ascii="仿宋" w:hAnsi="仿宋" w:eastAsia="仿宋" w:cs="仿宋"/>
          <w:color w:val="auto"/>
          <w:sz w:val="28"/>
          <w:szCs w:val="28"/>
          <w:highlight w:val="none"/>
          <w:lang w:eastAsia="zh-CN"/>
        </w:rPr>
        <w:t>监理期限为施工阶段、保修阶段及缺陷责任期内监理服务</w:t>
      </w:r>
      <w:r>
        <w:rPr>
          <w:rFonts w:hint="eastAsia" w:ascii="仿宋" w:hAnsi="仿宋" w:eastAsia="仿宋" w:cs="仿宋"/>
          <w:color w:val="auto"/>
          <w:sz w:val="28"/>
          <w:szCs w:val="28"/>
          <w:highlight w:val="none"/>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⑫</w:t>
      </w:r>
      <w:r>
        <w:rPr>
          <w:rFonts w:hint="eastAsia" w:ascii="仿宋" w:hAnsi="仿宋" w:eastAsia="仿宋" w:cs="仿宋"/>
          <w:color w:val="auto"/>
          <w:sz w:val="28"/>
          <w:szCs w:val="28"/>
          <w:highlight w:val="none"/>
        </w:rPr>
        <w:t>2021年7月26日与洛阳建兴市政工程有限公司签订建设工程施工合同</w:t>
      </w:r>
      <w:r>
        <w:rPr>
          <w:rFonts w:hint="eastAsia" w:ascii="仿宋" w:hAnsi="仿宋" w:eastAsia="仿宋" w:cs="仿宋"/>
          <w:color w:val="auto"/>
          <w:sz w:val="28"/>
          <w:szCs w:val="28"/>
          <w:highlight w:val="none"/>
          <w:lang w:eastAsia="zh-CN"/>
        </w:rPr>
        <w:t>，确定项目经理并规定项目经理的责任，按照施工图纸及工程量清单范围内全部内容，对市内窨井盖进行提升改造</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工程地点为洛阳市偃师区，工程立项批准文号为偃师政采磋商（</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0230号，资金来源为财政资金，质量标准为工程质量符合国家质量验收备案标准，签约合同价为172.50万元，其中安全文明施工费为36119.89元。</w:t>
      </w:r>
      <w:r>
        <w:rPr>
          <w:rFonts w:hint="eastAsia" w:ascii="仿宋" w:hAnsi="仿宋" w:eastAsia="仿宋" w:cs="仿宋"/>
          <w:color w:val="auto"/>
          <w:sz w:val="28"/>
          <w:szCs w:val="28"/>
          <w:highlight w:val="none"/>
        </w:rPr>
        <w:t>2021年7月26日工程开工建设</w:t>
      </w:r>
      <w:r>
        <w:rPr>
          <w:rFonts w:hint="eastAsia" w:ascii="仿宋" w:hAnsi="仿宋" w:eastAsia="仿宋" w:cs="仿宋"/>
          <w:color w:val="auto"/>
          <w:sz w:val="28"/>
          <w:szCs w:val="28"/>
          <w:highlight w:val="none"/>
          <w:lang w:eastAsia="zh-CN"/>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⑬</w:t>
      </w:r>
      <w:r>
        <w:rPr>
          <w:rFonts w:hint="eastAsia" w:ascii="仿宋" w:hAnsi="仿宋" w:eastAsia="仿宋" w:cs="仿宋"/>
          <w:color w:val="auto"/>
          <w:sz w:val="28"/>
          <w:szCs w:val="28"/>
          <w:highlight w:val="none"/>
        </w:rPr>
        <w:t>2021年8月4日</w:t>
      </w:r>
      <w:r>
        <w:rPr>
          <w:rFonts w:hint="eastAsia" w:ascii="仿宋" w:hAnsi="仿宋" w:eastAsia="仿宋" w:cs="仿宋"/>
          <w:color w:val="auto"/>
          <w:sz w:val="28"/>
          <w:szCs w:val="28"/>
          <w:highlight w:val="none"/>
          <w:lang w:eastAsia="zh-CN"/>
        </w:rPr>
        <w:t>项目</w:t>
      </w:r>
      <w:r>
        <w:rPr>
          <w:rFonts w:hint="eastAsia" w:ascii="仿宋" w:hAnsi="仿宋" w:eastAsia="仿宋" w:cs="仿宋"/>
          <w:color w:val="auto"/>
          <w:sz w:val="28"/>
          <w:szCs w:val="28"/>
          <w:highlight w:val="none"/>
        </w:rPr>
        <w:t>工程竣工</w:t>
      </w:r>
      <w:r>
        <w:rPr>
          <w:rFonts w:hint="eastAsia" w:ascii="仿宋" w:hAnsi="仿宋" w:eastAsia="仿宋" w:cs="仿宋"/>
          <w:color w:val="auto"/>
          <w:sz w:val="28"/>
          <w:szCs w:val="28"/>
          <w:highlight w:val="none"/>
          <w:lang w:eastAsia="zh-CN"/>
        </w:rPr>
        <w:t>，同日</w:t>
      </w:r>
      <w:r>
        <w:rPr>
          <w:rFonts w:hint="eastAsia" w:ascii="仿宋" w:hAnsi="仿宋" w:eastAsia="仿宋" w:cs="仿宋"/>
          <w:color w:val="auto"/>
          <w:sz w:val="28"/>
          <w:szCs w:val="28"/>
          <w:highlight w:val="none"/>
        </w:rPr>
        <w:t>建设单位、施工单位、监理单位三方</w:t>
      </w:r>
      <w:r>
        <w:rPr>
          <w:rFonts w:hint="eastAsia" w:ascii="仿宋" w:hAnsi="仿宋" w:eastAsia="仿宋" w:cs="仿宋"/>
          <w:color w:val="auto"/>
          <w:sz w:val="28"/>
          <w:szCs w:val="28"/>
          <w:highlight w:val="none"/>
          <w:lang w:eastAsia="zh-CN"/>
        </w:rPr>
        <w:t>成立</w:t>
      </w:r>
      <w:r>
        <w:rPr>
          <w:rFonts w:hint="eastAsia" w:ascii="仿宋" w:hAnsi="仿宋" w:eastAsia="仿宋" w:cs="仿宋"/>
          <w:color w:val="auto"/>
          <w:sz w:val="28"/>
          <w:szCs w:val="28"/>
          <w:highlight w:val="none"/>
        </w:rPr>
        <w:t>评价</w:t>
      </w:r>
      <w:r>
        <w:rPr>
          <w:rFonts w:hint="eastAsia" w:ascii="仿宋" w:hAnsi="仿宋" w:eastAsia="仿宋" w:cs="仿宋"/>
          <w:color w:val="auto"/>
          <w:sz w:val="28"/>
          <w:szCs w:val="28"/>
          <w:highlight w:val="none"/>
          <w:lang w:eastAsia="zh-CN"/>
        </w:rPr>
        <w:t>小</w:t>
      </w:r>
      <w:r>
        <w:rPr>
          <w:rFonts w:hint="eastAsia" w:ascii="仿宋" w:hAnsi="仿宋" w:eastAsia="仿宋" w:cs="仿宋"/>
          <w:color w:val="auto"/>
          <w:sz w:val="28"/>
          <w:szCs w:val="28"/>
          <w:highlight w:val="none"/>
        </w:rPr>
        <w:t>组参</w:t>
      </w:r>
      <w:r>
        <w:rPr>
          <w:rFonts w:hint="eastAsia" w:ascii="仿宋" w:hAnsi="仿宋" w:eastAsia="仿宋" w:cs="仿宋"/>
          <w:color w:val="auto"/>
          <w:sz w:val="28"/>
          <w:szCs w:val="28"/>
          <w:highlight w:val="none"/>
          <w:lang w:eastAsia="zh-CN"/>
        </w:rPr>
        <w:t>与</w:t>
      </w:r>
      <w:r>
        <w:rPr>
          <w:rFonts w:hint="eastAsia" w:ascii="仿宋" w:hAnsi="仿宋" w:eastAsia="仿宋" w:cs="仿宋"/>
          <w:color w:val="auto"/>
          <w:sz w:val="28"/>
          <w:szCs w:val="28"/>
          <w:highlight w:val="none"/>
        </w:rPr>
        <w:t>竣工验收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该工程</w:t>
      </w:r>
      <w:r>
        <w:rPr>
          <w:rFonts w:hint="eastAsia" w:ascii="仿宋" w:hAnsi="仿宋" w:eastAsia="仿宋" w:cs="仿宋"/>
          <w:color w:val="auto"/>
          <w:sz w:val="28"/>
          <w:szCs w:val="28"/>
          <w:highlight w:val="none"/>
          <w:lang w:eastAsia="zh-CN"/>
        </w:rPr>
        <w:t>经</w:t>
      </w:r>
      <w:r>
        <w:rPr>
          <w:rFonts w:hint="eastAsia" w:ascii="仿宋" w:hAnsi="仿宋" w:eastAsia="仿宋" w:cs="仿宋"/>
          <w:color w:val="auto"/>
          <w:sz w:val="28"/>
          <w:szCs w:val="28"/>
          <w:highlight w:val="none"/>
        </w:rPr>
        <w:t>验收</w:t>
      </w:r>
      <w:r>
        <w:rPr>
          <w:rFonts w:hint="eastAsia" w:ascii="仿宋" w:hAnsi="仿宋" w:eastAsia="仿宋" w:cs="仿宋"/>
          <w:color w:val="auto"/>
          <w:sz w:val="28"/>
          <w:szCs w:val="28"/>
          <w:highlight w:val="none"/>
          <w:lang w:eastAsia="zh-CN"/>
        </w:rPr>
        <w:t>质量</w:t>
      </w:r>
      <w:r>
        <w:rPr>
          <w:rFonts w:hint="eastAsia" w:ascii="仿宋" w:hAnsi="仿宋" w:eastAsia="仿宋" w:cs="仿宋"/>
          <w:color w:val="auto"/>
          <w:sz w:val="28"/>
          <w:szCs w:val="28"/>
          <w:highlight w:val="none"/>
        </w:rPr>
        <w:t>合格</w:t>
      </w:r>
      <w:r>
        <w:rPr>
          <w:rFonts w:hint="eastAsia" w:ascii="仿宋" w:hAnsi="仿宋" w:eastAsia="仿宋" w:cs="仿宋"/>
          <w:color w:val="auto"/>
          <w:sz w:val="28"/>
          <w:szCs w:val="28"/>
          <w:highlight w:val="none"/>
          <w:lang w:eastAsia="zh-CN"/>
        </w:rPr>
        <w:t>，验收范围及数量符合施工图纸及工程量清单范围内的全部内容，三方</w:t>
      </w:r>
      <w:r>
        <w:rPr>
          <w:rFonts w:hint="eastAsia" w:ascii="仿宋" w:hAnsi="仿宋" w:eastAsia="仿宋" w:cs="仿宋"/>
          <w:color w:val="auto"/>
          <w:sz w:val="28"/>
          <w:szCs w:val="28"/>
          <w:highlight w:val="none"/>
        </w:rPr>
        <w:t>签认竣工验收证书</w:t>
      </w:r>
      <w:r>
        <w:rPr>
          <w:rFonts w:hint="eastAsia" w:ascii="仿宋" w:hAnsi="仿宋" w:eastAsia="仿宋" w:cs="仿宋"/>
          <w:color w:val="auto"/>
          <w:sz w:val="28"/>
          <w:szCs w:val="28"/>
          <w:highlight w:val="none"/>
          <w:lang w:eastAsia="zh-CN"/>
        </w:rPr>
        <w:t>。</w:t>
      </w:r>
    </w:p>
    <w:p>
      <w:pPr>
        <w:pStyle w:val="7"/>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项目完成情况：</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截止2021年8月4日，本项目工程完成人行道更换井盖135座，沥青砼车行道更换井盖378座，砼路面车行道更换井盖117座，沥青路面更换雨水篦子185座，砼路面更换雨水篦子56座，安装防坠网630套。</w:t>
      </w:r>
      <w:r>
        <w:rPr>
          <w:rFonts w:hint="eastAsia" w:ascii="仿宋" w:hAnsi="仿宋" w:eastAsia="仿宋" w:cs="仿宋"/>
          <w:color w:val="auto"/>
          <w:sz w:val="28"/>
          <w:szCs w:val="28"/>
          <w:highlight w:val="none"/>
        </w:rPr>
        <w:t>已完成2021年窨井盖专项整治任务，有效消除安全隐患，提升城市道路窨井盖设施管理水平，提升道路的整体美观。</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drawing>
          <wp:anchor distT="0" distB="0" distL="114300" distR="114300" simplePos="0" relativeHeight="251660288" behindDoc="0" locked="0" layoutInCell="1" allowOverlap="1">
            <wp:simplePos x="0" y="0"/>
            <wp:positionH relativeFrom="column">
              <wp:posOffset>184150</wp:posOffset>
            </wp:positionH>
            <wp:positionV relativeFrom="paragraph">
              <wp:posOffset>3235325</wp:posOffset>
            </wp:positionV>
            <wp:extent cx="4679950" cy="3060065"/>
            <wp:effectExtent l="0" t="0" r="6350" b="6985"/>
            <wp:wrapTopAndBottom/>
            <wp:docPr id="7" name="图片 7" descr="8e88409dfa1225e4af1fdbc2ccd6955"/>
            <wp:cNvGraphicFramePr/>
            <a:graphic xmlns:a="http://schemas.openxmlformats.org/drawingml/2006/main">
              <a:graphicData uri="http://schemas.openxmlformats.org/drawingml/2006/picture">
                <pic:pic xmlns:pic="http://schemas.openxmlformats.org/drawingml/2006/picture">
                  <pic:nvPicPr>
                    <pic:cNvPr id="7" name="图片 7" descr="8e88409dfa1225e4af1fdbc2ccd6955"/>
                    <pic:cNvPicPr/>
                  </pic:nvPicPr>
                  <pic:blipFill>
                    <a:blip r:embed="rId6"/>
                    <a:stretch>
                      <a:fillRect/>
                    </a:stretch>
                  </pic:blipFill>
                  <pic:spPr>
                    <a:xfrm>
                      <a:off x="0" y="0"/>
                      <a:ext cx="4679950" cy="3060065"/>
                    </a:xfrm>
                    <a:prstGeom prst="rect">
                      <a:avLst/>
                    </a:prstGeom>
                  </pic:spPr>
                </pic:pic>
              </a:graphicData>
            </a:graphic>
          </wp:anchor>
        </w:drawing>
      </w:r>
      <w:r>
        <w:rPr>
          <w:rFonts w:hint="eastAsia" w:ascii="仿宋" w:hAnsi="仿宋" w:eastAsia="仿宋" w:cs="仿宋"/>
          <w:b w:val="0"/>
          <w:bCs w:val="0"/>
          <w:color w:val="auto"/>
          <w:sz w:val="28"/>
          <w:szCs w:val="28"/>
          <w:highlight w:val="none"/>
          <w:lang w:val="en-US" w:eastAsia="zh-CN"/>
        </w:rPr>
        <w:drawing>
          <wp:anchor distT="0" distB="0" distL="114935" distR="114935" simplePos="0" relativeHeight="251659264" behindDoc="0" locked="0" layoutInCell="1" allowOverlap="1">
            <wp:simplePos x="0" y="0"/>
            <wp:positionH relativeFrom="column">
              <wp:posOffset>203200</wp:posOffset>
            </wp:positionH>
            <wp:positionV relativeFrom="paragraph">
              <wp:posOffset>54610</wp:posOffset>
            </wp:positionV>
            <wp:extent cx="4679950" cy="3060065"/>
            <wp:effectExtent l="0" t="0" r="6350" b="6985"/>
            <wp:wrapTopAndBottom/>
            <wp:docPr id="4" name="图片 4" descr="7fd182984dd09abe2c96fb171269b68"/>
            <wp:cNvGraphicFramePr/>
            <a:graphic xmlns:a="http://schemas.openxmlformats.org/drawingml/2006/main">
              <a:graphicData uri="http://schemas.openxmlformats.org/drawingml/2006/picture">
                <pic:pic xmlns:pic="http://schemas.openxmlformats.org/drawingml/2006/picture">
                  <pic:nvPicPr>
                    <pic:cNvPr id="4" name="图片 4" descr="7fd182984dd09abe2c96fb171269b68"/>
                    <pic:cNvPicPr/>
                  </pic:nvPicPr>
                  <pic:blipFill>
                    <a:blip r:embed="rId7"/>
                    <a:stretch>
                      <a:fillRect/>
                    </a:stretch>
                  </pic:blipFill>
                  <pic:spPr>
                    <a:xfrm>
                      <a:off x="0" y="0"/>
                      <a:ext cx="4679950" cy="3060065"/>
                    </a:xfrm>
                    <a:prstGeom prst="rect">
                      <a:avLst/>
                    </a:prstGeom>
                  </pic:spPr>
                </pic:pic>
              </a:graphicData>
            </a:graphic>
          </wp:anchor>
        </w:drawing>
      </w:r>
    </w:p>
    <w:p>
      <w:pPr>
        <w:pStyle w:val="7"/>
        <w:keepNext w:val="0"/>
        <w:keepLines w:val="0"/>
        <w:pageBreakBefore w:val="0"/>
        <w:widowControl/>
        <w:numPr>
          <w:ilvl w:val="0"/>
          <w:numId w:val="0"/>
        </w:numPr>
        <w:kinsoku/>
        <w:wordWrap/>
        <w:overflowPunct/>
        <w:topLinePunct w:val="0"/>
        <w:autoSpaceDE/>
        <w:autoSpaceDN/>
        <w:bidi w:val="0"/>
        <w:adjustRightInd w:val="0"/>
        <w:snapToGrid w:val="0"/>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4、</w:t>
      </w:r>
      <w:r>
        <w:rPr>
          <w:rFonts w:hint="eastAsia" w:ascii="仿宋" w:hAnsi="仿宋" w:eastAsia="仿宋" w:cs="仿宋"/>
          <w:b w:val="0"/>
          <w:bCs w:val="0"/>
          <w:color w:val="auto"/>
          <w:sz w:val="28"/>
          <w:szCs w:val="28"/>
          <w:highlight w:val="none"/>
        </w:rPr>
        <w:t>资金投入和使用情况</w:t>
      </w:r>
    </w:p>
    <w:p>
      <w:pPr>
        <w:pStyle w:val="7"/>
        <w:keepNext w:val="0"/>
        <w:keepLines w:val="0"/>
        <w:pageBreakBefore w:val="0"/>
        <w:widowControl/>
        <w:kinsoku/>
        <w:wordWrap/>
        <w:overflowPunct/>
        <w:topLinePunct w:val="0"/>
        <w:autoSpaceDE/>
        <w:autoSpaceDN/>
        <w:bidi w:val="0"/>
        <w:adjustRightInd w:val="0"/>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本项目资金来源为财政资金</w:t>
      </w:r>
      <w:r>
        <w:rPr>
          <w:rFonts w:hint="eastAsia" w:ascii="仿宋" w:hAnsi="仿宋" w:eastAsia="仿宋" w:cs="仿宋"/>
          <w:color w:val="auto"/>
          <w:sz w:val="28"/>
          <w:szCs w:val="28"/>
          <w:highlight w:val="none"/>
          <w:lang w:eastAsia="zh-CN"/>
        </w:rPr>
        <w:t>，签约合同</w:t>
      </w:r>
      <w:r>
        <w:rPr>
          <w:rFonts w:hint="eastAsia" w:ascii="仿宋" w:hAnsi="仿宋" w:eastAsia="仿宋" w:cs="仿宋"/>
          <w:color w:val="auto"/>
          <w:sz w:val="28"/>
          <w:szCs w:val="28"/>
          <w:highlight w:val="none"/>
        </w:rPr>
        <w:t>金额172.50万元。截止202</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28</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eastAsia="zh-CN"/>
        </w:rPr>
        <w:t>偃师</w:t>
      </w:r>
      <w:r>
        <w:rPr>
          <w:rFonts w:hint="eastAsia" w:ascii="仿宋" w:hAnsi="仿宋" w:eastAsia="仿宋" w:cs="仿宋"/>
          <w:color w:val="auto"/>
          <w:sz w:val="28"/>
          <w:szCs w:val="28"/>
          <w:highlight w:val="none"/>
        </w:rPr>
        <w:t>区财政拨付资金160</w:t>
      </w:r>
      <w:r>
        <w:rPr>
          <w:rFonts w:hint="eastAsia" w:ascii="仿宋" w:hAnsi="仿宋" w:eastAsia="仿宋" w:cs="仿宋"/>
          <w:color w:val="auto"/>
          <w:sz w:val="28"/>
          <w:szCs w:val="28"/>
          <w:highlight w:val="none"/>
          <w:lang w:val="en-US" w:eastAsia="zh-CN"/>
        </w:rPr>
        <w:t>.00</w:t>
      </w:r>
      <w:r>
        <w:rPr>
          <w:rFonts w:hint="eastAsia" w:ascii="仿宋" w:hAnsi="仿宋" w:eastAsia="仿宋" w:cs="仿宋"/>
          <w:color w:val="auto"/>
          <w:sz w:val="28"/>
          <w:szCs w:val="28"/>
          <w:highlight w:val="none"/>
        </w:rPr>
        <w:t>万元</w:t>
      </w:r>
      <w:r>
        <w:rPr>
          <w:rFonts w:hint="eastAsia" w:ascii="仿宋" w:hAnsi="仿宋" w:eastAsia="仿宋" w:cs="仿宋"/>
          <w:color w:val="auto"/>
          <w:sz w:val="28"/>
          <w:szCs w:val="28"/>
          <w:highlight w:val="none"/>
          <w:lang w:eastAsia="zh-CN"/>
        </w:rPr>
        <w:t>，实际</w:t>
      </w:r>
      <w:r>
        <w:rPr>
          <w:rFonts w:hint="eastAsia" w:ascii="仿宋" w:hAnsi="仿宋" w:eastAsia="仿宋" w:cs="仿宋"/>
          <w:color w:val="auto"/>
          <w:sz w:val="28"/>
          <w:szCs w:val="28"/>
          <w:highlight w:val="none"/>
        </w:rPr>
        <w:t>已支付</w:t>
      </w:r>
      <w:r>
        <w:rPr>
          <w:rFonts w:hint="eastAsia" w:ascii="仿宋" w:hAnsi="仿宋" w:eastAsia="仿宋" w:cs="仿宋"/>
          <w:color w:val="auto"/>
          <w:sz w:val="28"/>
          <w:szCs w:val="28"/>
          <w:highlight w:val="none"/>
          <w:lang w:eastAsia="zh-CN"/>
        </w:rPr>
        <w:t>给施工单位资金</w:t>
      </w:r>
      <w:r>
        <w:rPr>
          <w:rFonts w:hint="eastAsia" w:ascii="仿宋" w:hAnsi="仿宋" w:eastAsia="仿宋" w:cs="仿宋"/>
          <w:color w:val="auto"/>
          <w:sz w:val="28"/>
          <w:szCs w:val="28"/>
          <w:highlight w:val="none"/>
          <w:lang w:val="en-US" w:eastAsia="zh-CN"/>
        </w:rPr>
        <w:t>160.00万</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lang w:eastAsia="zh-CN"/>
        </w:rPr>
        <w:t>。</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（二）项目绩效目标</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1、项目</w:t>
      </w:r>
      <w:r>
        <w:rPr>
          <w:rFonts w:hint="eastAsia" w:ascii="仿宋" w:hAnsi="仿宋" w:eastAsia="仿宋" w:cs="仿宋"/>
          <w:b w:val="0"/>
          <w:bCs w:val="0"/>
          <w:color w:val="auto"/>
          <w:sz w:val="28"/>
          <w:szCs w:val="28"/>
          <w:highlight w:val="none"/>
          <w:lang w:eastAsia="zh-CN"/>
        </w:rPr>
        <w:t>阶段性</w:t>
      </w:r>
      <w:r>
        <w:rPr>
          <w:rFonts w:hint="eastAsia" w:ascii="仿宋" w:hAnsi="仿宋" w:eastAsia="仿宋" w:cs="仿宋"/>
          <w:b w:val="0"/>
          <w:bCs w:val="0"/>
          <w:color w:val="auto"/>
          <w:sz w:val="28"/>
          <w:szCs w:val="28"/>
          <w:highlight w:val="none"/>
        </w:rPr>
        <w:t>目标</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按照《河南省城市公共区域窨井盖专项整治三年行动方案（2021-2023年）》（豫城建联办</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2021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1号）文件要求，</w:t>
      </w:r>
      <w:r>
        <w:rPr>
          <w:rFonts w:hint="eastAsia" w:ascii="仿宋" w:hAnsi="仿宋" w:eastAsia="仿宋" w:cs="仿宋"/>
          <w:color w:val="auto"/>
          <w:sz w:val="28"/>
          <w:szCs w:val="28"/>
          <w:highlight w:val="none"/>
          <w:lang w:eastAsia="zh-CN"/>
        </w:rPr>
        <w:t>在三年内</w:t>
      </w:r>
      <w:r>
        <w:rPr>
          <w:rFonts w:hint="eastAsia" w:ascii="仿宋" w:hAnsi="仿宋" w:eastAsia="仿宋" w:cs="仿宋"/>
          <w:color w:val="auto"/>
          <w:sz w:val="28"/>
          <w:szCs w:val="28"/>
          <w:highlight w:val="none"/>
        </w:rPr>
        <w:t>完成偃师区公共区域窨井盖专项整治，消除安全隐患，提升城市道路窨井盖设施管理水平。</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2、项目</w:t>
      </w:r>
      <w:r>
        <w:rPr>
          <w:rFonts w:hint="eastAsia" w:ascii="仿宋" w:hAnsi="仿宋" w:eastAsia="仿宋" w:cs="仿宋"/>
          <w:color w:val="auto"/>
          <w:sz w:val="28"/>
          <w:szCs w:val="28"/>
          <w:highlight w:val="none"/>
          <w:lang w:eastAsia="zh-CN"/>
        </w:rPr>
        <w:t>总体</w:t>
      </w:r>
      <w:r>
        <w:rPr>
          <w:rFonts w:hint="eastAsia" w:ascii="仿宋" w:hAnsi="仿宋" w:eastAsia="仿宋" w:cs="仿宋"/>
          <w:color w:val="auto"/>
          <w:sz w:val="28"/>
          <w:szCs w:val="28"/>
          <w:highlight w:val="none"/>
        </w:rPr>
        <w:t>目标</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84" w:firstLineChars="200"/>
        <w:jc w:val="left"/>
        <w:textAlignment w:val="auto"/>
        <w:rPr>
          <w:rFonts w:hint="eastAsia" w:ascii="仿宋" w:hAnsi="仿宋" w:eastAsia="仿宋" w:cs="仿宋"/>
          <w:color w:val="auto"/>
          <w:spacing w:val="6"/>
          <w:kern w:val="2"/>
          <w:sz w:val="28"/>
          <w:szCs w:val="28"/>
          <w:highlight w:val="none"/>
          <w:lang w:eastAsia="zh-CN"/>
        </w:rPr>
      </w:pPr>
      <w:r>
        <w:rPr>
          <w:rFonts w:hint="eastAsia" w:ascii="仿宋" w:hAnsi="仿宋" w:eastAsia="仿宋" w:cs="仿宋"/>
          <w:color w:val="auto"/>
          <w:spacing w:val="6"/>
          <w:kern w:val="2"/>
          <w:sz w:val="28"/>
          <w:szCs w:val="28"/>
          <w:highlight w:val="none"/>
          <w:lang w:eastAsia="zh-CN"/>
        </w:rPr>
        <w:t>通过偃师区2021年城市公共区域窨井设施治理提升工程，加强偃师区城市公共区域窨井盖的监管和维护，完善窨井盖长效管理机制，提升窨井设施安全运行水平，保障人民群众生命财产安全和城市有序运行，促进城市治理能力和管理水平的全面提升。</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2" w:firstLineChars="20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二、绩效评价工作开展情况</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（一）绩效评价目的、对象和范围</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1、绩效评价目的</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本次绩效评价目的是为了全面了解偃师区2021年城市公共区域窨井设施治理提升工程的资金使用效率和效果，项目管理过程是否规范、实施的项目是否达到预期目的。同时，通过绩效评价总结项目成绩和存在的问题，为今后提高相关管理提供借鉴</w:t>
      </w:r>
      <w:r>
        <w:rPr>
          <w:rFonts w:hint="eastAsia" w:ascii="仿宋" w:hAnsi="仿宋" w:eastAsia="仿宋" w:cs="仿宋"/>
          <w:color w:val="auto"/>
          <w:sz w:val="28"/>
          <w:szCs w:val="28"/>
          <w:highlight w:val="none"/>
          <w:lang w:eastAsia="zh-CN"/>
        </w:rPr>
        <w:t>。</w:t>
      </w:r>
    </w:p>
    <w:p>
      <w:pPr>
        <w:pStyle w:val="7"/>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绩效评价对象</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本次评价对象为：偃师区2021年城市公共区域窨井设施治理提升工程。</w:t>
      </w:r>
    </w:p>
    <w:p>
      <w:pPr>
        <w:pStyle w:val="7"/>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绩效评价范围</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本次绩效评价范围为</w:t>
      </w:r>
      <w:r>
        <w:rPr>
          <w:rFonts w:hint="eastAsia" w:ascii="仿宋" w:hAnsi="仿宋" w:eastAsia="仿宋" w:cs="仿宋"/>
          <w:color w:val="auto"/>
          <w:sz w:val="28"/>
          <w:szCs w:val="28"/>
          <w:highlight w:val="none"/>
          <w:lang w:eastAsia="zh-CN"/>
        </w:rPr>
        <w:t>：偃师区2021年城市公共区域窨井设施治理提升工程</w:t>
      </w:r>
      <w:r>
        <w:rPr>
          <w:rFonts w:hint="eastAsia" w:ascii="仿宋" w:hAnsi="仿宋" w:eastAsia="仿宋" w:cs="仿宋"/>
          <w:color w:val="auto"/>
          <w:sz w:val="28"/>
          <w:szCs w:val="28"/>
          <w:highlight w:val="none"/>
        </w:rPr>
        <w:t>2021年度的项目决策情况、实施过程情况、项目产出情况、项目专项资金使用情况及项目效益情况。</w:t>
      </w:r>
    </w:p>
    <w:p>
      <w:pPr>
        <w:pStyle w:val="7"/>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560" w:lineRule="exact"/>
        <w:ind w:left="630" w:leftChars="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绩效评价原则、评价指标体系和评价方法</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本次绩效评价秉承科学规范、公平公正、绩效相关等原则，按照从预算编制、过程管理到产出、效果的绩效逻辑路径，按照财政部《项目支出绩效评价管理办法》（财预</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2020</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10号）和《洛阳市财政局</w:t>
      </w:r>
      <w:r>
        <w:rPr>
          <w:rFonts w:hint="eastAsia" w:ascii="仿宋" w:hAnsi="仿宋" w:eastAsia="仿宋" w:cs="仿宋"/>
          <w:b w:val="0"/>
          <w:bCs w:val="0"/>
          <w:color w:val="auto"/>
          <w:sz w:val="28"/>
          <w:szCs w:val="28"/>
          <w:highlight w:val="none"/>
          <w:lang w:val="en-US" w:eastAsia="zh-CN"/>
        </w:rPr>
        <w:t>&lt;</w:t>
      </w:r>
      <w:r>
        <w:rPr>
          <w:rFonts w:hint="eastAsia" w:ascii="仿宋" w:hAnsi="仿宋" w:eastAsia="仿宋" w:cs="仿宋"/>
          <w:b w:val="0"/>
          <w:bCs w:val="0"/>
          <w:color w:val="auto"/>
          <w:sz w:val="28"/>
          <w:szCs w:val="28"/>
          <w:highlight w:val="none"/>
        </w:rPr>
        <w:t>关于印发洛阳市市级部门预算绩效目标管理办法</w:t>
      </w:r>
      <w:r>
        <w:rPr>
          <w:rFonts w:hint="eastAsia" w:ascii="仿宋" w:hAnsi="仿宋" w:eastAsia="仿宋" w:cs="仿宋"/>
          <w:b w:val="0"/>
          <w:bCs w:val="0"/>
          <w:color w:val="auto"/>
          <w:sz w:val="28"/>
          <w:szCs w:val="28"/>
          <w:highlight w:val="none"/>
          <w:lang w:val="en-US" w:eastAsia="zh-CN"/>
        </w:rPr>
        <w:t>&gt;</w:t>
      </w:r>
      <w:r>
        <w:rPr>
          <w:rFonts w:hint="eastAsia" w:ascii="仿宋" w:hAnsi="仿宋" w:eastAsia="仿宋" w:cs="仿宋"/>
          <w:b w:val="0"/>
          <w:bCs w:val="0"/>
          <w:color w:val="auto"/>
          <w:sz w:val="28"/>
          <w:szCs w:val="28"/>
          <w:highlight w:val="none"/>
        </w:rPr>
        <w:t>等5个办法的通知》（洛财效</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rPr>
        <w:t>2020</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rPr>
        <w:t>3号）等文件要求结合本项目预算与执行情况，运用定量和定性分析相结合的方法，进行客观公正的评价。</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630" w:leftChars="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1、绩效评价原则</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绩效评价应当遵循以下基本原则：</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（1）科学公正原则：运用科学合理的方法，按照规范的程序，以定量分析为主，客观、公正反映项目绩效。</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（2）相关性原则：绩效评价指标与绩效目标有直接的联系，能够恰当反映目标的实现程度。</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（3）系统性原则：将定量指标与定性指标相结合，系统反映财政支出所产生的社会效益、经济效益、环境效益等。</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（4）经济性原则：通俗易懂、简便易行，数据的获得应当考虑现实条件和可操作性，符合成本效益原则。</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2、绩效评价方法</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本次绩效评价采用的方法有指标评价法、社会调查法、因素分析法等。绩效评价小组通过启动座谈会、到项目实施地现场调研、访谈相关人员、发放调查问卷、查看相关资料、听取汇报、内部讨论等形式开展项目评价工作。</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3、绩效评价指标体系</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指标体系为评分所用，综合评价表中各指标的权重由本项目绩效评价小组根据绩效评价原理和评价需求，在调研基础上依据指标的重要性制定形成。</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绩效指标的设定分解为项目决策、项目过程、项目产出和项目效益等4个一级指标，项目立项、绩效目标、资金投入、组织实施、资金管理、产出数量、产出质量、产出时效、产出成本、经济效益、社会效益、生态效益、可持续影响、满意度等1</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个二级指标；立项依据充分性、立项程序规范性、绩效目标合理性、绩效</w:t>
      </w:r>
      <w:r>
        <w:rPr>
          <w:rFonts w:hint="eastAsia" w:ascii="仿宋" w:hAnsi="仿宋" w:eastAsia="仿宋" w:cs="仿宋"/>
          <w:color w:val="auto"/>
          <w:sz w:val="28"/>
          <w:szCs w:val="28"/>
          <w:highlight w:val="none"/>
          <w:lang w:eastAsia="zh-CN"/>
        </w:rPr>
        <w:t>指</w:t>
      </w:r>
      <w:r>
        <w:rPr>
          <w:rFonts w:hint="eastAsia" w:ascii="仿宋" w:hAnsi="仿宋" w:eastAsia="仿宋" w:cs="仿宋"/>
          <w:color w:val="auto"/>
          <w:sz w:val="28"/>
          <w:szCs w:val="28"/>
          <w:highlight w:val="none"/>
        </w:rPr>
        <w:t>标明确性、预算编制科学性、资金分配合理性</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管理制度健全性、制度执行</w:t>
      </w:r>
      <w:r>
        <w:rPr>
          <w:rFonts w:hint="eastAsia" w:ascii="仿宋" w:hAnsi="仿宋" w:eastAsia="仿宋" w:cs="仿宋"/>
          <w:color w:val="auto"/>
          <w:sz w:val="28"/>
          <w:szCs w:val="28"/>
          <w:highlight w:val="none"/>
          <w:lang w:eastAsia="zh-CN"/>
        </w:rPr>
        <w:t>有效</w:t>
      </w:r>
      <w:r>
        <w:rPr>
          <w:rFonts w:hint="eastAsia" w:ascii="仿宋" w:hAnsi="仿宋" w:eastAsia="仿宋" w:cs="仿宋"/>
          <w:color w:val="auto"/>
          <w:sz w:val="28"/>
          <w:szCs w:val="28"/>
          <w:highlight w:val="none"/>
        </w:rPr>
        <w:t>性、资金到位率、预算执行率、资金使用合规性、</w:t>
      </w:r>
      <w:r>
        <w:rPr>
          <w:rFonts w:hint="eastAsia" w:ascii="仿宋" w:hAnsi="仿宋" w:eastAsia="仿宋" w:cs="仿宋"/>
          <w:color w:val="auto"/>
          <w:sz w:val="28"/>
          <w:szCs w:val="28"/>
          <w:highlight w:val="none"/>
          <w:lang w:eastAsia="zh-CN"/>
        </w:rPr>
        <w:t>实际完成率</w:t>
      </w:r>
      <w:r>
        <w:rPr>
          <w:rFonts w:hint="eastAsia" w:ascii="仿宋" w:hAnsi="仿宋" w:eastAsia="仿宋" w:cs="仿宋"/>
          <w:color w:val="auto"/>
          <w:sz w:val="28"/>
          <w:szCs w:val="28"/>
          <w:highlight w:val="none"/>
        </w:rPr>
        <w:t>、质量达标率、完成及时性、成本节约率、市政设施质量、城市居住环境、城市生态环境、投资环境、</w:t>
      </w:r>
      <w:r>
        <w:rPr>
          <w:rFonts w:hint="eastAsia" w:ascii="仿宋" w:hAnsi="仿宋" w:eastAsia="仿宋" w:cs="仿宋"/>
          <w:color w:val="auto"/>
          <w:sz w:val="28"/>
          <w:szCs w:val="28"/>
          <w:highlight w:val="none"/>
          <w:lang w:eastAsia="zh-CN"/>
        </w:rPr>
        <w:t>群众</w:t>
      </w:r>
      <w:r>
        <w:rPr>
          <w:rFonts w:hint="eastAsia" w:ascii="仿宋" w:hAnsi="仿宋" w:eastAsia="仿宋" w:cs="仿宋"/>
          <w:color w:val="auto"/>
          <w:sz w:val="28"/>
          <w:szCs w:val="28"/>
          <w:highlight w:val="none"/>
        </w:rPr>
        <w:t>满意度等2</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rPr>
        <w:t>个三级指标。指标设定贯穿本项目立项、实施全过程。指标考核90分以上为“优”，80-89分的为“良”，60-79分的为“中”，59分以下的为“差”。</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（三）绩效评价工作过程</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1、前期准备</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202</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12</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lang w:val="en-US" w:eastAsia="zh-CN"/>
        </w:rPr>
        <w:t>15</w:t>
      </w:r>
      <w:r>
        <w:rPr>
          <w:rFonts w:hint="eastAsia" w:ascii="仿宋" w:hAnsi="仿宋" w:eastAsia="仿宋" w:cs="仿宋"/>
          <w:b w:val="0"/>
          <w:bCs w:val="0"/>
          <w:color w:val="auto"/>
          <w:sz w:val="28"/>
          <w:szCs w:val="28"/>
          <w:highlight w:val="none"/>
        </w:rPr>
        <w:t>日</w:t>
      </w:r>
      <w:r>
        <w:rPr>
          <w:rFonts w:hint="eastAsia" w:ascii="仿宋" w:hAnsi="仿宋" w:eastAsia="仿宋" w:cs="仿宋"/>
          <w:b w:val="0"/>
          <w:bCs w:val="0"/>
          <w:color w:val="auto"/>
          <w:sz w:val="28"/>
          <w:szCs w:val="28"/>
          <w:highlight w:val="none"/>
        </w:rPr>
        <w:t>，由洛阳市偃师区财政局牵头，组织项目实施单位相关人员及负责本次绩效评价小组召开绩效评价专项工作布置会议，明确评价目的。绩效评价小组听取项目汇报，内部明确工作职责，了解相关政策和要求，联系相关部门和单位，确定实施时间。</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2、现场评价</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202</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rPr>
        <w:t>2月</w:t>
      </w:r>
      <w:r>
        <w:rPr>
          <w:rFonts w:hint="eastAsia" w:ascii="仿宋" w:hAnsi="仿宋" w:eastAsia="仿宋" w:cs="仿宋"/>
          <w:b w:val="0"/>
          <w:bCs w:val="0"/>
          <w:color w:val="auto"/>
          <w:sz w:val="28"/>
          <w:szCs w:val="28"/>
          <w:highlight w:val="none"/>
          <w:lang w:val="en-US" w:eastAsia="zh-CN"/>
        </w:rPr>
        <w:t>16</w:t>
      </w:r>
      <w:r>
        <w:rPr>
          <w:rFonts w:hint="eastAsia" w:ascii="仿宋" w:hAnsi="仿宋" w:eastAsia="仿宋" w:cs="仿宋"/>
          <w:b w:val="0"/>
          <w:bCs w:val="0"/>
          <w:color w:val="auto"/>
          <w:sz w:val="28"/>
          <w:szCs w:val="28"/>
          <w:highlight w:val="none"/>
        </w:rPr>
        <w:t>日至202</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rPr>
        <w:t>2月</w:t>
      </w:r>
      <w:r>
        <w:rPr>
          <w:rFonts w:hint="eastAsia" w:ascii="仿宋" w:hAnsi="仿宋" w:eastAsia="仿宋" w:cs="仿宋"/>
          <w:b w:val="0"/>
          <w:bCs w:val="0"/>
          <w:color w:val="auto"/>
          <w:sz w:val="28"/>
          <w:szCs w:val="28"/>
          <w:highlight w:val="none"/>
          <w:lang w:val="en-US" w:eastAsia="zh-CN"/>
        </w:rPr>
        <w:t>25</w:t>
      </w:r>
      <w:r>
        <w:rPr>
          <w:rFonts w:hint="eastAsia" w:ascii="仿宋" w:hAnsi="仿宋" w:eastAsia="仿宋" w:cs="仿宋"/>
          <w:b w:val="0"/>
          <w:bCs w:val="0"/>
          <w:color w:val="auto"/>
          <w:sz w:val="28"/>
          <w:szCs w:val="28"/>
          <w:highlight w:val="none"/>
        </w:rPr>
        <w:t>日</w:t>
      </w:r>
      <w:r>
        <w:rPr>
          <w:rFonts w:hint="eastAsia" w:ascii="仿宋" w:hAnsi="仿宋" w:eastAsia="仿宋" w:cs="仿宋"/>
          <w:b w:val="0"/>
          <w:bCs w:val="0"/>
          <w:color w:val="auto"/>
          <w:sz w:val="28"/>
          <w:szCs w:val="28"/>
          <w:highlight w:val="none"/>
        </w:rPr>
        <w:t>，绩效评价小组对项目的开展情况进行调研，进一步了解项目实施和开展情况。</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一是查阅资料、访谈沟通。绩效评价小组通过审阅初步收集的项目资料，项目实施单位的自评报告，进行案头资料分析，后期与项目实施单位持续沟通，进一步了解项目情况、补充收集资料。</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二是现场调查、访谈和发放调查问卷。绩效评价小组预约项目负责单位及检测机构相关人员,详细了解项目检测实施情况，在评价报告日前与负责单位管理人员保持联系，实时了解项目有关情况。通过发放调查问卷，对项目实施的专项资金及使用效果进行客观评价，了解项目的群众满意度情况。</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3、撰写评价报告</w:t>
      </w:r>
    </w:p>
    <w:p>
      <w:pPr>
        <w:keepNext w:val="0"/>
        <w:keepLines w:val="0"/>
        <w:pageBreakBefore w:val="0"/>
        <w:kinsoku/>
        <w:wordWrap/>
        <w:overflowPunct/>
        <w:topLinePunct w:val="0"/>
        <w:autoSpaceDE/>
        <w:autoSpaceDN/>
        <w:bidi w:val="0"/>
        <w:snapToGrid w:val="0"/>
        <w:spacing w:line="560" w:lineRule="exact"/>
        <w:ind w:firstLine="560" w:firstLineChars="200"/>
        <w:outlineLvl w:val="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202</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rPr>
        <w:t>2月</w:t>
      </w:r>
      <w:r>
        <w:rPr>
          <w:rFonts w:hint="eastAsia" w:ascii="仿宋" w:hAnsi="仿宋" w:eastAsia="仿宋" w:cs="仿宋"/>
          <w:b w:val="0"/>
          <w:bCs w:val="0"/>
          <w:color w:val="auto"/>
          <w:sz w:val="28"/>
          <w:szCs w:val="28"/>
          <w:highlight w:val="none"/>
          <w:lang w:val="en-US" w:eastAsia="zh-CN"/>
        </w:rPr>
        <w:t>26</w:t>
      </w:r>
      <w:r>
        <w:rPr>
          <w:rFonts w:hint="eastAsia" w:ascii="仿宋" w:hAnsi="仿宋" w:eastAsia="仿宋" w:cs="仿宋"/>
          <w:b w:val="0"/>
          <w:bCs w:val="0"/>
          <w:color w:val="auto"/>
          <w:sz w:val="28"/>
          <w:szCs w:val="28"/>
          <w:highlight w:val="none"/>
        </w:rPr>
        <w:t>日至202</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12</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lang w:val="en-US" w:eastAsia="zh-CN"/>
        </w:rPr>
        <w:t>30</w:t>
      </w:r>
      <w:r>
        <w:rPr>
          <w:rFonts w:hint="eastAsia" w:ascii="仿宋" w:hAnsi="仿宋" w:eastAsia="仿宋" w:cs="仿宋"/>
          <w:b w:val="0"/>
          <w:bCs w:val="0"/>
          <w:color w:val="auto"/>
          <w:sz w:val="28"/>
          <w:szCs w:val="28"/>
          <w:highlight w:val="none"/>
        </w:rPr>
        <w:t>日</w:t>
      </w:r>
      <w:r>
        <w:rPr>
          <w:rFonts w:hint="eastAsia" w:ascii="仿宋" w:hAnsi="仿宋" w:eastAsia="仿宋" w:cs="仿宋"/>
          <w:b w:val="0"/>
          <w:bCs w:val="0"/>
          <w:color w:val="auto"/>
          <w:sz w:val="28"/>
          <w:szCs w:val="28"/>
          <w:highlight w:val="none"/>
        </w:rPr>
        <w:t xml:space="preserve">，绩效评价小组内部沟通项目情况，讨论分析项目开展中存在的问题，通过对相关资料的综合分析，结合项目实地调研中获知的项目现状，按照确定的绩效评价指标，对项目整体开展情况和效果进行综合评价，得出评价结论，并提出相关改进建议，撰写项目绩效评价报告。 </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2" w:firstLineChars="20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三、综合评价情况及评价结论</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（一）综合评价</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偃师区2021年城市公共区域窨井设施治理提升工程立项合理、规范，立项依据充分，完成2021年偃师区公共区域窨井盖专项整治任务，安装雨污水井盖、篦子871套，安装防坠网630套，窨井盖的整治有效消除安全隐患，提升城市道路窨井盖设施管理水平，提升道路的整体美观</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改善周边居民的居住环境，取得一定的社会效益。</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630" w:leftChars="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（二）</w:t>
      </w:r>
      <w:r>
        <w:rPr>
          <w:rFonts w:hint="eastAsia" w:ascii="仿宋" w:hAnsi="仿宋" w:eastAsia="仿宋" w:cs="仿宋"/>
          <w:b w:val="0"/>
          <w:bCs w:val="0"/>
          <w:color w:val="auto"/>
          <w:sz w:val="28"/>
          <w:szCs w:val="28"/>
          <w:highlight w:val="none"/>
        </w:rPr>
        <w:t>评价结论</w:t>
      </w:r>
    </w:p>
    <w:p>
      <w:pPr>
        <w:pStyle w:val="7"/>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评价小组对照项目绩效评价指标体系，从项目决策、项目过程、项目产出和项目效益四个维度，通过数据采集、问卷调查及访谈等方式，对偃师区2021年城市公共区域窨井设施治理提升工程绩效进行客观分析，最终项目绩效评价得分为</w:t>
      </w:r>
      <w:r>
        <w:rPr>
          <w:rFonts w:hint="eastAsia" w:ascii="仿宋" w:hAnsi="仿宋" w:eastAsia="仿宋" w:cs="仿宋"/>
          <w:color w:val="auto"/>
          <w:sz w:val="28"/>
          <w:szCs w:val="28"/>
          <w:highlight w:val="none"/>
          <w:lang w:val="en-US" w:eastAsia="zh-CN"/>
        </w:rPr>
        <w:t>96.32</w:t>
      </w:r>
      <w:r>
        <w:rPr>
          <w:rFonts w:hint="eastAsia" w:ascii="仿宋" w:hAnsi="仿宋" w:eastAsia="仿宋" w:cs="仿宋"/>
          <w:color w:val="auto"/>
          <w:sz w:val="28"/>
          <w:szCs w:val="28"/>
          <w:highlight w:val="none"/>
        </w:rPr>
        <w:t>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绩效评级为“优”。</w:t>
      </w:r>
    </w:p>
    <w:p>
      <w:pPr>
        <w:pStyle w:val="7"/>
        <w:keepNext w:val="0"/>
        <w:keepLines w:val="0"/>
        <w:pageBreakBefore w:val="0"/>
        <w:widowControl/>
        <w:numPr>
          <w:ilvl w:val="0"/>
          <w:numId w:val="0"/>
        </w:numPr>
        <w:kinsoku/>
        <w:wordWrap/>
        <w:overflowPunct/>
        <w:topLinePunct w:val="0"/>
        <w:autoSpaceDE/>
        <w:autoSpaceDN/>
        <w:bidi w:val="0"/>
        <w:adjustRightInd/>
        <w:snapToGrid/>
        <w:spacing w:before="157" w:beforeLines="50" w:beforeAutospacing="0" w:afterAutospacing="0" w:line="560" w:lineRule="exact"/>
        <w:ind w:firstLine="562" w:firstLineChars="20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四、绩效评价指标分析</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通过调研、相关文件的解读、数据采集</w:t>
      </w:r>
      <w:bookmarkStart w:id="0" w:name="_GoBack"/>
      <w:bookmarkEnd w:id="0"/>
      <w:r>
        <w:rPr>
          <w:rFonts w:hint="eastAsia" w:ascii="仿宋" w:hAnsi="仿宋" w:eastAsia="仿宋" w:cs="仿宋"/>
          <w:color w:val="auto"/>
          <w:sz w:val="28"/>
          <w:szCs w:val="28"/>
          <w:highlight w:val="none"/>
        </w:rPr>
        <w:t>、问卷调查、访谈、数据分析，按照工作方案确定的指标体系及评分标准，对项目的各项指标完成情况进行客观分析，具体情况如下：</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（一）项目决策情况</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项目决策类指标由3个二级指标和6个三级指标构成，权重分</w:t>
      </w:r>
      <w:r>
        <w:rPr>
          <w:rFonts w:hint="eastAsia" w:ascii="仿宋" w:hAnsi="仿宋" w:eastAsia="仿宋" w:cs="仿宋"/>
          <w:color w:val="auto"/>
          <w:sz w:val="28"/>
          <w:szCs w:val="28"/>
          <w:highlight w:val="none"/>
          <w:lang w:val="en-US" w:eastAsia="zh-CN"/>
        </w:rPr>
        <w:t>22</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21.5</w:t>
      </w:r>
      <w:r>
        <w:rPr>
          <w:rFonts w:hint="eastAsia" w:ascii="仿宋" w:hAnsi="仿宋" w:eastAsia="仿宋" w:cs="仿宋"/>
          <w:color w:val="auto"/>
          <w:sz w:val="28"/>
          <w:szCs w:val="28"/>
          <w:highlight w:val="none"/>
        </w:rPr>
        <w:t>分。</w:t>
      </w:r>
    </w:p>
    <w:tbl>
      <w:tblPr>
        <w:tblStyle w:val="9"/>
        <w:tblW w:w="481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59"/>
        <w:gridCol w:w="1760"/>
        <w:gridCol w:w="1760"/>
        <w:gridCol w:w="1761"/>
        <w:gridCol w:w="1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999"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一级指标</w:t>
            </w:r>
          </w:p>
        </w:tc>
        <w:tc>
          <w:tcPr>
            <w:tcW w:w="999"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二级指标</w:t>
            </w:r>
          </w:p>
        </w:tc>
        <w:tc>
          <w:tcPr>
            <w:tcW w:w="999"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三级指标</w:t>
            </w:r>
          </w:p>
        </w:tc>
        <w:tc>
          <w:tcPr>
            <w:tcW w:w="1000" w:type="pct"/>
            <w:tcBorders>
              <w:top w:val="single" w:color="000000" w:sz="8" w:space="0"/>
              <w:left w:val="nil"/>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权重</w:t>
            </w:r>
          </w:p>
        </w:tc>
        <w:tc>
          <w:tcPr>
            <w:tcW w:w="1002"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999" w:type="pct"/>
            <w:vMerge w:val="restart"/>
            <w:tcBorders>
              <w:top w:val="single" w:color="000000" w:sz="8" w:space="0"/>
              <w:left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项目决策</w:t>
            </w:r>
          </w:p>
        </w:tc>
        <w:tc>
          <w:tcPr>
            <w:tcW w:w="999"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项目立项</w:t>
            </w:r>
          </w:p>
        </w:tc>
        <w:tc>
          <w:tcPr>
            <w:tcW w:w="99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立项依据充分性</w:t>
            </w:r>
          </w:p>
        </w:tc>
        <w:tc>
          <w:tcPr>
            <w:tcW w:w="100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3</w:t>
            </w:r>
          </w:p>
        </w:tc>
        <w:tc>
          <w:tcPr>
            <w:tcW w:w="1002"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999" w:type="pct"/>
            <w:vMerge w:val="continue"/>
            <w:tcBorders>
              <w:left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9" w:type="pct"/>
            <w:vMerge w:val="continue"/>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立项程序规范性</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3</w:t>
            </w:r>
          </w:p>
        </w:tc>
        <w:tc>
          <w:tcPr>
            <w:tcW w:w="1002" w:type="pct"/>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left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9"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绩效目标</w:t>
            </w:r>
          </w:p>
        </w:tc>
        <w:tc>
          <w:tcPr>
            <w:tcW w:w="99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绩效目标合理性</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4</w:t>
            </w:r>
          </w:p>
        </w:tc>
        <w:tc>
          <w:tcPr>
            <w:tcW w:w="1002"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left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9" w:type="pct"/>
            <w:vMerge w:val="continue"/>
            <w:tcBorders>
              <w:top w:val="nil"/>
              <w:left w:val="nil"/>
              <w:bottom w:val="single" w:color="auto" w:sz="4"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9"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绩效指标明确性</w:t>
            </w:r>
          </w:p>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明确性明确性</w:t>
            </w:r>
          </w:p>
        </w:tc>
        <w:tc>
          <w:tcPr>
            <w:tcW w:w="1000"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rPr>
            </w:pPr>
            <w:r>
              <w:rPr>
                <w:rFonts w:hint="eastAsia" w:ascii="仿宋" w:hAnsi="仿宋" w:eastAsia="仿宋" w:cs="仿宋"/>
                <w:i w:val="0"/>
                <w:iCs w:val="0"/>
                <w:color w:val="auto"/>
                <w:kern w:val="0"/>
                <w:sz w:val="20"/>
                <w:szCs w:val="20"/>
                <w:highlight w:val="none"/>
                <w:u w:val="none"/>
                <w:lang w:val="en-US" w:eastAsia="zh-CN" w:bidi="ar"/>
              </w:rPr>
              <w:t>4</w:t>
            </w:r>
          </w:p>
        </w:tc>
        <w:tc>
          <w:tcPr>
            <w:tcW w:w="1002"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left w:val="single" w:color="000000" w:sz="8"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9" w:type="pct"/>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资金投入</w:t>
            </w:r>
          </w:p>
        </w:tc>
        <w:tc>
          <w:tcPr>
            <w:tcW w:w="99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预算编制科学性</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4</w:t>
            </w:r>
          </w:p>
        </w:tc>
        <w:tc>
          <w:tcPr>
            <w:tcW w:w="10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999" w:type="pct"/>
            <w:vMerge w:val="continue"/>
            <w:tcBorders>
              <w:left w:val="single" w:color="000000" w:sz="8" w:space="0"/>
              <w:bottom w:val="single" w:color="000000" w:sz="8"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9" w:type="pct"/>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p>
        </w:tc>
        <w:tc>
          <w:tcPr>
            <w:tcW w:w="99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abs>
                <w:tab w:val="left" w:pos="431"/>
              </w:tabs>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资金分配合理性</w:t>
            </w:r>
          </w:p>
        </w:tc>
        <w:tc>
          <w:tcPr>
            <w:tcW w:w="10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4</w:t>
            </w:r>
          </w:p>
        </w:tc>
        <w:tc>
          <w:tcPr>
            <w:tcW w:w="100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4</w:t>
            </w:r>
          </w:p>
        </w:tc>
      </w:tr>
    </w:tbl>
    <w:p>
      <w:pPr>
        <w:pStyle w:val="7"/>
        <w:keepNext w:val="0"/>
        <w:keepLines w:val="0"/>
        <w:pageBreakBefore w:val="0"/>
        <w:widowControl/>
        <w:numPr>
          <w:ilvl w:val="0"/>
          <w:numId w:val="4"/>
        </w:numPr>
        <w:kinsoku/>
        <w:wordWrap/>
        <w:overflowPunct/>
        <w:topLinePunct w:val="0"/>
        <w:autoSpaceDE/>
        <w:autoSpaceDN/>
        <w:bidi w:val="0"/>
        <w:adjustRightInd/>
        <w:snapToGrid/>
        <w:spacing w:before="157" w:beforeLines="50"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立项依据充分性：该项权</w:t>
      </w:r>
      <w:r>
        <w:rPr>
          <w:rFonts w:hint="eastAsia" w:ascii="仿宋" w:hAnsi="仿宋" w:eastAsia="仿宋" w:cs="仿宋"/>
          <w:color w:val="auto"/>
          <w:sz w:val="28"/>
          <w:szCs w:val="28"/>
          <w:highlight w:val="none"/>
          <w:lang w:eastAsia="zh-CN"/>
        </w:rPr>
        <w:t>重</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2020年12月31日河南省推进城镇基础设施建设管理工作联席会议办公室下发《关于印发&lt;河南省城市公共区域窨井盖专项整治三年行动方案（2021-2023年）&gt;的通知》（豫城建联办</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2021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1号），</w:t>
      </w:r>
      <w:r>
        <w:rPr>
          <w:rFonts w:hint="eastAsia" w:ascii="仿宋" w:hAnsi="仿宋" w:eastAsia="仿宋" w:cs="仿宋"/>
          <w:strike w:val="0"/>
          <w:color w:val="auto"/>
          <w:sz w:val="28"/>
          <w:szCs w:val="28"/>
          <w:highlight w:val="none"/>
        </w:rPr>
        <w:t>该</w:t>
      </w:r>
      <w:r>
        <w:rPr>
          <w:rFonts w:hint="eastAsia" w:ascii="仿宋" w:hAnsi="仿宋" w:eastAsia="仿宋" w:cs="仿宋"/>
          <w:strike w:val="0"/>
          <w:color w:val="auto"/>
          <w:sz w:val="28"/>
          <w:szCs w:val="28"/>
          <w:highlight w:val="none"/>
          <w:lang w:eastAsia="zh-CN"/>
        </w:rPr>
        <w:t>文件</w:t>
      </w:r>
      <w:r>
        <w:rPr>
          <w:rFonts w:hint="eastAsia" w:ascii="仿宋" w:hAnsi="仿宋" w:eastAsia="仿宋" w:cs="仿宋"/>
          <w:strike w:val="0"/>
          <w:dstrike w:val="0"/>
          <w:color w:val="auto"/>
          <w:sz w:val="28"/>
          <w:szCs w:val="28"/>
          <w:highlight w:val="none"/>
        </w:rPr>
        <w:t>指出为深入贯彻落实党的十九届五中全会精神和习近平总书记关于城市管理系列重要论述及省委省政府领导指示批示精神，牢固树立以人民为中心的发展思想，着力解决人民群众最关心、最直接、最现实的问题，</w:t>
      </w:r>
      <w:r>
        <w:rPr>
          <w:rFonts w:hint="eastAsia" w:ascii="仿宋" w:hAnsi="仿宋" w:eastAsia="仿宋" w:cs="仿宋"/>
          <w:color w:val="auto"/>
          <w:sz w:val="28"/>
          <w:szCs w:val="28"/>
          <w:highlight w:val="none"/>
          <w:lang w:eastAsia="zh-CN"/>
        </w:rPr>
        <w:t>要</w:t>
      </w:r>
      <w:r>
        <w:rPr>
          <w:rFonts w:hint="eastAsia" w:ascii="仿宋" w:hAnsi="仿宋" w:eastAsia="仿宋" w:cs="仿宋"/>
          <w:color w:val="auto"/>
          <w:sz w:val="28"/>
          <w:szCs w:val="28"/>
          <w:highlight w:val="none"/>
        </w:rPr>
        <w:t>持续强化窨井盖安全管理，努力打造“安全、整洁、有序、智能”的城市环境，不断增强人民群众的获得感幸福感安全感。</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strike w:val="0"/>
          <w:color w:val="auto"/>
          <w:sz w:val="28"/>
          <w:szCs w:val="28"/>
          <w:highlight w:val="none"/>
          <w:lang w:eastAsia="zh-CN"/>
        </w:rPr>
      </w:pPr>
      <w:r>
        <w:rPr>
          <w:rFonts w:hint="eastAsia" w:ascii="仿宋" w:hAnsi="仿宋" w:eastAsia="仿宋" w:cs="仿宋"/>
          <w:color w:val="auto"/>
          <w:sz w:val="28"/>
          <w:szCs w:val="28"/>
          <w:highlight w:val="none"/>
          <w:lang w:eastAsia="zh-CN"/>
        </w:rPr>
        <w:t>偃师区住房和城乡建设局的职责：负责全区房屋建设工程及市政基础设施工程的质量监管，贯彻落实有关工程质量监督、检测的政策、法规和标准，规范建筑市场责任主体质量行为；定期对全区工程质量状况进行统计、分析、公示。组织实施全区房屋建筑及其附属设施和市政基础设施的抗震设计规范。</w:t>
      </w:r>
      <w:r>
        <w:rPr>
          <w:rFonts w:hint="eastAsia" w:ascii="仿宋" w:hAnsi="仿宋" w:eastAsia="仿宋" w:cs="仿宋"/>
          <w:strike w:val="0"/>
          <w:dstrike w:val="0"/>
          <w:color w:val="auto"/>
          <w:sz w:val="28"/>
          <w:szCs w:val="28"/>
          <w:highlight w:val="none"/>
          <w:lang w:eastAsia="zh-CN"/>
        </w:rPr>
        <w:t>实施建设工程消防设计审查验收有关制度、标准和程序。</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组织全区工程建设标准的推广，监督各类工程建设标准的实施。组织发布工程造价信息，监督建设工程造价计价。指导全区城市建设工作。贯彻落实城市建设的法规、规章、制度。编制全区城市建设行业发展规划并组织实施。指导全区城市建设，指导市政基础设施规划的制定与实施，并做好与国土空间规划等相关规划的衔接。参与城市综合交通等公共交通的规划和建设等。</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项目立项符合国家法律法规、发展规划</w:t>
      </w:r>
      <w:r>
        <w:rPr>
          <w:rFonts w:hint="eastAsia" w:ascii="仿宋" w:hAnsi="仿宋" w:eastAsia="仿宋" w:cs="仿宋"/>
          <w:color w:val="auto"/>
          <w:sz w:val="28"/>
          <w:szCs w:val="28"/>
          <w:highlight w:val="none"/>
          <w:lang w:eastAsia="zh-CN"/>
        </w:rPr>
        <w:t>、政策要求</w:t>
      </w:r>
      <w:r>
        <w:rPr>
          <w:rFonts w:hint="eastAsia" w:ascii="仿宋" w:hAnsi="仿宋" w:eastAsia="仿宋" w:cs="仿宋"/>
          <w:color w:val="auto"/>
          <w:sz w:val="28"/>
          <w:szCs w:val="28"/>
          <w:highlight w:val="none"/>
        </w:rPr>
        <w:t>，符合</w:t>
      </w:r>
      <w:r>
        <w:rPr>
          <w:rFonts w:hint="eastAsia" w:ascii="仿宋" w:hAnsi="仿宋" w:eastAsia="仿宋" w:cs="仿宋"/>
          <w:color w:val="auto"/>
          <w:sz w:val="28"/>
          <w:szCs w:val="28"/>
          <w:highlight w:val="none"/>
          <w:lang w:eastAsia="zh-CN"/>
        </w:rPr>
        <w:t>偃师区住房和城乡建设局</w:t>
      </w:r>
      <w:r>
        <w:rPr>
          <w:rFonts w:hint="eastAsia" w:ascii="仿宋" w:hAnsi="仿宋" w:eastAsia="仿宋" w:cs="仿宋"/>
          <w:color w:val="auto"/>
          <w:sz w:val="28"/>
          <w:szCs w:val="28"/>
          <w:highlight w:val="none"/>
        </w:rPr>
        <w:t>的职责</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属于公共财政支持范围。项目与相关部门同类项目或部门内部相关项目</w:t>
      </w:r>
      <w:r>
        <w:rPr>
          <w:rFonts w:hint="eastAsia" w:ascii="仿宋" w:hAnsi="仿宋" w:eastAsia="仿宋" w:cs="仿宋"/>
          <w:color w:val="auto"/>
          <w:sz w:val="28"/>
          <w:szCs w:val="28"/>
          <w:highlight w:val="none"/>
          <w:lang w:eastAsia="zh-CN"/>
        </w:rPr>
        <w:t>无</w:t>
      </w:r>
      <w:r>
        <w:rPr>
          <w:rFonts w:hint="eastAsia" w:ascii="仿宋" w:hAnsi="仿宋" w:eastAsia="仿宋" w:cs="仿宋"/>
          <w:color w:val="auto"/>
          <w:sz w:val="28"/>
          <w:szCs w:val="28"/>
          <w:highlight w:val="none"/>
        </w:rPr>
        <w:t>重复</w:t>
      </w:r>
      <w:r>
        <w:rPr>
          <w:rFonts w:hint="eastAsia" w:ascii="仿宋" w:hAnsi="仿宋" w:eastAsia="仿宋" w:cs="仿宋"/>
          <w:color w:val="auto"/>
          <w:sz w:val="28"/>
          <w:szCs w:val="28"/>
          <w:highlight w:val="none"/>
          <w:lang w:eastAsia="zh-CN"/>
        </w:rPr>
        <w:t>。</w:t>
      </w:r>
    </w:p>
    <w:p>
      <w:pPr>
        <w:pStyle w:val="7"/>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立项程序规范性：该项权重</w:t>
      </w: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仿宋"/>
          <w:b w:val="0"/>
          <w:bCs w:val="0"/>
          <w:color w:val="auto"/>
          <w:sz w:val="28"/>
          <w:szCs w:val="28"/>
          <w:highlight w:val="none"/>
        </w:rPr>
        <w:t>分，实际得</w:t>
      </w: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仿宋"/>
          <w:b w:val="0"/>
          <w:bCs w:val="0"/>
          <w:color w:val="auto"/>
          <w:sz w:val="28"/>
          <w:szCs w:val="28"/>
          <w:highlight w:val="none"/>
        </w:rPr>
        <w:t>分</w:t>
      </w:r>
      <w:r>
        <w:rPr>
          <w:rFonts w:hint="eastAsia" w:ascii="仿宋" w:hAnsi="仿宋" w:eastAsia="仿宋" w:cs="仿宋"/>
          <w:b w:val="0"/>
          <w:bCs w:val="0"/>
          <w:color w:val="auto"/>
          <w:sz w:val="28"/>
          <w:szCs w:val="28"/>
          <w:highlight w:val="none"/>
          <w:lang w:eastAsia="zh-CN"/>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根据《关于印发&lt;河南省城市公共区域窨井盖专项整治三年行动方案（2021-2023年）&gt;的通知》（豫城建联办</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2021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1号）</w:t>
      </w:r>
      <w:r>
        <w:rPr>
          <w:rFonts w:hint="eastAsia" w:ascii="仿宋" w:hAnsi="仿宋" w:eastAsia="仿宋" w:cs="仿宋"/>
          <w:color w:val="auto"/>
          <w:sz w:val="28"/>
          <w:szCs w:val="28"/>
          <w:highlight w:val="none"/>
          <w:lang w:eastAsia="zh-CN"/>
        </w:rPr>
        <w:t>文件</w:t>
      </w:r>
      <w:r>
        <w:rPr>
          <w:rFonts w:hint="eastAsia" w:ascii="仿宋" w:hAnsi="仿宋" w:eastAsia="仿宋" w:cs="仿宋"/>
          <w:color w:val="auto"/>
          <w:sz w:val="28"/>
          <w:szCs w:val="28"/>
          <w:highlight w:val="none"/>
        </w:rPr>
        <w:t>，偃师区住房和城乡建设局提出《关于拨付</w:t>
      </w:r>
      <w:r>
        <w:rPr>
          <w:rFonts w:hint="eastAsia" w:ascii="仿宋" w:hAnsi="仿宋" w:eastAsia="仿宋" w:cs="仿宋"/>
          <w:color w:val="auto"/>
          <w:sz w:val="28"/>
          <w:szCs w:val="28"/>
          <w:highlight w:val="none"/>
          <w:lang w:eastAsia="zh-CN"/>
        </w:rPr>
        <w:t>窨井盖专项整治所需资金</w:t>
      </w:r>
      <w:r>
        <w:rPr>
          <w:rFonts w:hint="eastAsia" w:ascii="仿宋" w:hAnsi="仿宋" w:eastAsia="仿宋" w:cs="仿宋"/>
          <w:color w:val="auto"/>
          <w:sz w:val="28"/>
          <w:szCs w:val="28"/>
          <w:highlight w:val="none"/>
        </w:rPr>
        <w:t>请示》（偃</w:t>
      </w:r>
      <w:r>
        <w:rPr>
          <w:rFonts w:hint="eastAsia" w:ascii="仿宋" w:hAnsi="仿宋" w:eastAsia="仿宋" w:cs="仿宋"/>
          <w:color w:val="auto"/>
          <w:sz w:val="28"/>
          <w:szCs w:val="28"/>
          <w:highlight w:val="none"/>
          <w:lang w:eastAsia="zh-CN"/>
        </w:rPr>
        <w:t>建</w:t>
      </w:r>
      <w:r>
        <w:rPr>
          <w:rFonts w:hint="eastAsia" w:ascii="仿宋" w:hAnsi="仿宋" w:eastAsia="仿宋" w:cs="仿宋"/>
          <w:color w:val="auto"/>
          <w:sz w:val="28"/>
          <w:szCs w:val="28"/>
          <w:highlight w:val="none"/>
        </w:rPr>
        <w:t>文</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2021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67</w:t>
      </w:r>
      <w:r>
        <w:rPr>
          <w:rFonts w:hint="eastAsia" w:ascii="仿宋" w:hAnsi="仿宋" w:eastAsia="仿宋" w:cs="仿宋"/>
          <w:color w:val="auto"/>
          <w:sz w:val="28"/>
          <w:szCs w:val="28"/>
          <w:highlight w:val="none"/>
        </w:rPr>
        <w:t>号），收文处理签经各级领导逐级审阅、签字批复，立项程序规范，审批文件、材料符合要求。</w:t>
      </w:r>
      <w:r>
        <w:rPr>
          <w:rFonts w:hint="eastAsia" w:ascii="仿宋" w:hAnsi="仿宋" w:eastAsia="仿宋" w:cs="仿宋"/>
          <w:color w:val="auto"/>
          <w:sz w:val="28"/>
          <w:szCs w:val="28"/>
          <w:highlight w:val="none"/>
          <w:lang w:eastAsia="zh-CN"/>
        </w:rPr>
        <w:t>本项目的《市级部门预算项目绩效申报表》表明项目</w:t>
      </w:r>
      <w:r>
        <w:rPr>
          <w:rFonts w:hint="eastAsia" w:ascii="仿宋" w:hAnsi="仿宋" w:eastAsia="仿宋" w:cs="仿宋"/>
          <w:color w:val="auto"/>
          <w:sz w:val="28"/>
          <w:szCs w:val="28"/>
          <w:highlight w:val="none"/>
        </w:rPr>
        <w:t>事前已经过绩效评估</w:t>
      </w:r>
      <w:r>
        <w:rPr>
          <w:rFonts w:hint="eastAsia" w:ascii="仿宋" w:hAnsi="仿宋" w:eastAsia="仿宋" w:cs="仿宋"/>
          <w:color w:val="auto"/>
          <w:sz w:val="28"/>
          <w:szCs w:val="28"/>
          <w:highlight w:val="none"/>
          <w:lang w:eastAsia="zh-CN"/>
        </w:rPr>
        <w:t>。</w:t>
      </w:r>
    </w:p>
    <w:p>
      <w:pPr>
        <w:pStyle w:val="7"/>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绩效目标合理性：该项权</w:t>
      </w:r>
      <w:r>
        <w:rPr>
          <w:rFonts w:hint="eastAsia" w:ascii="仿宋" w:hAnsi="仿宋" w:eastAsia="仿宋" w:cs="仿宋"/>
          <w:color w:val="auto"/>
          <w:sz w:val="28"/>
          <w:szCs w:val="28"/>
          <w:highlight w:val="none"/>
          <w:lang w:eastAsia="zh-CN"/>
        </w:rPr>
        <w:t>重</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分，实际得</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本项目的《市级部门预算项目绩效申报表》表明偃师区住房和城乡建设局结合项目的实施方案设置了</w:t>
      </w:r>
      <w:r>
        <w:rPr>
          <w:rFonts w:hint="eastAsia" w:ascii="仿宋" w:hAnsi="仿宋" w:eastAsia="仿宋" w:cs="仿宋"/>
          <w:color w:val="auto"/>
          <w:sz w:val="28"/>
          <w:szCs w:val="28"/>
          <w:highlight w:val="none"/>
          <w:lang w:eastAsia="zh-CN"/>
        </w:rPr>
        <w:t>年度总体</w:t>
      </w:r>
      <w:r>
        <w:rPr>
          <w:rFonts w:hint="eastAsia" w:ascii="仿宋" w:hAnsi="仿宋" w:eastAsia="仿宋" w:cs="仿宋"/>
          <w:color w:val="auto"/>
          <w:sz w:val="28"/>
          <w:szCs w:val="28"/>
          <w:highlight w:val="none"/>
        </w:rPr>
        <w:t>目标和年度绩效目标，并依据年度绩效目标设定产出、效益和满意度等目标。设置的绩效目标能够反映项目实施内容，产出效益和效果符合正常的业绩水平，与预算资金量相匹配。</w:t>
      </w:r>
    </w:p>
    <w:p>
      <w:pPr>
        <w:pStyle w:val="7"/>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绩效</w:t>
      </w:r>
      <w:r>
        <w:rPr>
          <w:rFonts w:hint="eastAsia" w:ascii="仿宋" w:hAnsi="仿宋" w:eastAsia="仿宋" w:cs="仿宋"/>
          <w:color w:val="auto"/>
          <w:sz w:val="28"/>
          <w:szCs w:val="28"/>
          <w:highlight w:val="none"/>
          <w:lang w:eastAsia="zh-CN"/>
        </w:rPr>
        <w:t>指</w:t>
      </w:r>
      <w:r>
        <w:rPr>
          <w:rFonts w:hint="eastAsia" w:ascii="仿宋" w:hAnsi="仿宋" w:eastAsia="仿宋" w:cs="仿宋"/>
          <w:color w:val="auto"/>
          <w:sz w:val="28"/>
          <w:szCs w:val="28"/>
          <w:highlight w:val="none"/>
        </w:rPr>
        <w:t>标明确性：该项权</w:t>
      </w:r>
      <w:r>
        <w:rPr>
          <w:rFonts w:hint="eastAsia" w:ascii="仿宋" w:hAnsi="仿宋" w:eastAsia="仿宋" w:cs="仿宋"/>
          <w:color w:val="auto"/>
          <w:sz w:val="28"/>
          <w:szCs w:val="28"/>
          <w:highlight w:val="none"/>
          <w:lang w:eastAsia="zh-CN"/>
        </w:rPr>
        <w:t>重</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3.5</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项目设置了数量指标、质量指标、时效指标、成本指标、经济效益指标、社会效益指标、生态效益指标、可持续影响指标和服务对象满意度指标等</w:t>
      </w:r>
      <w:r>
        <w:rPr>
          <w:rFonts w:hint="eastAsia" w:ascii="仿宋" w:hAnsi="仿宋" w:eastAsia="仿宋" w:cs="仿宋"/>
          <w:color w:val="auto"/>
          <w:sz w:val="28"/>
          <w:szCs w:val="28"/>
          <w:highlight w:val="none"/>
          <w:lang w:val="en-US" w:eastAsia="zh-CN"/>
        </w:rPr>
        <w:t>9个</w:t>
      </w:r>
      <w:r>
        <w:rPr>
          <w:rFonts w:hint="eastAsia" w:ascii="仿宋" w:hAnsi="仿宋" w:eastAsia="仿宋" w:cs="仿宋"/>
          <w:color w:val="auto"/>
          <w:sz w:val="28"/>
          <w:szCs w:val="28"/>
          <w:highlight w:val="none"/>
        </w:rPr>
        <w:t>二级指标。二级指标细化为雨污水井盖</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篦子</w:t>
      </w:r>
      <w:r>
        <w:rPr>
          <w:rFonts w:hint="eastAsia" w:ascii="仿宋" w:hAnsi="仿宋" w:eastAsia="仿宋" w:cs="仿宋"/>
          <w:color w:val="auto"/>
          <w:sz w:val="28"/>
          <w:szCs w:val="28"/>
          <w:highlight w:val="none"/>
          <w:lang w:eastAsia="zh-CN"/>
        </w:rPr>
        <w:t>、防坠网、质量合格率、工程进度完成时间、项目成本、市政设施质量、城市环境、基础设施、基础设施、投资环境、群众满意度、监督部门满意度等</w:t>
      </w:r>
      <w:r>
        <w:rPr>
          <w:rFonts w:hint="eastAsia" w:ascii="仿宋" w:hAnsi="仿宋" w:eastAsia="仿宋" w:cs="仿宋"/>
          <w:color w:val="auto"/>
          <w:sz w:val="28"/>
          <w:szCs w:val="28"/>
          <w:highlight w:val="none"/>
          <w:lang w:val="en-US" w:eastAsia="zh-CN"/>
        </w:rPr>
        <w:t>12个</w:t>
      </w:r>
      <w:r>
        <w:rPr>
          <w:rFonts w:hint="eastAsia" w:ascii="仿宋" w:hAnsi="仿宋" w:eastAsia="仿宋" w:cs="仿宋"/>
          <w:color w:val="auto"/>
          <w:sz w:val="28"/>
          <w:szCs w:val="28"/>
          <w:highlight w:val="none"/>
        </w:rPr>
        <w:t>具体的三级指标，指标值可衡量，</w:t>
      </w:r>
      <w:r>
        <w:rPr>
          <w:rFonts w:hint="eastAsia" w:ascii="仿宋" w:hAnsi="仿宋" w:eastAsia="仿宋" w:cs="仿宋"/>
          <w:color w:val="auto"/>
          <w:sz w:val="28"/>
          <w:szCs w:val="28"/>
          <w:highlight w:val="none"/>
          <w:lang w:eastAsia="zh-CN"/>
        </w:rPr>
        <w:t>但存在三级指标设置重复问题，</w:t>
      </w:r>
      <w:r>
        <w:rPr>
          <w:rFonts w:hint="eastAsia" w:ascii="仿宋" w:hAnsi="仿宋" w:eastAsia="仿宋" w:cs="仿宋"/>
          <w:color w:val="auto"/>
          <w:sz w:val="28"/>
          <w:szCs w:val="28"/>
          <w:highlight w:val="none"/>
        </w:rPr>
        <w:t>绩效目标与项目相对应。</w:t>
      </w:r>
    </w:p>
    <w:p>
      <w:pPr>
        <w:pStyle w:val="7"/>
        <w:keepNext w:val="0"/>
        <w:keepLines w:val="0"/>
        <w:pageBreakBefore w:val="0"/>
        <w:widowControl/>
        <w:numPr>
          <w:ilvl w:val="0"/>
          <w:numId w:val="4"/>
        </w:numPr>
        <w:kinsoku/>
        <w:wordWrap/>
        <w:overflowPunct/>
        <w:topLinePunct w:val="0"/>
        <w:autoSpaceDE/>
        <w:autoSpaceDN/>
        <w:bidi w:val="0"/>
        <w:adjustRightInd/>
        <w:snapToGrid/>
        <w:spacing w:before="157" w:beforeLines="50"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预算编制科学性：该项权</w:t>
      </w:r>
      <w:r>
        <w:rPr>
          <w:rFonts w:hint="eastAsia" w:ascii="仿宋" w:hAnsi="仿宋" w:eastAsia="仿宋" w:cs="仿宋"/>
          <w:color w:val="auto"/>
          <w:sz w:val="28"/>
          <w:szCs w:val="28"/>
          <w:highlight w:val="none"/>
          <w:lang w:eastAsia="zh-CN"/>
        </w:rPr>
        <w:t>重</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项目在招标控制价审定之前向</w:t>
      </w:r>
      <w:r>
        <w:rPr>
          <w:rFonts w:hint="eastAsia" w:ascii="仿宋" w:hAnsi="仿宋" w:eastAsia="仿宋" w:cs="仿宋"/>
          <w:color w:val="auto"/>
          <w:sz w:val="28"/>
          <w:szCs w:val="28"/>
          <w:highlight w:val="none"/>
          <w:lang w:eastAsia="zh-CN"/>
        </w:rPr>
        <w:t>偃师区财政投资评审中心递交《偃师区政府投资项目预算评审呈报表》、《偃师区2021年城市公共区域窨井设施治理提升工程预算评审报告》（偃财评审</w:t>
      </w:r>
      <w:r>
        <w:rPr>
          <w:rFonts w:hint="eastAsia" w:ascii="仿宋" w:hAnsi="仿宋" w:eastAsia="仿宋" w:cs="仿宋"/>
          <w:color w:val="auto"/>
          <w:sz w:val="28"/>
          <w:szCs w:val="28"/>
          <w:highlight w:val="none"/>
          <w:lang w:val="en-US" w:eastAsia="zh-CN"/>
        </w:rPr>
        <w:t>【2021】7-22号</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经评审后填制《工程预算审定表》。</w:t>
      </w:r>
      <w:r>
        <w:rPr>
          <w:rFonts w:hint="eastAsia" w:ascii="仿宋" w:hAnsi="仿宋" w:eastAsia="仿宋" w:cs="仿宋"/>
          <w:color w:val="auto"/>
          <w:sz w:val="28"/>
          <w:szCs w:val="28"/>
          <w:highlight w:val="none"/>
        </w:rPr>
        <w:t>预算编制科学、合理，预算金额与工程任务相匹配，资金量与工作任务相匹配。</w:t>
      </w:r>
    </w:p>
    <w:p>
      <w:pPr>
        <w:pStyle w:val="7"/>
        <w:keepNext w:val="0"/>
        <w:keepLines w:val="0"/>
        <w:pageBreakBefore w:val="0"/>
        <w:widowControl/>
        <w:numPr>
          <w:ilvl w:val="0"/>
          <w:numId w:val="4"/>
        </w:numPr>
        <w:kinsoku/>
        <w:wordWrap/>
        <w:overflowPunct/>
        <w:topLinePunct w:val="0"/>
        <w:autoSpaceDE/>
        <w:autoSpaceDN/>
        <w:bidi w:val="0"/>
        <w:adjustRightInd/>
        <w:snapToGrid/>
        <w:spacing w:before="157" w:beforeLines="50"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资金分配合理性：该项权重4分，实际得分4分。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根据偃师区住房和城乡建设局《关于拨付窨井盖专项整治所需资金请示》（偃建文【2021】67号）文件及批复文件，预算资金分配至本项目工程，资金分配依据充分，资金分配额度合理、与项目单位和地方实际相适应。</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（二）</w:t>
      </w:r>
      <w:r>
        <w:rPr>
          <w:rFonts w:hint="eastAsia" w:ascii="仿宋" w:hAnsi="仿宋" w:eastAsia="仿宋" w:cs="仿宋"/>
          <w:b w:val="0"/>
          <w:bCs w:val="0"/>
          <w:color w:val="auto"/>
          <w:sz w:val="28"/>
          <w:szCs w:val="28"/>
          <w:highlight w:val="none"/>
        </w:rPr>
        <w:t>项目过程情况</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项目过程共设置有2个二级指标和5个三级指标，</w:t>
      </w:r>
      <w:r>
        <w:rPr>
          <w:rFonts w:hint="eastAsia" w:ascii="仿宋" w:hAnsi="仿宋" w:eastAsia="仿宋" w:cs="仿宋"/>
          <w:color w:val="auto"/>
          <w:sz w:val="28"/>
          <w:szCs w:val="28"/>
          <w:highlight w:val="none"/>
        </w:rPr>
        <w:t>权重分</w:t>
      </w:r>
      <w:r>
        <w:rPr>
          <w:rFonts w:hint="eastAsia" w:ascii="仿宋" w:hAnsi="仿宋" w:eastAsia="仿宋" w:cs="仿宋"/>
          <w:color w:val="auto"/>
          <w:sz w:val="28"/>
          <w:szCs w:val="28"/>
          <w:highlight w:val="none"/>
          <w:lang w:val="en-US" w:eastAsia="zh-CN"/>
        </w:rPr>
        <w:t>20</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19</w:t>
      </w:r>
      <w:r>
        <w:rPr>
          <w:rFonts w:hint="eastAsia" w:ascii="仿宋" w:hAnsi="仿宋" w:eastAsia="仿宋" w:cs="仿宋"/>
          <w:color w:val="auto"/>
          <w:sz w:val="28"/>
          <w:szCs w:val="28"/>
          <w:highlight w:val="none"/>
        </w:rPr>
        <w:t>分。</w:t>
      </w:r>
      <w:r>
        <w:rPr>
          <w:rFonts w:hint="eastAsia" w:ascii="仿宋" w:hAnsi="仿宋" w:eastAsia="仿宋" w:cs="仿宋"/>
          <w:b w:val="0"/>
          <w:bCs w:val="0"/>
          <w:color w:val="auto"/>
          <w:sz w:val="28"/>
          <w:szCs w:val="28"/>
          <w:highlight w:val="none"/>
        </w:rPr>
        <w:t>指标得分如下所示：</w:t>
      </w:r>
    </w:p>
    <w:tbl>
      <w:tblPr>
        <w:tblStyle w:val="9"/>
        <w:tblW w:w="476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08"/>
        <w:gridCol w:w="1729"/>
        <w:gridCol w:w="1963"/>
        <w:gridCol w:w="1978"/>
        <w:gridCol w:w="18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693"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一级指标</w:t>
            </w:r>
          </w:p>
        </w:tc>
        <w:tc>
          <w:tcPr>
            <w:tcW w:w="99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二级指标</w:t>
            </w:r>
          </w:p>
        </w:tc>
        <w:tc>
          <w:tcPr>
            <w:tcW w:w="112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三级指标</w:t>
            </w:r>
          </w:p>
        </w:tc>
        <w:tc>
          <w:tcPr>
            <w:tcW w:w="113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权重</w:t>
            </w:r>
          </w:p>
        </w:tc>
        <w:tc>
          <w:tcPr>
            <w:tcW w:w="104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693" w:type="pct"/>
            <w:vMerge w:val="restart"/>
            <w:tcBorders>
              <w:top w:val="nil"/>
              <w:left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项目过程</w:t>
            </w:r>
          </w:p>
        </w:tc>
        <w:tc>
          <w:tcPr>
            <w:tcW w:w="993" w:type="pct"/>
            <w:vMerge w:val="restar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eastAsia="zh-CN"/>
              </w:rPr>
            </w:pPr>
            <w:r>
              <w:rPr>
                <w:rFonts w:hint="eastAsia" w:ascii="仿宋" w:hAnsi="仿宋" w:eastAsia="仿宋" w:cs="仿宋"/>
                <w:i w:val="0"/>
                <w:iCs w:val="0"/>
                <w:color w:val="auto"/>
                <w:sz w:val="20"/>
                <w:szCs w:val="20"/>
                <w:highlight w:val="none"/>
                <w:u w:val="none"/>
                <w:lang w:eastAsia="zh-CN"/>
              </w:rPr>
              <w:t>组织实施</w:t>
            </w:r>
          </w:p>
        </w:tc>
        <w:tc>
          <w:tcPr>
            <w:tcW w:w="112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sz w:val="20"/>
                <w:szCs w:val="20"/>
                <w:highlight w:val="none"/>
                <w:u w:val="none"/>
              </w:rPr>
              <w:t>管理制度健全性</w:t>
            </w:r>
          </w:p>
        </w:tc>
        <w:tc>
          <w:tcPr>
            <w:tcW w:w="1136"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4</w:t>
            </w:r>
          </w:p>
        </w:tc>
        <w:tc>
          <w:tcPr>
            <w:tcW w:w="104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693" w:type="pct"/>
            <w:vMerge w:val="continue"/>
            <w:tcBorders>
              <w:left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3" w:type="pct"/>
            <w:vMerge w:val="continue"/>
            <w:tcBorders>
              <w:top w:val="nil"/>
              <w:left w:val="nil"/>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112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tabs>
                <w:tab w:val="left" w:pos="435"/>
              </w:tabs>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eastAsia="zh-CN"/>
              </w:rPr>
            </w:pPr>
            <w:r>
              <w:rPr>
                <w:rFonts w:hint="eastAsia" w:ascii="仿宋" w:hAnsi="仿宋" w:eastAsia="仿宋" w:cs="仿宋"/>
                <w:i w:val="0"/>
                <w:iCs w:val="0"/>
                <w:color w:val="auto"/>
                <w:sz w:val="20"/>
                <w:szCs w:val="20"/>
                <w:highlight w:val="none"/>
                <w:u w:val="none"/>
                <w:lang w:eastAsia="zh-CN"/>
              </w:rPr>
              <w:t>制度执行有效性</w:t>
            </w:r>
          </w:p>
        </w:tc>
        <w:tc>
          <w:tcPr>
            <w:tcW w:w="1136"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4</w:t>
            </w:r>
          </w:p>
        </w:tc>
        <w:tc>
          <w:tcPr>
            <w:tcW w:w="1049"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693" w:type="pct"/>
            <w:vMerge w:val="continue"/>
            <w:tcBorders>
              <w:left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3" w:type="pct"/>
            <w:vMerge w:val="restart"/>
            <w:tcBorders>
              <w:top w:val="nil"/>
              <w:left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sz w:val="20"/>
                <w:szCs w:val="20"/>
                <w:highlight w:val="none"/>
                <w:u w:val="none"/>
              </w:rPr>
              <w:t>资金管理</w:t>
            </w:r>
          </w:p>
        </w:tc>
        <w:tc>
          <w:tcPr>
            <w:tcW w:w="1127" w:type="pct"/>
            <w:tcBorders>
              <w:top w:val="nil"/>
              <w:left w:val="nil"/>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资金到位率</w:t>
            </w:r>
          </w:p>
        </w:tc>
        <w:tc>
          <w:tcPr>
            <w:tcW w:w="1136" w:type="pct"/>
            <w:tcBorders>
              <w:top w:val="nil"/>
              <w:left w:val="nil"/>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4</w:t>
            </w:r>
          </w:p>
        </w:tc>
        <w:tc>
          <w:tcPr>
            <w:tcW w:w="1049" w:type="pct"/>
            <w:tcBorders>
              <w:top w:val="nil"/>
              <w:left w:val="single" w:color="000000" w:sz="8" w:space="0"/>
              <w:bottom w:val="single" w:color="auto" w:sz="4"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693" w:type="pct"/>
            <w:vMerge w:val="continue"/>
            <w:tcBorders>
              <w:left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3" w:type="pct"/>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112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预算执行率</w:t>
            </w:r>
          </w:p>
        </w:tc>
        <w:tc>
          <w:tcPr>
            <w:tcW w:w="113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4</w:t>
            </w:r>
          </w:p>
        </w:tc>
        <w:tc>
          <w:tcPr>
            <w:tcW w:w="1049"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693" w:type="pct"/>
            <w:vMerge w:val="continue"/>
            <w:tcBorders>
              <w:left w:val="single" w:color="000000" w:sz="8" w:space="0"/>
              <w:bottom w:val="single" w:color="000000" w:sz="8" w:space="0"/>
              <w:right w:val="single" w:color="000000" w:sz="8"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3" w:type="pct"/>
            <w:vMerge w:val="continue"/>
            <w:tcBorders>
              <w:left w:val="nil"/>
              <w:bottom w:val="single" w:color="000000" w:sz="8"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112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资金使用合规性</w:t>
            </w:r>
          </w:p>
        </w:tc>
        <w:tc>
          <w:tcPr>
            <w:tcW w:w="113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4</w:t>
            </w:r>
          </w:p>
        </w:tc>
        <w:tc>
          <w:tcPr>
            <w:tcW w:w="1049"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4</w:t>
            </w:r>
          </w:p>
        </w:tc>
      </w:tr>
    </w:tbl>
    <w:p>
      <w:pPr>
        <w:pStyle w:val="7"/>
        <w:keepNext w:val="0"/>
        <w:keepLines w:val="0"/>
        <w:pageBreakBefore w:val="0"/>
        <w:widowControl/>
        <w:numPr>
          <w:ilvl w:val="0"/>
          <w:numId w:val="0"/>
        </w:numPr>
        <w:kinsoku/>
        <w:wordWrap/>
        <w:overflowPunct/>
        <w:topLinePunct w:val="0"/>
        <w:autoSpaceDE/>
        <w:autoSpaceDN/>
        <w:bidi w:val="0"/>
        <w:adjustRightInd/>
        <w:snapToGrid/>
        <w:spacing w:before="157" w:beforeLines="50"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管理制度健全性：该项权重分为</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本项目施工</w:t>
      </w:r>
      <w:r>
        <w:rPr>
          <w:rFonts w:hint="eastAsia" w:ascii="仿宋" w:hAnsi="仿宋" w:eastAsia="仿宋" w:cs="仿宋"/>
          <w:color w:val="auto"/>
          <w:sz w:val="28"/>
          <w:szCs w:val="28"/>
          <w:highlight w:val="none"/>
          <w:lang w:eastAsia="zh-CN"/>
        </w:rPr>
        <w:t>单位依据</w:t>
      </w:r>
      <w:r>
        <w:rPr>
          <w:rFonts w:hint="eastAsia" w:ascii="仿宋" w:hAnsi="仿宋" w:eastAsia="仿宋" w:cs="仿宋"/>
          <w:color w:val="auto"/>
          <w:sz w:val="28"/>
          <w:szCs w:val="28"/>
          <w:highlight w:val="none"/>
          <w:lang w:val="en-US" w:eastAsia="zh-CN"/>
        </w:rPr>
        <w:t>《建设工程安全生产管理条例》、《建设工程质量管理条例》</w:t>
      </w:r>
      <w:r>
        <w:rPr>
          <w:rFonts w:hint="eastAsia" w:ascii="仿宋" w:hAnsi="仿宋" w:eastAsia="仿宋" w:cs="仿宋"/>
          <w:color w:val="auto"/>
          <w:sz w:val="28"/>
          <w:szCs w:val="28"/>
          <w:highlight w:val="none"/>
        </w:rPr>
        <w:t>等现场管理、质量保证体系、各岗位的质量责任制和实施办法；监理方按照《建设工程监理规范》执行监理工作。</w:t>
      </w:r>
      <w:r>
        <w:rPr>
          <w:rFonts w:hint="eastAsia" w:ascii="仿宋" w:hAnsi="仿宋" w:eastAsia="仿宋" w:cs="仿宋"/>
          <w:color w:val="auto"/>
          <w:sz w:val="28"/>
          <w:szCs w:val="28"/>
          <w:highlight w:val="none"/>
          <w:lang w:eastAsia="zh-CN"/>
        </w:rPr>
        <w:t>项目</w:t>
      </w:r>
      <w:r>
        <w:rPr>
          <w:rFonts w:hint="eastAsia" w:ascii="仿宋" w:hAnsi="仿宋" w:eastAsia="仿宋" w:cs="仿宋"/>
          <w:color w:val="auto"/>
          <w:sz w:val="28"/>
          <w:szCs w:val="28"/>
          <w:highlight w:val="none"/>
        </w:rPr>
        <w:t>资金严格依据相关的财务管理制度</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具有相应的财务和业务管理制度</w:t>
      </w:r>
      <w:r>
        <w:rPr>
          <w:rFonts w:hint="eastAsia" w:ascii="仿宋" w:hAnsi="仿宋" w:eastAsia="仿宋" w:cs="仿宋"/>
          <w:color w:val="auto"/>
          <w:sz w:val="28"/>
          <w:szCs w:val="28"/>
          <w:highlight w:val="none"/>
          <w:lang w:eastAsia="zh-CN"/>
        </w:rPr>
        <w:t>，财务和业务管理制度合法、合规、完整。</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2、制度执行有效性：</w:t>
      </w:r>
      <w:r>
        <w:rPr>
          <w:rFonts w:hint="eastAsia" w:ascii="仿宋" w:hAnsi="仿宋" w:eastAsia="仿宋" w:cs="仿宋"/>
          <w:color w:val="auto"/>
          <w:sz w:val="28"/>
          <w:szCs w:val="28"/>
          <w:highlight w:val="none"/>
        </w:rPr>
        <w:t>该项权重分为</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本项目由偃师区住房和城乡建设局组织实施，项目工程</w:t>
      </w:r>
      <w:r>
        <w:rPr>
          <w:rFonts w:hint="eastAsia" w:ascii="仿宋" w:hAnsi="仿宋" w:eastAsia="仿宋" w:cs="仿宋"/>
          <w:color w:val="auto"/>
          <w:sz w:val="28"/>
          <w:szCs w:val="28"/>
          <w:highlight w:val="none"/>
        </w:rPr>
        <w:t>采购为竞争性磋商采购，</w:t>
      </w:r>
      <w:r>
        <w:rPr>
          <w:rFonts w:hint="eastAsia" w:ascii="仿宋" w:hAnsi="仿宋" w:eastAsia="仿宋" w:cs="仿宋"/>
          <w:color w:val="auto"/>
          <w:sz w:val="28"/>
          <w:szCs w:val="28"/>
          <w:highlight w:val="none"/>
          <w:lang w:eastAsia="zh-CN"/>
        </w:rPr>
        <w:t>在财政部门的参与监督下，严格按照</w:t>
      </w:r>
      <w:r>
        <w:rPr>
          <w:rFonts w:hint="eastAsia" w:ascii="仿宋" w:hAnsi="仿宋" w:eastAsia="仿宋" w:cs="仿宋"/>
          <w:strike w:val="0"/>
          <w:dstrike w:val="0"/>
          <w:color w:val="auto"/>
          <w:sz w:val="28"/>
          <w:szCs w:val="28"/>
          <w:highlight w:val="none"/>
          <w:u w:val="none"/>
        </w:rPr>
        <w:t>《中华人民共和国招标投标法》</w:t>
      </w:r>
      <w:r>
        <w:rPr>
          <w:rFonts w:hint="eastAsia" w:ascii="仿宋" w:hAnsi="仿宋" w:eastAsia="仿宋" w:cs="仿宋"/>
          <w:strike w:val="0"/>
          <w:dstrike w:val="0"/>
          <w:color w:val="auto"/>
          <w:sz w:val="28"/>
          <w:szCs w:val="28"/>
          <w:highlight w:val="none"/>
          <w:u w:val="none"/>
          <w:lang w:eastAsia="zh-CN"/>
        </w:rPr>
        <w:t>及</w:t>
      </w:r>
      <w:r>
        <w:rPr>
          <w:rFonts w:hint="eastAsia" w:ascii="仿宋" w:hAnsi="仿宋" w:eastAsia="仿宋" w:cs="仿宋"/>
          <w:color w:val="auto"/>
          <w:sz w:val="28"/>
          <w:szCs w:val="28"/>
          <w:highlight w:val="none"/>
          <w:lang w:eastAsia="zh-CN"/>
        </w:rPr>
        <w:t>有关规定</w:t>
      </w:r>
      <w:r>
        <w:rPr>
          <w:rFonts w:hint="eastAsia" w:ascii="仿宋" w:hAnsi="仿宋" w:eastAsia="仿宋" w:cs="仿宋"/>
          <w:color w:val="auto"/>
          <w:sz w:val="28"/>
          <w:szCs w:val="28"/>
          <w:highlight w:val="none"/>
        </w:rPr>
        <w:t>委托华夏经纬工程咨询有限公司代为</w:t>
      </w:r>
      <w:r>
        <w:rPr>
          <w:rFonts w:hint="eastAsia" w:ascii="仿宋" w:hAnsi="仿宋" w:eastAsia="仿宋" w:cs="仿宋"/>
          <w:color w:val="auto"/>
          <w:sz w:val="28"/>
          <w:szCs w:val="28"/>
          <w:highlight w:val="none"/>
          <w:lang w:eastAsia="zh-CN"/>
        </w:rPr>
        <w:t>公开招标。</w:t>
      </w:r>
      <w:r>
        <w:rPr>
          <w:rFonts w:hint="eastAsia" w:ascii="仿宋" w:hAnsi="仿宋" w:eastAsia="仿宋" w:cs="仿宋"/>
          <w:color w:val="auto"/>
          <w:sz w:val="28"/>
          <w:szCs w:val="28"/>
          <w:highlight w:val="none"/>
        </w:rPr>
        <w:t>于202</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23</w:t>
      </w:r>
      <w:r>
        <w:rPr>
          <w:rFonts w:hint="eastAsia" w:ascii="仿宋" w:hAnsi="仿宋" w:eastAsia="仿宋" w:cs="仿宋"/>
          <w:color w:val="auto"/>
          <w:sz w:val="28"/>
          <w:szCs w:val="28"/>
          <w:highlight w:val="none"/>
        </w:rPr>
        <w:t>日开标，经过评标工作确定</w:t>
      </w:r>
      <w:r>
        <w:rPr>
          <w:rFonts w:hint="eastAsia" w:ascii="仿宋" w:hAnsi="仿宋" w:eastAsia="仿宋" w:cs="仿宋"/>
          <w:color w:val="auto"/>
          <w:sz w:val="28"/>
          <w:szCs w:val="28"/>
          <w:highlight w:val="none"/>
          <w:lang w:eastAsia="zh-CN"/>
        </w:rPr>
        <w:t>洛阳建兴市政工程有限公司</w:t>
      </w:r>
      <w:r>
        <w:rPr>
          <w:rFonts w:hint="eastAsia" w:ascii="仿宋" w:hAnsi="仿宋" w:eastAsia="仿宋" w:cs="仿宋"/>
          <w:color w:val="auto"/>
          <w:sz w:val="28"/>
          <w:szCs w:val="28"/>
          <w:highlight w:val="none"/>
        </w:rPr>
        <w:t>为中标单位，招投标过程中开标、评标、定标过程规范</w:t>
      </w:r>
      <w:r>
        <w:rPr>
          <w:rFonts w:hint="eastAsia" w:ascii="仿宋" w:hAnsi="仿宋" w:eastAsia="仿宋" w:cs="仿宋"/>
          <w:color w:val="auto"/>
          <w:sz w:val="28"/>
          <w:szCs w:val="28"/>
          <w:highlight w:val="none"/>
          <w:lang w:eastAsia="zh-CN"/>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202</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23</w:t>
      </w:r>
      <w:r>
        <w:rPr>
          <w:rFonts w:hint="eastAsia" w:ascii="仿宋" w:hAnsi="仿宋" w:eastAsia="仿宋" w:cs="仿宋"/>
          <w:color w:val="auto"/>
          <w:sz w:val="28"/>
          <w:szCs w:val="28"/>
          <w:highlight w:val="none"/>
        </w:rPr>
        <w:t>日与</w:t>
      </w:r>
      <w:r>
        <w:rPr>
          <w:rFonts w:hint="eastAsia" w:ascii="仿宋" w:hAnsi="仿宋" w:eastAsia="仿宋" w:cs="仿宋"/>
          <w:color w:val="auto"/>
          <w:sz w:val="28"/>
          <w:szCs w:val="28"/>
          <w:highlight w:val="none"/>
          <w:lang w:eastAsia="zh-CN"/>
        </w:rPr>
        <w:t>河南大久工程管理有限公司</w:t>
      </w:r>
      <w:r>
        <w:rPr>
          <w:rFonts w:hint="eastAsia" w:ascii="仿宋" w:hAnsi="仿宋" w:eastAsia="仿宋" w:cs="仿宋"/>
          <w:color w:val="auto"/>
          <w:sz w:val="28"/>
          <w:szCs w:val="28"/>
          <w:highlight w:val="none"/>
        </w:rPr>
        <w:t>签订合同确定其为工程监理方，设置工程项目总监，监理公司及项目总监对工程质量、费用、安全、进度等进行全程监管，签署工程验证认可书、参与工程竣工预验收和相关验收文件，工程监管规范</w:t>
      </w:r>
      <w:r>
        <w:rPr>
          <w:rFonts w:hint="eastAsia" w:ascii="仿宋" w:hAnsi="仿宋" w:eastAsia="仿宋" w:cs="仿宋"/>
          <w:color w:val="auto"/>
          <w:sz w:val="28"/>
          <w:szCs w:val="28"/>
          <w:highlight w:val="none"/>
          <w:lang w:eastAsia="zh-CN"/>
        </w:rPr>
        <w:t>。</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2021年</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日竣工验收，验收时建设单位、监理单位、施工单位联合在竣工验收证书上盖章签字，证明该工程验收合格。项目建设</w:t>
      </w:r>
      <w:r>
        <w:rPr>
          <w:rFonts w:hint="eastAsia" w:ascii="仿宋" w:hAnsi="仿宋" w:eastAsia="仿宋" w:cs="仿宋"/>
          <w:color w:val="auto"/>
          <w:sz w:val="28"/>
          <w:szCs w:val="28"/>
          <w:highlight w:val="none"/>
          <w:lang w:eastAsia="zh-CN"/>
        </w:rPr>
        <w:t>单位</w:t>
      </w:r>
      <w:r>
        <w:rPr>
          <w:rFonts w:hint="eastAsia" w:ascii="仿宋" w:hAnsi="仿宋" w:eastAsia="仿宋" w:cs="仿宋"/>
          <w:color w:val="auto"/>
          <w:sz w:val="28"/>
          <w:szCs w:val="28"/>
          <w:highlight w:val="none"/>
        </w:rPr>
        <w:t>与施工单位、监理单位等各单位签订了项目相关合同，合同内容与实际执行内容一致。档案齐全，归档及时、规范。</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资金到位率：该项权重分为</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本项目资金为财政资金，偃师区2021年城市公共区域窨井设施治理提升工程项目预算资金为</w:t>
      </w:r>
      <w:r>
        <w:rPr>
          <w:rFonts w:hint="eastAsia" w:ascii="仿宋" w:hAnsi="仿宋" w:eastAsia="仿宋" w:cs="仿宋"/>
          <w:color w:val="auto"/>
          <w:sz w:val="28"/>
          <w:szCs w:val="28"/>
          <w:highlight w:val="none"/>
          <w:lang w:val="en-US" w:eastAsia="zh-CN"/>
        </w:rPr>
        <w:t>172.50万</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lang w:eastAsia="zh-CN"/>
        </w:rPr>
        <w:t>偃师</w:t>
      </w:r>
      <w:r>
        <w:rPr>
          <w:rFonts w:hint="eastAsia" w:ascii="仿宋" w:hAnsi="仿宋" w:eastAsia="仿宋" w:cs="仿宋"/>
          <w:color w:val="auto"/>
          <w:sz w:val="28"/>
          <w:szCs w:val="28"/>
          <w:highlight w:val="none"/>
        </w:rPr>
        <w:t>区财政拨付资金</w:t>
      </w:r>
      <w:r>
        <w:rPr>
          <w:rFonts w:hint="eastAsia" w:ascii="仿宋" w:hAnsi="仿宋" w:eastAsia="仿宋" w:cs="仿宋"/>
          <w:color w:val="auto"/>
          <w:sz w:val="28"/>
          <w:szCs w:val="28"/>
          <w:highlight w:val="none"/>
          <w:lang w:eastAsia="zh-CN"/>
        </w:rPr>
        <w:t>160.00</w:t>
      </w:r>
      <w:r>
        <w:rPr>
          <w:rFonts w:hint="eastAsia" w:ascii="仿宋" w:hAnsi="仿宋" w:eastAsia="仿宋" w:cs="仿宋"/>
          <w:color w:val="auto"/>
          <w:sz w:val="28"/>
          <w:szCs w:val="28"/>
          <w:highlight w:val="none"/>
        </w:rPr>
        <w:t>万元。资金到位率</w:t>
      </w:r>
      <w:r>
        <w:rPr>
          <w:rFonts w:hint="eastAsia" w:ascii="仿宋" w:hAnsi="仿宋" w:eastAsia="仿宋" w:cs="仿宋"/>
          <w:color w:val="auto"/>
          <w:sz w:val="28"/>
          <w:szCs w:val="28"/>
          <w:highlight w:val="none"/>
          <w:lang w:val="en-US" w:eastAsia="zh-CN"/>
        </w:rPr>
        <w:t>92.75</w:t>
      </w:r>
      <w:r>
        <w:rPr>
          <w:rFonts w:hint="eastAsia" w:ascii="仿宋" w:hAnsi="仿宋" w:eastAsia="仿宋" w:cs="仿宋"/>
          <w:color w:val="auto"/>
          <w:sz w:val="28"/>
          <w:szCs w:val="28"/>
          <w:highlight w:val="none"/>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预算执行率：该项权重分为</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2021年8月和10月</w:t>
      </w:r>
      <w:r>
        <w:rPr>
          <w:rFonts w:hint="eastAsia" w:ascii="仿宋" w:hAnsi="仿宋" w:eastAsia="仿宋" w:cs="仿宋"/>
          <w:color w:val="auto"/>
          <w:sz w:val="28"/>
          <w:szCs w:val="28"/>
          <w:highlight w:val="none"/>
          <w:lang w:eastAsia="zh-CN"/>
        </w:rPr>
        <w:t>偃师</w:t>
      </w:r>
      <w:r>
        <w:rPr>
          <w:rFonts w:hint="eastAsia" w:ascii="仿宋" w:hAnsi="仿宋" w:eastAsia="仿宋" w:cs="仿宋"/>
          <w:color w:val="auto"/>
          <w:sz w:val="28"/>
          <w:szCs w:val="28"/>
          <w:highlight w:val="none"/>
        </w:rPr>
        <w:t>区财政</w:t>
      </w:r>
      <w:r>
        <w:rPr>
          <w:rFonts w:hint="eastAsia" w:ascii="仿宋" w:hAnsi="仿宋" w:eastAsia="仿宋" w:cs="仿宋"/>
          <w:color w:val="auto"/>
          <w:sz w:val="28"/>
          <w:szCs w:val="28"/>
          <w:highlight w:val="none"/>
          <w:lang w:eastAsia="zh-CN"/>
        </w:rPr>
        <w:t>共</w:t>
      </w:r>
      <w:r>
        <w:rPr>
          <w:rFonts w:hint="eastAsia" w:ascii="仿宋" w:hAnsi="仿宋" w:eastAsia="仿宋" w:cs="仿宋"/>
          <w:color w:val="auto"/>
          <w:sz w:val="28"/>
          <w:szCs w:val="28"/>
          <w:highlight w:val="none"/>
        </w:rPr>
        <w:t>拨付资金</w:t>
      </w:r>
      <w:r>
        <w:rPr>
          <w:rFonts w:hint="eastAsia" w:ascii="仿宋" w:hAnsi="仿宋" w:eastAsia="仿宋" w:cs="仿宋"/>
          <w:color w:val="auto"/>
          <w:sz w:val="28"/>
          <w:szCs w:val="28"/>
          <w:highlight w:val="none"/>
          <w:lang w:eastAsia="zh-CN"/>
        </w:rPr>
        <w:t>160.00</w:t>
      </w:r>
      <w:r>
        <w:rPr>
          <w:rFonts w:hint="eastAsia" w:ascii="仿宋" w:hAnsi="仿宋" w:eastAsia="仿宋" w:cs="仿宋"/>
          <w:color w:val="auto"/>
          <w:sz w:val="28"/>
          <w:szCs w:val="28"/>
          <w:highlight w:val="none"/>
        </w:rPr>
        <w:t>万元，已按照合同约定支付至洛阳建兴市政工程有限公司。截至202</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28</w:t>
      </w:r>
      <w:r>
        <w:rPr>
          <w:rFonts w:hint="eastAsia" w:ascii="仿宋" w:hAnsi="仿宋" w:eastAsia="仿宋" w:cs="仿宋"/>
          <w:color w:val="auto"/>
          <w:sz w:val="28"/>
          <w:szCs w:val="28"/>
          <w:highlight w:val="none"/>
        </w:rPr>
        <w:t>日，该项目实际支付金额为</w:t>
      </w:r>
      <w:r>
        <w:rPr>
          <w:rFonts w:hint="eastAsia" w:ascii="仿宋" w:hAnsi="仿宋" w:eastAsia="仿宋" w:cs="仿宋"/>
          <w:color w:val="auto"/>
          <w:sz w:val="28"/>
          <w:szCs w:val="28"/>
          <w:highlight w:val="none"/>
          <w:lang w:val="en-US" w:eastAsia="zh-CN"/>
        </w:rPr>
        <w:t>160.00万</w:t>
      </w:r>
      <w:r>
        <w:rPr>
          <w:rFonts w:hint="eastAsia" w:ascii="仿宋" w:hAnsi="仿宋" w:eastAsia="仿宋" w:cs="仿宋"/>
          <w:color w:val="auto"/>
          <w:sz w:val="28"/>
          <w:szCs w:val="28"/>
          <w:highlight w:val="none"/>
        </w:rPr>
        <w:t>元，实际到位资金为</w:t>
      </w:r>
      <w:r>
        <w:rPr>
          <w:rFonts w:hint="eastAsia" w:ascii="仿宋" w:hAnsi="仿宋" w:eastAsia="仿宋" w:cs="仿宋"/>
          <w:color w:val="auto"/>
          <w:sz w:val="28"/>
          <w:szCs w:val="28"/>
          <w:highlight w:val="none"/>
          <w:lang w:val="en-US" w:eastAsia="zh-CN"/>
        </w:rPr>
        <w:t>160.00万</w:t>
      </w:r>
      <w:r>
        <w:rPr>
          <w:rFonts w:hint="eastAsia" w:ascii="仿宋" w:hAnsi="仿宋" w:eastAsia="仿宋" w:cs="仿宋"/>
          <w:color w:val="auto"/>
          <w:sz w:val="28"/>
          <w:szCs w:val="28"/>
          <w:highlight w:val="none"/>
        </w:rPr>
        <w:t>元，预算执行率</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资金使用合规性：该项权重分为</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本</w:t>
      </w:r>
      <w:r>
        <w:rPr>
          <w:rFonts w:hint="eastAsia" w:ascii="仿宋" w:hAnsi="仿宋" w:eastAsia="仿宋" w:cs="仿宋"/>
          <w:color w:val="auto"/>
          <w:sz w:val="28"/>
          <w:szCs w:val="28"/>
          <w:highlight w:val="none"/>
        </w:rPr>
        <w:t>项目资金为财政资金。本项目实施单位偃师区住房和城乡建设局内部制度</w:t>
      </w:r>
      <w:r>
        <w:rPr>
          <w:rFonts w:hint="eastAsia" w:ascii="仿宋" w:hAnsi="仿宋" w:eastAsia="仿宋" w:cs="仿宋"/>
          <w:color w:val="auto"/>
          <w:sz w:val="28"/>
          <w:szCs w:val="28"/>
          <w:highlight w:val="none"/>
          <w:lang w:eastAsia="zh-CN"/>
        </w:rPr>
        <w:t>健</w:t>
      </w:r>
      <w:r>
        <w:rPr>
          <w:rFonts w:hint="eastAsia" w:ascii="仿宋" w:hAnsi="仿宋" w:eastAsia="仿宋" w:cs="仿宋"/>
          <w:color w:val="auto"/>
          <w:sz w:val="28"/>
          <w:szCs w:val="28"/>
          <w:highlight w:val="none"/>
        </w:rPr>
        <w:t>全，管理规范，资金严格依据相关的财务管理制度，实行“专款专用”。项目支出严格依据会计细则，由经办人、负责人、单位领导等逐级审核签字的程序进行审批后方可支付。资金支付给施工单位、监理单位等均符合合同规定的用途。资金拨付有完整的申请审批资料和手续，合同、发票、审批手续等资料附于支付凭证后面，符合财务管理制度及有关专项资金管理办法的规定。符合项目预算批复。未发现截留、挤占、挪用、虚报支出等情况。</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color w:val="auto"/>
          <w:sz w:val="28"/>
          <w:szCs w:val="28"/>
          <w:highlight w:val="none"/>
          <w:lang w:eastAsia="zh-CN"/>
        </w:rPr>
        <w:t>（三）</w:t>
      </w:r>
      <w:r>
        <w:rPr>
          <w:rFonts w:hint="eastAsia" w:ascii="仿宋" w:hAnsi="仿宋" w:eastAsia="仿宋" w:cs="仿宋"/>
          <w:b w:val="0"/>
          <w:bCs w:val="0"/>
          <w:color w:val="auto"/>
          <w:sz w:val="28"/>
          <w:szCs w:val="28"/>
          <w:highlight w:val="none"/>
        </w:rPr>
        <w:t>项目产出情况</w:t>
      </w:r>
    </w:p>
    <w:p>
      <w:pPr>
        <w:pStyle w:val="7"/>
        <w:keepNext w:val="0"/>
        <w:keepLines w:val="0"/>
        <w:pageBreakBefore w:val="0"/>
        <w:widowControl w:val="0"/>
        <w:kinsoku/>
        <w:wordWrap/>
        <w:overflowPunct/>
        <w:topLinePunct w:val="0"/>
        <w:autoSpaceDE/>
        <w:autoSpaceDN/>
        <w:bidi w:val="0"/>
        <w:adjustRightInd/>
        <w:snapToGrid/>
        <w:spacing w:beforeAutospacing="0" w:after="157" w:afterLines="50" w:afterAutospacing="0" w:line="560" w:lineRule="exact"/>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项目产出共设置有</w:t>
      </w:r>
      <w:r>
        <w:rPr>
          <w:rFonts w:hint="eastAsia" w:ascii="仿宋" w:hAnsi="仿宋" w:eastAsia="仿宋" w:cs="仿宋"/>
          <w:b w:val="0"/>
          <w:bCs w:val="0"/>
          <w:color w:val="auto"/>
          <w:sz w:val="28"/>
          <w:szCs w:val="28"/>
          <w:highlight w:val="none"/>
          <w:lang w:val="en-US" w:eastAsia="zh-CN"/>
        </w:rPr>
        <w:t>4</w:t>
      </w:r>
      <w:r>
        <w:rPr>
          <w:rFonts w:hint="eastAsia" w:ascii="仿宋" w:hAnsi="仿宋" w:eastAsia="仿宋" w:cs="仿宋"/>
          <w:b w:val="0"/>
          <w:bCs w:val="0"/>
          <w:color w:val="auto"/>
          <w:sz w:val="28"/>
          <w:szCs w:val="28"/>
          <w:highlight w:val="none"/>
        </w:rPr>
        <w:t>个二级指标和4个三级指标，</w:t>
      </w:r>
      <w:r>
        <w:rPr>
          <w:rFonts w:hint="eastAsia" w:ascii="仿宋" w:hAnsi="仿宋" w:eastAsia="仿宋" w:cs="仿宋"/>
          <w:color w:val="auto"/>
          <w:sz w:val="28"/>
          <w:szCs w:val="28"/>
          <w:highlight w:val="none"/>
        </w:rPr>
        <w:t>权重分</w:t>
      </w:r>
      <w:r>
        <w:rPr>
          <w:rFonts w:hint="eastAsia" w:ascii="仿宋" w:hAnsi="仿宋" w:eastAsia="仿宋" w:cs="仿宋"/>
          <w:color w:val="auto"/>
          <w:sz w:val="28"/>
          <w:szCs w:val="28"/>
          <w:highlight w:val="none"/>
          <w:lang w:val="en-US" w:eastAsia="zh-CN"/>
        </w:rPr>
        <w:t>26</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26</w:t>
      </w:r>
      <w:r>
        <w:rPr>
          <w:rFonts w:hint="eastAsia" w:ascii="仿宋" w:hAnsi="仿宋" w:eastAsia="仿宋" w:cs="仿宋"/>
          <w:color w:val="auto"/>
          <w:sz w:val="28"/>
          <w:szCs w:val="28"/>
          <w:highlight w:val="none"/>
        </w:rPr>
        <w:t>分。</w:t>
      </w:r>
      <w:r>
        <w:rPr>
          <w:rFonts w:hint="eastAsia" w:ascii="仿宋" w:hAnsi="仿宋" w:eastAsia="仿宋" w:cs="仿宋"/>
          <w:b w:val="0"/>
          <w:bCs w:val="0"/>
          <w:color w:val="auto"/>
          <w:sz w:val="28"/>
          <w:szCs w:val="28"/>
          <w:highlight w:val="none"/>
        </w:rPr>
        <w:t>得分如下所示：</w:t>
      </w:r>
    </w:p>
    <w:tbl>
      <w:tblPr>
        <w:tblStyle w:val="9"/>
        <w:tblW w:w="488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18"/>
        <w:gridCol w:w="1819"/>
        <w:gridCol w:w="1819"/>
        <w:gridCol w:w="1819"/>
        <w:gridCol w:w="16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trPr>
        <w:tc>
          <w:tcPr>
            <w:tcW w:w="101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一级指标</w:t>
            </w:r>
          </w:p>
        </w:tc>
        <w:tc>
          <w:tcPr>
            <w:tcW w:w="101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二级指标</w:t>
            </w:r>
          </w:p>
        </w:tc>
        <w:tc>
          <w:tcPr>
            <w:tcW w:w="101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三级指标</w:t>
            </w:r>
          </w:p>
        </w:tc>
        <w:tc>
          <w:tcPr>
            <w:tcW w:w="1018"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权重</w:t>
            </w:r>
          </w:p>
        </w:tc>
        <w:tc>
          <w:tcPr>
            <w:tcW w:w="927"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017" w:type="pct"/>
            <w:vMerge w:val="restart"/>
            <w:tcBorders>
              <w:top w:val="nil"/>
              <w:left w:val="single" w:color="000000" w:sz="8" w:space="0"/>
              <w:bottom w:val="single" w:color="000000" w:sz="8"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项目产出</w:t>
            </w:r>
          </w:p>
        </w:tc>
        <w:tc>
          <w:tcPr>
            <w:tcW w:w="101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产出数量</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实际完成率</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7</w:t>
            </w:r>
          </w:p>
        </w:tc>
        <w:tc>
          <w:tcPr>
            <w:tcW w:w="92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017" w:type="pct"/>
            <w:vMerge w:val="continue"/>
            <w:tcBorders>
              <w:top w:val="nil"/>
              <w:left w:val="single" w:color="000000" w:sz="8" w:space="0"/>
              <w:bottom w:val="single" w:color="000000" w:sz="8" w:space="0"/>
              <w:right w:val="nil"/>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101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产出质量</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sz w:val="20"/>
                <w:szCs w:val="20"/>
                <w:highlight w:val="none"/>
                <w:u w:val="none"/>
              </w:rPr>
              <w:t>质量达标率</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7</w:t>
            </w:r>
          </w:p>
        </w:tc>
        <w:tc>
          <w:tcPr>
            <w:tcW w:w="92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017" w:type="pct"/>
            <w:vMerge w:val="continue"/>
            <w:tcBorders>
              <w:top w:val="nil"/>
              <w:left w:val="single" w:color="000000" w:sz="8" w:space="0"/>
              <w:bottom w:val="single" w:color="000000" w:sz="8" w:space="0"/>
              <w:right w:val="nil"/>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101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产出时效</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完成及时性</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6</w:t>
            </w:r>
          </w:p>
        </w:tc>
        <w:tc>
          <w:tcPr>
            <w:tcW w:w="92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exact"/>
        </w:trPr>
        <w:tc>
          <w:tcPr>
            <w:tcW w:w="1017" w:type="pct"/>
            <w:vMerge w:val="continue"/>
            <w:tcBorders>
              <w:top w:val="nil"/>
              <w:left w:val="single" w:color="000000" w:sz="8" w:space="0"/>
              <w:bottom w:val="single" w:color="000000" w:sz="8" w:space="0"/>
              <w:right w:val="nil"/>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1018"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产出成本</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成本节约率</w:t>
            </w:r>
          </w:p>
        </w:tc>
        <w:tc>
          <w:tcPr>
            <w:tcW w:w="1018"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6</w:t>
            </w:r>
          </w:p>
        </w:tc>
        <w:tc>
          <w:tcPr>
            <w:tcW w:w="927" w:type="pct"/>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lang w:val="en-US" w:eastAsia="zh-CN"/>
              </w:rPr>
            </w:pPr>
            <w:r>
              <w:rPr>
                <w:rFonts w:hint="eastAsia" w:ascii="仿宋" w:hAnsi="仿宋" w:eastAsia="仿宋" w:cs="仿宋"/>
                <w:i w:val="0"/>
                <w:iCs w:val="0"/>
                <w:color w:val="auto"/>
                <w:sz w:val="20"/>
                <w:szCs w:val="20"/>
                <w:highlight w:val="none"/>
                <w:u w:val="none"/>
                <w:lang w:val="en-US" w:eastAsia="zh-CN"/>
              </w:rPr>
              <w:t>6</w:t>
            </w:r>
          </w:p>
        </w:tc>
      </w:tr>
    </w:tbl>
    <w:p>
      <w:pPr>
        <w:pStyle w:val="7"/>
        <w:keepNext w:val="0"/>
        <w:keepLines w:val="0"/>
        <w:pageBreakBefore w:val="0"/>
        <w:widowControl/>
        <w:numPr>
          <w:ilvl w:val="0"/>
          <w:numId w:val="5"/>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实际完成率：该项权重分为</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偃师区2021年城市公共区域窨井设施治理提升工程</w:t>
      </w:r>
      <w:r>
        <w:rPr>
          <w:rFonts w:hint="eastAsia" w:ascii="仿宋" w:hAnsi="仿宋" w:eastAsia="仿宋" w:cs="仿宋"/>
          <w:color w:val="auto"/>
          <w:sz w:val="28"/>
          <w:szCs w:val="28"/>
          <w:highlight w:val="none"/>
          <w:lang w:val="en-US" w:eastAsia="zh-CN"/>
        </w:rPr>
        <w:t>，实际</w:t>
      </w:r>
      <w:r>
        <w:rPr>
          <w:rFonts w:hint="eastAsia" w:ascii="仿宋" w:hAnsi="仿宋" w:eastAsia="仿宋" w:cs="仿宋"/>
          <w:color w:val="auto"/>
          <w:sz w:val="28"/>
          <w:szCs w:val="28"/>
          <w:highlight w:val="none"/>
        </w:rPr>
        <w:t>开工日期为202</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26</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eastAsia="zh-CN"/>
        </w:rPr>
        <w:t>实际</w:t>
      </w:r>
      <w:r>
        <w:rPr>
          <w:rFonts w:hint="eastAsia" w:ascii="仿宋" w:hAnsi="仿宋" w:eastAsia="仿宋" w:cs="仿宋"/>
          <w:color w:val="auto"/>
          <w:sz w:val="28"/>
          <w:szCs w:val="28"/>
          <w:highlight w:val="none"/>
        </w:rPr>
        <w:t>竣工日期为2021年</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eastAsia="zh-CN"/>
        </w:rPr>
        <w:t>实际</w:t>
      </w:r>
      <w:r>
        <w:rPr>
          <w:rFonts w:hint="eastAsia" w:ascii="仿宋" w:hAnsi="仿宋" w:eastAsia="仿宋" w:cs="仿宋"/>
          <w:color w:val="auto"/>
          <w:sz w:val="28"/>
          <w:szCs w:val="28"/>
          <w:highlight w:val="none"/>
        </w:rPr>
        <w:t>竣工验收</w:t>
      </w:r>
      <w:r>
        <w:rPr>
          <w:rFonts w:hint="eastAsia" w:ascii="仿宋" w:hAnsi="仿宋" w:eastAsia="仿宋" w:cs="仿宋"/>
          <w:color w:val="auto"/>
          <w:sz w:val="28"/>
          <w:szCs w:val="28"/>
          <w:highlight w:val="none"/>
          <w:lang w:eastAsia="zh-CN"/>
        </w:rPr>
        <w:t>日期为</w:t>
      </w:r>
      <w:r>
        <w:rPr>
          <w:rFonts w:hint="eastAsia" w:ascii="仿宋" w:hAnsi="仿宋" w:eastAsia="仿宋" w:cs="仿宋"/>
          <w:color w:val="auto"/>
          <w:sz w:val="28"/>
          <w:szCs w:val="28"/>
          <w:highlight w:val="none"/>
        </w:rPr>
        <w:t>2021年</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工程竣工验收时施工单位、监理单位、建设单位、设计单位共同</w:t>
      </w:r>
      <w:r>
        <w:rPr>
          <w:rFonts w:hint="eastAsia" w:ascii="仿宋" w:hAnsi="仿宋" w:eastAsia="仿宋" w:cs="仿宋"/>
          <w:color w:val="auto"/>
          <w:sz w:val="28"/>
          <w:szCs w:val="28"/>
          <w:highlight w:val="none"/>
          <w:lang w:eastAsia="zh-CN"/>
        </w:rPr>
        <w:t>签认</w:t>
      </w:r>
      <w:r>
        <w:rPr>
          <w:rFonts w:hint="eastAsia" w:ascii="仿宋" w:hAnsi="仿宋" w:eastAsia="仿宋" w:cs="仿宋"/>
          <w:color w:val="auto"/>
          <w:sz w:val="28"/>
          <w:szCs w:val="28"/>
          <w:highlight w:val="none"/>
        </w:rPr>
        <w:t>竣工验收证书</w:t>
      </w:r>
      <w:r>
        <w:rPr>
          <w:rFonts w:hint="eastAsia" w:ascii="仿宋" w:hAnsi="仿宋" w:eastAsia="仿宋" w:cs="仿宋"/>
          <w:color w:val="auto"/>
          <w:sz w:val="28"/>
          <w:szCs w:val="28"/>
          <w:highlight w:val="none"/>
          <w:lang w:eastAsia="zh-CN"/>
        </w:rPr>
        <w:t>，证明</w:t>
      </w:r>
      <w:r>
        <w:rPr>
          <w:rFonts w:hint="eastAsia" w:ascii="仿宋" w:hAnsi="仿宋" w:eastAsia="仿宋" w:cs="仿宋"/>
          <w:color w:val="auto"/>
          <w:sz w:val="28"/>
          <w:szCs w:val="28"/>
          <w:highlight w:val="none"/>
        </w:rPr>
        <w:t>工程按照</w:t>
      </w:r>
      <w:r>
        <w:rPr>
          <w:rFonts w:hint="eastAsia" w:ascii="仿宋" w:hAnsi="仿宋" w:eastAsia="仿宋" w:cs="仿宋"/>
          <w:color w:val="auto"/>
          <w:sz w:val="28"/>
          <w:szCs w:val="28"/>
          <w:highlight w:val="none"/>
          <w:lang w:eastAsia="zh-CN"/>
        </w:rPr>
        <w:t>施工合同的规定条款</w:t>
      </w:r>
      <w:r>
        <w:rPr>
          <w:rFonts w:hint="eastAsia" w:ascii="仿宋" w:hAnsi="仿宋" w:eastAsia="仿宋" w:cs="仿宋"/>
          <w:color w:val="auto"/>
          <w:sz w:val="28"/>
          <w:szCs w:val="28"/>
          <w:highlight w:val="none"/>
        </w:rPr>
        <w:t>完成。</w:t>
      </w:r>
      <w:r>
        <w:rPr>
          <w:rFonts w:hint="eastAsia" w:ascii="仿宋" w:hAnsi="仿宋" w:eastAsia="仿宋" w:cs="仿宋"/>
          <w:color w:val="auto"/>
          <w:sz w:val="28"/>
          <w:szCs w:val="28"/>
          <w:highlight w:val="none"/>
          <w:lang w:eastAsia="zh-CN"/>
        </w:rPr>
        <w:t>《计量申报表》显示：截止到</w:t>
      </w:r>
      <w:r>
        <w:rPr>
          <w:rFonts w:hint="eastAsia" w:ascii="仿宋" w:hAnsi="仿宋" w:eastAsia="仿宋" w:cs="仿宋"/>
          <w:color w:val="auto"/>
          <w:sz w:val="28"/>
          <w:szCs w:val="28"/>
          <w:highlight w:val="none"/>
          <w:lang w:val="en-US" w:eastAsia="zh-CN"/>
        </w:rPr>
        <w:t>2021年8月4日，洛阳建兴市政工程有限公司（施工单位）已</w:t>
      </w:r>
      <w:r>
        <w:rPr>
          <w:rFonts w:hint="eastAsia" w:ascii="仿宋" w:hAnsi="仿宋" w:eastAsia="仿宋" w:cs="仿宋"/>
          <w:color w:val="auto"/>
          <w:sz w:val="28"/>
          <w:szCs w:val="28"/>
          <w:highlight w:val="none"/>
          <w:lang w:eastAsia="zh-CN"/>
        </w:rPr>
        <w:t>完成人行道更换井盖135座，沥青砼车行道更换井盖378座，砼路面车行道更换井盖117座，沥青路面更换雨水篦子185座，砼路面更换雨水篦子56座，安装防坠网630套。</w:t>
      </w:r>
    </w:p>
    <w:p>
      <w:pPr>
        <w:pStyle w:val="7"/>
        <w:keepNext w:val="0"/>
        <w:keepLines w:val="0"/>
        <w:pageBreakBefore w:val="0"/>
        <w:widowControl/>
        <w:numPr>
          <w:ilvl w:val="0"/>
          <w:numId w:val="5"/>
        </w:numPr>
        <w:tabs>
          <w:tab w:val="left" w:pos="210"/>
        </w:tabs>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质量达标率：</w:t>
      </w:r>
      <w:r>
        <w:rPr>
          <w:rFonts w:hint="eastAsia" w:ascii="仿宋" w:hAnsi="仿宋" w:eastAsia="仿宋" w:cs="仿宋"/>
          <w:color w:val="auto"/>
          <w:sz w:val="28"/>
          <w:szCs w:val="28"/>
          <w:highlight w:val="none"/>
        </w:rPr>
        <w:t>该项权重分为</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tabs>
          <w:tab w:val="left" w:pos="210"/>
        </w:tabs>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竣工验收证书载明该工程的验收范围及数量</w:t>
      </w:r>
      <w:r>
        <w:rPr>
          <w:rFonts w:hint="eastAsia" w:ascii="仿宋" w:hAnsi="仿宋" w:eastAsia="仿宋" w:cs="仿宋"/>
          <w:color w:val="auto"/>
          <w:sz w:val="28"/>
          <w:szCs w:val="28"/>
          <w:highlight w:val="none"/>
          <w:lang w:eastAsia="zh-CN"/>
        </w:rPr>
        <w:t>符合</w:t>
      </w:r>
      <w:r>
        <w:rPr>
          <w:rFonts w:hint="eastAsia" w:ascii="仿宋" w:hAnsi="仿宋" w:eastAsia="仿宋" w:cs="仿宋"/>
          <w:color w:val="auto"/>
          <w:sz w:val="28"/>
          <w:szCs w:val="28"/>
          <w:highlight w:val="none"/>
        </w:rPr>
        <w:t>施工图纸及工程量清单范围内全部内容</w:t>
      </w:r>
      <w:r>
        <w:rPr>
          <w:rFonts w:hint="eastAsia" w:ascii="仿宋" w:hAnsi="仿宋" w:eastAsia="仿宋" w:cs="仿宋"/>
          <w:color w:val="auto"/>
          <w:sz w:val="28"/>
          <w:szCs w:val="28"/>
          <w:highlight w:val="none"/>
          <w:lang w:eastAsia="zh-CN"/>
        </w:rPr>
        <w:t>，工程质量</w:t>
      </w:r>
      <w:r>
        <w:rPr>
          <w:rFonts w:hint="eastAsia" w:ascii="仿宋" w:hAnsi="仿宋" w:eastAsia="仿宋" w:cs="仿宋"/>
          <w:color w:val="auto"/>
          <w:sz w:val="28"/>
          <w:szCs w:val="28"/>
          <w:highlight w:val="none"/>
        </w:rPr>
        <w:t>符合</w:t>
      </w:r>
      <w:r>
        <w:rPr>
          <w:rFonts w:hint="eastAsia" w:ascii="仿宋" w:hAnsi="仿宋" w:eastAsia="仿宋" w:cs="仿宋"/>
          <w:color w:val="auto"/>
          <w:sz w:val="28"/>
          <w:szCs w:val="28"/>
          <w:highlight w:val="none"/>
          <w:lang w:eastAsia="zh-CN"/>
        </w:rPr>
        <w:t>国家质量验收备案标准。施工现场存在问题已及时处理。建设单位、监理单位、施工单位三方</w:t>
      </w:r>
      <w:r>
        <w:rPr>
          <w:rFonts w:hint="eastAsia" w:ascii="仿宋" w:hAnsi="仿宋" w:eastAsia="仿宋" w:cs="仿宋"/>
          <w:color w:val="auto"/>
          <w:sz w:val="28"/>
          <w:szCs w:val="28"/>
          <w:highlight w:val="none"/>
        </w:rPr>
        <w:t>评价组</w:t>
      </w:r>
      <w:r>
        <w:rPr>
          <w:rFonts w:hint="eastAsia" w:ascii="仿宋" w:hAnsi="仿宋" w:eastAsia="仿宋" w:cs="仿宋"/>
          <w:color w:val="auto"/>
          <w:sz w:val="28"/>
          <w:szCs w:val="28"/>
          <w:highlight w:val="none"/>
          <w:lang w:eastAsia="zh-CN"/>
        </w:rPr>
        <w:t>现场验收合格，并在竣工验收证书签认</w:t>
      </w:r>
      <w:r>
        <w:rPr>
          <w:rFonts w:hint="eastAsia" w:ascii="仿宋" w:hAnsi="仿宋" w:eastAsia="仿宋" w:cs="仿宋"/>
          <w:color w:val="auto"/>
          <w:sz w:val="28"/>
          <w:szCs w:val="28"/>
          <w:highlight w:val="none"/>
        </w:rPr>
        <w:t>，证明该工程</w:t>
      </w:r>
      <w:r>
        <w:rPr>
          <w:rFonts w:hint="eastAsia" w:ascii="仿宋" w:hAnsi="仿宋" w:eastAsia="仿宋" w:cs="仿宋"/>
          <w:color w:val="auto"/>
          <w:sz w:val="28"/>
          <w:szCs w:val="28"/>
          <w:highlight w:val="none"/>
          <w:lang w:eastAsia="zh-CN"/>
        </w:rPr>
        <w:t>质量达标</w:t>
      </w:r>
      <w:r>
        <w:rPr>
          <w:rFonts w:hint="eastAsia" w:ascii="仿宋" w:hAnsi="仿宋" w:eastAsia="仿宋" w:cs="仿宋"/>
          <w:color w:val="auto"/>
          <w:sz w:val="28"/>
          <w:szCs w:val="28"/>
          <w:highlight w:val="none"/>
        </w:rPr>
        <w:t>。</w:t>
      </w:r>
    </w:p>
    <w:p>
      <w:pPr>
        <w:pStyle w:val="7"/>
        <w:keepNext w:val="0"/>
        <w:keepLines w:val="0"/>
        <w:pageBreakBefore w:val="0"/>
        <w:widowControl/>
        <w:numPr>
          <w:ilvl w:val="0"/>
          <w:numId w:val="5"/>
        </w:numPr>
        <w:tabs>
          <w:tab w:val="left" w:pos="210"/>
        </w:tabs>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完成及时性：</w:t>
      </w:r>
      <w:r>
        <w:rPr>
          <w:rFonts w:hint="eastAsia" w:ascii="仿宋" w:hAnsi="仿宋" w:eastAsia="仿宋" w:cs="仿宋"/>
          <w:color w:val="auto"/>
          <w:sz w:val="28"/>
          <w:szCs w:val="28"/>
          <w:highlight w:val="none"/>
          <w:lang w:eastAsia="zh-CN"/>
        </w:rPr>
        <w:t>该</w:t>
      </w:r>
      <w:r>
        <w:rPr>
          <w:rFonts w:hint="eastAsia" w:ascii="仿宋" w:hAnsi="仿宋" w:eastAsia="仿宋" w:cs="仿宋"/>
          <w:color w:val="auto"/>
          <w:sz w:val="28"/>
          <w:szCs w:val="28"/>
          <w:highlight w:val="none"/>
        </w:rPr>
        <w:t>项权重分为</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tabs>
          <w:tab w:val="left" w:pos="210"/>
        </w:tabs>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施工合同约定工期为30</w:t>
      </w:r>
      <w:r>
        <w:rPr>
          <w:rFonts w:hint="eastAsia" w:ascii="仿宋" w:hAnsi="仿宋" w:eastAsia="仿宋" w:cs="仿宋"/>
          <w:color w:val="auto"/>
          <w:sz w:val="28"/>
          <w:szCs w:val="28"/>
          <w:highlight w:val="none"/>
          <w:lang w:eastAsia="zh-CN"/>
        </w:rPr>
        <w:t>日历</w:t>
      </w:r>
      <w:r>
        <w:rPr>
          <w:rFonts w:hint="eastAsia" w:ascii="仿宋" w:hAnsi="仿宋" w:eastAsia="仿宋" w:cs="仿宋"/>
          <w:color w:val="auto"/>
          <w:sz w:val="28"/>
          <w:szCs w:val="28"/>
          <w:highlight w:val="none"/>
        </w:rPr>
        <w:t>天，实际开工日期</w:t>
      </w:r>
      <w:r>
        <w:rPr>
          <w:rFonts w:hint="eastAsia" w:ascii="仿宋" w:hAnsi="仿宋" w:eastAsia="仿宋" w:cs="仿宋"/>
          <w:color w:val="auto"/>
          <w:sz w:val="28"/>
          <w:szCs w:val="28"/>
          <w:highlight w:val="none"/>
          <w:lang w:eastAsia="zh-CN"/>
        </w:rPr>
        <w:t>为2021年7月26日，</w:t>
      </w:r>
      <w:r>
        <w:rPr>
          <w:rFonts w:hint="eastAsia" w:ascii="仿宋" w:hAnsi="仿宋" w:eastAsia="仿宋" w:cs="仿宋"/>
          <w:color w:val="auto"/>
          <w:sz w:val="28"/>
          <w:szCs w:val="28"/>
          <w:highlight w:val="none"/>
        </w:rPr>
        <w:t>计划竣工日期为2021年</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31</w:t>
      </w:r>
      <w:r>
        <w:rPr>
          <w:rFonts w:hint="eastAsia" w:ascii="仿宋" w:hAnsi="仿宋" w:eastAsia="仿宋" w:cs="仿宋"/>
          <w:color w:val="auto"/>
          <w:sz w:val="28"/>
          <w:szCs w:val="28"/>
          <w:highlight w:val="none"/>
        </w:rPr>
        <w:t>日，实际竣工日期为2021年</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eastAsia="zh-CN"/>
        </w:rPr>
        <w:t>，提前竣工</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本项目工程在施工合同约定的工期</w:t>
      </w:r>
      <w:r>
        <w:rPr>
          <w:rFonts w:hint="eastAsia" w:ascii="仿宋" w:hAnsi="仿宋" w:eastAsia="仿宋" w:cs="仿宋"/>
          <w:color w:val="auto"/>
          <w:sz w:val="28"/>
          <w:szCs w:val="28"/>
          <w:highlight w:val="none"/>
          <w:lang w:val="en-US" w:eastAsia="zh-CN"/>
        </w:rPr>
        <w:t>30天内完成，完成及时。</w:t>
      </w:r>
    </w:p>
    <w:p>
      <w:pPr>
        <w:pStyle w:val="7"/>
        <w:keepNext w:val="0"/>
        <w:keepLines w:val="0"/>
        <w:pageBreakBefore w:val="0"/>
        <w:widowControl/>
        <w:numPr>
          <w:ilvl w:val="0"/>
          <w:numId w:val="5"/>
        </w:numPr>
        <w:tabs>
          <w:tab w:val="left" w:pos="210"/>
        </w:tabs>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成本节约率：该项权重分为</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分。</w:t>
      </w:r>
    </w:p>
    <w:p>
      <w:pPr>
        <w:pStyle w:val="7"/>
        <w:keepNext w:val="0"/>
        <w:keepLines w:val="0"/>
        <w:pageBreakBefore w:val="0"/>
        <w:widowControl w:val="0"/>
        <w:numPr>
          <w:ilvl w:val="0"/>
          <w:numId w:val="0"/>
        </w:numPr>
        <w:tabs>
          <w:tab w:val="left" w:pos="210"/>
        </w:tabs>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本项目财政计划支出</w:t>
      </w:r>
      <w:r>
        <w:rPr>
          <w:rFonts w:hint="eastAsia" w:ascii="仿宋" w:hAnsi="仿宋" w:eastAsia="仿宋" w:cs="仿宋"/>
          <w:color w:val="auto"/>
          <w:sz w:val="28"/>
          <w:szCs w:val="28"/>
          <w:highlight w:val="none"/>
          <w:lang w:val="en-US" w:eastAsia="zh-CN"/>
        </w:rPr>
        <w:t>172.50</w:t>
      </w:r>
      <w:r>
        <w:rPr>
          <w:rFonts w:hint="eastAsia" w:ascii="仿宋" w:hAnsi="仿宋" w:eastAsia="仿宋" w:cs="仿宋"/>
          <w:color w:val="auto"/>
          <w:sz w:val="28"/>
          <w:szCs w:val="28"/>
          <w:highlight w:val="none"/>
        </w:rPr>
        <w:t>万元</w:t>
      </w:r>
      <w:r>
        <w:rPr>
          <w:rFonts w:hint="eastAsia" w:ascii="仿宋" w:hAnsi="仿宋" w:eastAsia="仿宋" w:cs="仿宋"/>
          <w:color w:val="auto"/>
          <w:sz w:val="28"/>
          <w:szCs w:val="28"/>
          <w:highlight w:val="none"/>
          <w:lang w:eastAsia="zh-CN"/>
        </w:rPr>
        <w:t>。截止</w:t>
      </w:r>
      <w:r>
        <w:rPr>
          <w:rFonts w:hint="eastAsia" w:ascii="仿宋" w:hAnsi="仿宋" w:eastAsia="仿宋" w:cs="仿宋"/>
          <w:color w:val="auto"/>
          <w:sz w:val="28"/>
          <w:szCs w:val="28"/>
          <w:highlight w:val="none"/>
          <w:lang w:val="en-US" w:eastAsia="zh-CN"/>
        </w:rPr>
        <w:t>2021年10月28日，已</w:t>
      </w:r>
      <w:r>
        <w:rPr>
          <w:rFonts w:hint="eastAsia" w:ascii="仿宋" w:hAnsi="仿宋" w:eastAsia="仿宋" w:cs="仿宋"/>
          <w:color w:val="auto"/>
          <w:sz w:val="28"/>
          <w:szCs w:val="28"/>
          <w:highlight w:val="none"/>
        </w:rPr>
        <w:t>实际支出工程成本</w:t>
      </w:r>
      <w:r>
        <w:rPr>
          <w:rFonts w:hint="eastAsia" w:ascii="仿宋" w:hAnsi="仿宋" w:eastAsia="仿宋" w:cs="仿宋"/>
          <w:color w:val="auto"/>
          <w:sz w:val="28"/>
          <w:szCs w:val="28"/>
          <w:highlight w:val="none"/>
          <w:lang w:val="en-US" w:eastAsia="zh-CN"/>
        </w:rPr>
        <w:t>160.00万</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项目实际支出未超过计划成本，资金额度符合指标文件批复内容。</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（四）</w:t>
      </w:r>
      <w:r>
        <w:rPr>
          <w:rFonts w:hint="eastAsia" w:ascii="仿宋" w:hAnsi="仿宋" w:eastAsia="仿宋" w:cs="仿宋"/>
          <w:b w:val="0"/>
          <w:bCs w:val="0"/>
          <w:color w:val="auto"/>
          <w:sz w:val="28"/>
          <w:szCs w:val="28"/>
          <w:highlight w:val="none"/>
        </w:rPr>
        <w:t>项目效益情况</w:t>
      </w:r>
    </w:p>
    <w:p>
      <w:pPr>
        <w:pStyle w:val="7"/>
        <w:keepNext w:val="0"/>
        <w:keepLines w:val="0"/>
        <w:pageBreakBefore w:val="0"/>
        <w:widowControl/>
        <w:kinsoku/>
        <w:wordWrap/>
        <w:overflowPunct/>
        <w:topLinePunct w:val="0"/>
        <w:autoSpaceDE/>
        <w:autoSpaceDN/>
        <w:bidi w:val="0"/>
        <w:adjustRightInd/>
        <w:snapToGrid/>
        <w:spacing w:beforeAutospacing="0" w:after="157" w:afterLines="50" w:afterAutospacing="0" w:line="560" w:lineRule="exact"/>
        <w:ind w:left="0" w:leftChars="0" w:firstLine="560" w:firstLineChars="200"/>
        <w:jc w:val="left"/>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项目效益共设置有</w:t>
      </w:r>
      <w:r>
        <w:rPr>
          <w:rFonts w:hint="eastAsia" w:ascii="仿宋" w:hAnsi="仿宋" w:eastAsia="仿宋" w:cs="仿宋"/>
          <w:b w:val="0"/>
          <w:bCs w:val="0"/>
          <w:color w:val="auto"/>
          <w:sz w:val="28"/>
          <w:szCs w:val="28"/>
          <w:highlight w:val="none"/>
          <w:lang w:val="en-US" w:eastAsia="zh-CN"/>
        </w:rPr>
        <w:t>5</w:t>
      </w:r>
      <w:r>
        <w:rPr>
          <w:rFonts w:hint="eastAsia" w:ascii="仿宋" w:hAnsi="仿宋" w:eastAsia="仿宋" w:cs="仿宋"/>
          <w:b w:val="0"/>
          <w:bCs w:val="0"/>
          <w:color w:val="auto"/>
          <w:sz w:val="28"/>
          <w:szCs w:val="28"/>
          <w:highlight w:val="none"/>
        </w:rPr>
        <w:t>个二级指标和</w:t>
      </w:r>
      <w:r>
        <w:rPr>
          <w:rFonts w:hint="eastAsia" w:ascii="仿宋" w:hAnsi="仿宋" w:eastAsia="仿宋" w:cs="仿宋"/>
          <w:b w:val="0"/>
          <w:bCs w:val="0"/>
          <w:color w:val="auto"/>
          <w:sz w:val="28"/>
          <w:szCs w:val="28"/>
          <w:highlight w:val="none"/>
          <w:lang w:val="en-US" w:eastAsia="zh-CN"/>
        </w:rPr>
        <w:t>5</w:t>
      </w:r>
      <w:r>
        <w:rPr>
          <w:rFonts w:hint="eastAsia" w:ascii="仿宋" w:hAnsi="仿宋" w:eastAsia="仿宋" w:cs="仿宋"/>
          <w:b w:val="0"/>
          <w:bCs w:val="0"/>
          <w:color w:val="auto"/>
          <w:sz w:val="28"/>
          <w:szCs w:val="28"/>
          <w:highlight w:val="none"/>
        </w:rPr>
        <w:t>个三级指标，</w:t>
      </w:r>
      <w:r>
        <w:rPr>
          <w:rFonts w:hint="eastAsia" w:ascii="仿宋" w:hAnsi="仿宋" w:eastAsia="仿宋" w:cs="仿宋"/>
          <w:color w:val="auto"/>
          <w:sz w:val="28"/>
          <w:szCs w:val="28"/>
          <w:highlight w:val="none"/>
        </w:rPr>
        <w:t>权重分</w:t>
      </w:r>
      <w:r>
        <w:rPr>
          <w:rFonts w:hint="eastAsia" w:ascii="仿宋" w:hAnsi="仿宋" w:eastAsia="仿宋" w:cs="仿宋"/>
          <w:color w:val="auto"/>
          <w:sz w:val="28"/>
          <w:szCs w:val="28"/>
          <w:highlight w:val="none"/>
          <w:lang w:val="en-US" w:eastAsia="zh-CN"/>
        </w:rPr>
        <w:t>32</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29.82</w:t>
      </w:r>
      <w:r>
        <w:rPr>
          <w:rFonts w:hint="eastAsia" w:ascii="仿宋" w:hAnsi="仿宋" w:eastAsia="仿宋" w:cs="仿宋"/>
          <w:color w:val="auto"/>
          <w:sz w:val="28"/>
          <w:szCs w:val="28"/>
          <w:highlight w:val="none"/>
        </w:rPr>
        <w:t>分。</w:t>
      </w:r>
      <w:r>
        <w:rPr>
          <w:rFonts w:hint="eastAsia" w:ascii="仿宋" w:hAnsi="仿宋" w:eastAsia="仿宋" w:cs="仿宋"/>
          <w:b w:val="0"/>
          <w:bCs w:val="0"/>
          <w:color w:val="auto"/>
          <w:sz w:val="28"/>
          <w:szCs w:val="28"/>
          <w:highlight w:val="none"/>
        </w:rPr>
        <w:t>指标得分如下所示：</w:t>
      </w:r>
    </w:p>
    <w:tbl>
      <w:tblPr>
        <w:tblStyle w:val="9"/>
        <w:tblW w:w="4851"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autofit"/>
        <w:tblCellMar>
          <w:top w:w="0" w:type="dxa"/>
          <w:left w:w="108" w:type="dxa"/>
          <w:bottom w:w="0" w:type="dxa"/>
          <w:right w:w="108" w:type="dxa"/>
        </w:tblCellMar>
      </w:tblPr>
      <w:tblGrid>
        <w:gridCol w:w="1772"/>
        <w:gridCol w:w="1773"/>
        <w:gridCol w:w="2552"/>
        <w:gridCol w:w="1311"/>
        <w:gridCol w:w="14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54" w:hRule="exact"/>
          <w:tblHeader/>
        </w:trPr>
        <w:tc>
          <w:tcPr>
            <w:tcW w:w="99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一级指标</w:t>
            </w:r>
          </w:p>
        </w:tc>
        <w:tc>
          <w:tcPr>
            <w:tcW w:w="99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二级指标</w:t>
            </w:r>
          </w:p>
        </w:tc>
        <w:tc>
          <w:tcPr>
            <w:tcW w:w="14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三级指标</w:t>
            </w:r>
          </w:p>
        </w:tc>
        <w:tc>
          <w:tcPr>
            <w:tcW w:w="73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权重</w:t>
            </w:r>
          </w:p>
        </w:tc>
        <w:tc>
          <w:tcPr>
            <w:tcW w:w="8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b/>
                <w:bCs/>
                <w:i w:val="0"/>
                <w:iCs w:val="0"/>
                <w:color w:val="auto"/>
                <w:sz w:val="20"/>
                <w:szCs w:val="20"/>
                <w:highlight w:val="none"/>
                <w:u w:val="none"/>
              </w:rPr>
            </w:pPr>
            <w:r>
              <w:rPr>
                <w:rFonts w:hint="eastAsia" w:ascii="仿宋" w:hAnsi="仿宋" w:eastAsia="仿宋" w:cs="仿宋"/>
                <w:b/>
                <w:bCs/>
                <w:i w:val="0"/>
                <w:iCs w:val="0"/>
                <w:color w:val="auto"/>
                <w:kern w:val="0"/>
                <w:sz w:val="20"/>
                <w:szCs w:val="20"/>
                <w:highlight w:val="none"/>
                <w:u w:val="none"/>
                <w:lang w:val="en-US" w:eastAsia="zh-CN" w:bidi="ar"/>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exact"/>
        </w:trPr>
        <w:tc>
          <w:tcPr>
            <w:tcW w:w="999" w:type="pct"/>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项目效益</w:t>
            </w:r>
          </w:p>
        </w:tc>
        <w:tc>
          <w:tcPr>
            <w:tcW w:w="99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经济效益</w:t>
            </w:r>
          </w:p>
        </w:tc>
        <w:tc>
          <w:tcPr>
            <w:tcW w:w="14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市政设施质量</w:t>
            </w:r>
          </w:p>
        </w:tc>
        <w:tc>
          <w:tcPr>
            <w:tcW w:w="73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7</w:t>
            </w:r>
          </w:p>
        </w:tc>
        <w:tc>
          <w:tcPr>
            <w:tcW w:w="8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exact"/>
        </w:trPr>
        <w:tc>
          <w:tcPr>
            <w:tcW w:w="999" w:type="pct"/>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社会效益</w:t>
            </w:r>
          </w:p>
        </w:tc>
        <w:tc>
          <w:tcPr>
            <w:tcW w:w="14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城市居住环境</w:t>
            </w:r>
          </w:p>
        </w:tc>
        <w:tc>
          <w:tcPr>
            <w:tcW w:w="73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7</w:t>
            </w:r>
          </w:p>
        </w:tc>
        <w:tc>
          <w:tcPr>
            <w:tcW w:w="8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exact"/>
        </w:trPr>
        <w:tc>
          <w:tcPr>
            <w:tcW w:w="999" w:type="pct"/>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生态效益</w:t>
            </w:r>
          </w:p>
        </w:tc>
        <w:tc>
          <w:tcPr>
            <w:tcW w:w="14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城市生态环境</w:t>
            </w:r>
          </w:p>
        </w:tc>
        <w:tc>
          <w:tcPr>
            <w:tcW w:w="73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6</w:t>
            </w:r>
          </w:p>
        </w:tc>
        <w:tc>
          <w:tcPr>
            <w:tcW w:w="8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5.5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exact"/>
        </w:trPr>
        <w:tc>
          <w:tcPr>
            <w:tcW w:w="999" w:type="pct"/>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可持续影响</w:t>
            </w:r>
          </w:p>
        </w:tc>
        <w:tc>
          <w:tcPr>
            <w:tcW w:w="14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投资环境</w:t>
            </w:r>
          </w:p>
        </w:tc>
        <w:tc>
          <w:tcPr>
            <w:tcW w:w="73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sz w:val="20"/>
                <w:szCs w:val="20"/>
                <w:highlight w:val="none"/>
                <w:u w:val="none"/>
              </w:rPr>
            </w:pPr>
            <w:r>
              <w:rPr>
                <w:rFonts w:hint="eastAsia" w:ascii="仿宋" w:hAnsi="仿宋" w:eastAsia="仿宋" w:cs="仿宋"/>
                <w:i w:val="0"/>
                <w:iCs w:val="0"/>
                <w:color w:val="auto"/>
                <w:kern w:val="0"/>
                <w:sz w:val="20"/>
                <w:szCs w:val="20"/>
                <w:highlight w:val="none"/>
                <w:u w:val="none"/>
                <w:lang w:val="en-US" w:eastAsia="zh-CN" w:bidi="ar"/>
              </w:rPr>
              <w:t>6</w:t>
            </w:r>
          </w:p>
        </w:tc>
        <w:tc>
          <w:tcPr>
            <w:tcW w:w="8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sz w:val="20"/>
                <w:szCs w:val="20"/>
                <w:highlight w:val="none"/>
                <w:u w:val="none"/>
                <w:lang w:val="en-US"/>
              </w:rPr>
            </w:pPr>
            <w:r>
              <w:rPr>
                <w:rFonts w:hint="eastAsia" w:ascii="仿宋" w:hAnsi="仿宋" w:eastAsia="仿宋" w:cs="仿宋"/>
                <w:i w:val="0"/>
                <w:iCs w:val="0"/>
                <w:color w:val="auto"/>
                <w:kern w:val="0"/>
                <w:sz w:val="20"/>
                <w:szCs w:val="20"/>
                <w:highlight w:val="none"/>
                <w:u w:val="none"/>
                <w:lang w:val="en-US" w:eastAsia="zh-CN" w:bidi="ar"/>
              </w:rPr>
              <w:t>5.5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exact"/>
        </w:trPr>
        <w:tc>
          <w:tcPr>
            <w:tcW w:w="999" w:type="pct"/>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spacing w:line="560" w:lineRule="exact"/>
              <w:ind w:left="0" w:leftChars="0" w:firstLine="400" w:firstLineChars="200"/>
              <w:jc w:val="center"/>
              <w:rPr>
                <w:rFonts w:hint="eastAsia" w:ascii="仿宋" w:hAnsi="仿宋" w:eastAsia="仿宋" w:cs="仿宋"/>
                <w:i w:val="0"/>
                <w:iCs w:val="0"/>
                <w:color w:val="auto"/>
                <w:sz w:val="20"/>
                <w:szCs w:val="20"/>
                <w:highlight w:val="none"/>
                <w:u w:val="none"/>
              </w:rPr>
            </w:pPr>
          </w:p>
        </w:tc>
        <w:tc>
          <w:tcPr>
            <w:tcW w:w="99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满意度</w:t>
            </w:r>
          </w:p>
        </w:tc>
        <w:tc>
          <w:tcPr>
            <w:tcW w:w="1438"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群众满意度</w:t>
            </w:r>
          </w:p>
        </w:tc>
        <w:tc>
          <w:tcPr>
            <w:tcW w:w="73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6</w:t>
            </w:r>
          </w:p>
        </w:tc>
        <w:tc>
          <w:tcPr>
            <w:tcW w:w="8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default" w:ascii="仿宋" w:hAnsi="仿宋" w:eastAsia="仿宋" w:cs="仿宋"/>
                <w:i w:val="0"/>
                <w:iCs w:val="0"/>
                <w:color w:val="auto"/>
                <w:kern w:val="0"/>
                <w:sz w:val="20"/>
                <w:szCs w:val="20"/>
                <w:highlight w:val="none"/>
                <w:u w:val="none"/>
                <w:lang w:val="en-US" w:eastAsia="zh-CN" w:bidi="ar"/>
              </w:rPr>
            </w:pPr>
            <w:r>
              <w:rPr>
                <w:rFonts w:hint="eastAsia" w:ascii="仿宋" w:hAnsi="仿宋" w:eastAsia="仿宋" w:cs="仿宋"/>
                <w:i w:val="0"/>
                <w:iCs w:val="0"/>
                <w:color w:val="auto"/>
                <w:kern w:val="0"/>
                <w:sz w:val="20"/>
                <w:szCs w:val="20"/>
                <w:highlight w:val="none"/>
                <w:u w:val="none"/>
                <w:lang w:val="en-US" w:eastAsia="zh-CN" w:bidi="ar"/>
              </w:rPr>
              <w:t>5.82</w:t>
            </w:r>
          </w:p>
        </w:tc>
      </w:tr>
    </w:tbl>
    <w:p>
      <w:pPr>
        <w:pStyle w:val="7"/>
        <w:keepNext w:val="0"/>
        <w:keepLines w:val="0"/>
        <w:pageBreakBefore w:val="0"/>
        <w:widowControl/>
        <w:numPr>
          <w:ilvl w:val="0"/>
          <w:numId w:val="6"/>
        </w:numPr>
        <w:kinsoku/>
        <w:wordWrap/>
        <w:overflowPunct/>
        <w:topLinePunct w:val="0"/>
        <w:autoSpaceDE/>
        <w:autoSpaceDN/>
        <w:bidi w:val="0"/>
        <w:adjustRightInd/>
        <w:snapToGrid/>
        <w:spacing w:beforeAutospacing="0" w:afterAutospacing="0" w:line="560" w:lineRule="exact"/>
        <w:ind w:left="70" w:leftChars="0" w:firstLine="560" w:firstLine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市政设施质量：该项权重分为</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6.5</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通过实施本工程，偃师区加强基础设施等领域建设项目管理，加大市政设施日常维修养护力度,提升市政设施运行质量，提高工程安全质量水平；降低基础设施基础设施投资和运行费用，为城市居民提供更完善的基础设施和社会服务。</w:t>
      </w:r>
    </w:p>
    <w:p>
      <w:pPr>
        <w:pStyle w:val="7"/>
        <w:keepNext w:val="0"/>
        <w:keepLines w:val="0"/>
        <w:pageBreakBefore w:val="0"/>
        <w:widowControl/>
        <w:numPr>
          <w:ilvl w:val="0"/>
          <w:numId w:val="6"/>
        </w:numPr>
        <w:kinsoku/>
        <w:wordWrap/>
        <w:overflowPunct/>
        <w:topLinePunct w:val="0"/>
        <w:autoSpaceDE/>
        <w:autoSpaceDN/>
        <w:bidi w:val="0"/>
        <w:adjustRightInd/>
        <w:snapToGrid/>
        <w:spacing w:beforeAutospacing="0" w:afterAutospacing="0" w:line="560" w:lineRule="exact"/>
        <w:ind w:left="70" w:leftChars="0" w:firstLine="560" w:firstLine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城市居住环境：该项权重分为</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分，实际得分6</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通过实施本工程，偃师区提升城市文明程度，提高群众城市公共设施保护意识，爱护公共设施</w:t>
      </w:r>
      <w:r>
        <w:rPr>
          <w:rFonts w:hint="eastAsia" w:ascii="仿宋" w:hAnsi="仿宋" w:eastAsia="仿宋" w:cs="仿宋"/>
          <w:color w:val="auto"/>
          <w:sz w:val="28"/>
          <w:szCs w:val="28"/>
          <w:highlight w:val="none"/>
          <w:lang w:eastAsia="zh-CN"/>
        </w:rPr>
        <w:t>；完善城市公共配套基础设施建设，提升居民生活品质，</w:t>
      </w:r>
      <w:r>
        <w:rPr>
          <w:rFonts w:hint="eastAsia" w:ascii="仿宋" w:hAnsi="仿宋" w:eastAsia="仿宋" w:cs="仿宋"/>
          <w:color w:val="auto"/>
          <w:sz w:val="28"/>
          <w:szCs w:val="28"/>
          <w:highlight w:val="none"/>
        </w:rPr>
        <w:t>改善城市的面貌，</w:t>
      </w:r>
      <w:r>
        <w:rPr>
          <w:rFonts w:hint="eastAsia" w:ascii="仿宋" w:hAnsi="仿宋" w:eastAsia="仿宋" w:cs="仿宋"/>
          <w:color w:val="auto"/>
          <w:sz w:val="28"/>
          <w:szCs w:val="28"/>
          <w:highlight w:val="none"/>
          <w:lang w:eastAsia="zh-CN"/>
        </w:rPr>
        <w:t>改善群众居住环境；合理规划公共服务设施，为居民创建优美的居住环境和舒适的生活环境。</w:t>
      </w:r>
    </w:p>
    <w:p>
      <w:pPr>
        <w:pStyle w:val="7"/>
        <w:keepNext w:val="0"/>
        <w:keepLines w:val="0"/>
        <w:pageBreakBefore w:val="0"/>
        <w:widowControl/>
        <w:numPr>
          <w:ilvl w:val="0"/>
          <w:numId w:val="6"/>
        </w:numPr>
        <w:kinsoku/>
        <w:wordWrap/>
        <w:overflowPunct/>
        <w:topLinePunct w:val="0"/>
        <w:autoSpaceDE/>
        <w:autoSpaceDN/>
        <w:bidi w:val="0"/>
        <w:adjustRightInd/>
        <w:snapToGrid/>
        <w:spacing w:beforeAutospacing="0" w:afterAutospacing="0" w:line="560" w:lineRule="exact"/>
        <w:ind w:left="70" w:leftChars="0" w:firstLine="560" w:firstLine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城市生态环境：该项权重分为6分，实际得分</w:t>
      </w:r>
      <w:r>
        <w:rPr>
          <w:rFonts w:hint="eastAsia" w:ascii="仿宋" w:hAnsi="仿宋" w:eastAsia="仿宋" w:cs="仿宋"/>
          <w:color w:val="auto"/>
          <w:sz w:val="28"/>
          <w:szCs w:val="28"/>
          <w:highlight w:val="none"/>
          <w:lang w:val="en-US" w:eastAsia="zh-CN"/>
        </w:rPr>
        <w:t>5.5</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通过实施本工程，偃师区统筹城市空间布局规划，建立城市市政建设规划制度，合理规划和利用现有建设用地，节约土地；切实转变土地利用方式、促进土地资源节约集约利用、守住市政建设用地总量规模；改善城市生态环境，实施生态环境保护建设。</w:t>
      </w:r>
    </w:p>
    <w:p>
      <w:pPr>
        <w:pStyle w:val="7"/>
        <w:keepNext w:val="0"/>
        <w:keepLines w:val="0"/>
        <w:pageBreakBefore w:val="0"/>
        <w:widowControl/>
        <w:numPr>
          <w:ilvl w:val="0"/>
          <w:numId w:val="6"/>
        </w:numPr>
        <w:kinsoku/>
        <w:wordWrap/>
        <w:overflowPunct/>
        <w:topLinePunct w:val="0"/>
        <w:autoSpaceDE/>
        <w:autoSpaceDN/>
        <w:bidi w:val="0"/>
        <w:adjustRightInd/>
        <w:snapToGrid/>
        <w:spacing w:beforeAutospacing="0" w:afterAutospacing="0" w:line="560" w:lineRule="exact"/>
        <w:ind w:left="70" w:leftChars="0" w:firstLine="560" w:firstLine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投资环境：该项权重分为6分，实际得分</w:t>
      </w:r>
      <w:r>
        <w:rPr>
          <w:rFonts w:hint="eastAsia" w:ascii="仿宋" w:hAnsi="仿宋" w:eastAsia="仿宋" w:cs="仿宋"/>
          <w:color w:val="auto"/>
          <w:sz w:val="28"/>
          <w:szCs w:val="28"/>
          <w:highlight w:val="none"/>
          <w:lang w:val="en-US" w:eastAsia="zh-CN"/>
        </w:rPr>
        <w:t>5.5</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通过实施本工程，偃师区科学规划棚户区改造，完善棚户区项目周边配套市政设施和公共服务设施，改善居住环境；利用棚改政策改善城市整体环境，推进城镇化进程，带动社会投资，助力有效投资和城市建设；</w:t>
      </w:r>
      <w:r>
        <w:rPr>
          <w:rFonts w:hint="eastAsia" w:ascii="仿宋" w:hAnsi="仿宋" w:eastAsia="仿宋" w:cs="仿宋"/>
          <w:color w:val="auto"/>
          <w:sz w:val="28"/>
          <w:szCs w:val="28"/>
          <w:highlight w:val="none"/>
          <w:lang w:eastAsia="zh-CN"/>
        </w:rPr>
        <w:t>利用</w:t>
      </w:r>
      <w:r>
        <w:rPr>
          <w:rFonts w:hint="eastAsia" w:ascii="仿宋" w:hAnsi="仿宋" w:eastAsia="仿宋" w:cs="仿宋"/>
          <w:color w:val="auto"/>
          <w:sz w:val="28"/>
          <w:szCs w:val="28"/>
          <w:highlight w:val="none"/>
        </w:rPr>
        <w:t>棚户区改造</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促进居民消费,扩大社会就业，发展公共服务,加强社会管理，改善城市投资环境。</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lang w:eastAsia="zh-CN"/>
        </w:rPr>
        <w:t>群众</w:t>
      </w:r>
      <w:r>
        <w:rPr>
          <w:rFonts w:hint="eastAsia" w:ascii="仿宋" w:hAnsi="仿宋" w:eastAsia="仿宋" w:cs="仿宋"/>
          <w:color w:val="auto"/>
          <w:sz w:val="28"/>
          <w:szCs w:val="28"/>
          <w:highlight w:val="none"/>
        </w:rPr>
        <w:t>满意度：该项权重分为</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分，实际得分</w:t>
      </w:r>
      <w:r>
        <w:rPr>
          <w:rFonts w:hint="eastAsia" w:ascii="仿宋" w:hAnsi="仿宋" w:eastAsia="仿宋" w:cs="仿宋"/>
          <w:color w:val="auto"/>
          <w:sz w:val="28"/>
          <w:szCs w:val="28"/>
          <w:highlight w:val="none"/>
          <w:lang w:val="en-US" w:eastAsia="zh-CN"/>
        </w:rPr>
        <w:t>5.82</w:t>
      </w:r>
      <w:r>
        <w:rPr>
          <w:rFonts w:hint="eastAsia" w:ascii="仿宋" w:hAnsi="仿宋" w:eastAsia="仿宋" w:cs="仿宋"/>
          <w:color w:val="auto"/>
          <w:sz w:val="28"/>
          <w:szCs w:val="28"/>
          <w:highlight w:val="none"/>
        </w:rPr>
        <w:t>分。</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157" w:afterLines="50" w:afterAutospacing="0" w:line="560" w:lineRule="exact"/>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通过偃师区住房和城乡建设局，采用微信方式，发放问卷调查，实际回收有效问卷</w:t>
      </w:r>
      <w:r>
        <w:rPr>
          <w:rFonts w:hint="eastAsia" w:ascii="仿宋" w:hAnsi="仿宋" w:eastAsia="仿宋" w:cs="仿宋"/>
          <w:color w:val="auto"/>
          <w:sz w:val="28"/>
          <w:szCs w:val="28"/>
          <w:highlight w:val="none"/>
          <w:lang w:val="en-US" w:eastAsia="zh-CN"/>
        </w:rPr>
        <w:t>14</w:t>
      </w:r>
      <w:r>
        <w:rPr>
          <w:rFonts w:hint="eastAsia" w:ascii="仿宋" w:hAnsi="仿宋" w:eastAsia="仿宋" w:cs="仿宋"/>
          <w:color w:val="auto"/>
          <w:sz w:val="28"/>
          <w:szCs w:val="28"/>
          <w:highlight w:val="none"/>
          <w:lang w:eastAsia="zh-CN"/>
        </w:rPr>
        <w:t>份。由调查问卷得知，偃师市内窨井盖病害、井周路面病害比较严重，出现过窨井设施堵塞和因窨井设施而导致安全事故的情形，城市公共区域窨井设施存在的安全隐患风险较大，但由于政府部门维修及时，使安全风险大大减低。根据公式计算得出，受益居民综合满意度</w:t>
      </w:r>
      <w:r>
        <w:rPr>
          <w:rFonts w:hint="eastAsia" w:ascii="仿宋" w:hAnsi="仿宋" w:eastAsia="仿宋" w:cs="仿宋"/>
          <w:color w:val="auto"/>
          <w:sz w:val="28"/>
          <w:szCs w:val="28"/>
          <w:highlight w:val="none"/>
          <w:lang w:val="en-US" w:eastAsia="zh-CN"/>
        </w:rPr>
        <w:t>97%</w:t>
      </w:r>
      <w:r>
        <w:rPr>
          <w:rFonts w:hint="eastAsia" w:ascii="仿宋" w:hAnsi="仿宋" w:eastAsia="仿宋" w:cs="仿宋"/>
          <w:color w:val="auto"/>
          <w:sz w:val="28"/>
          <w:szCs w:val="28"/>
          <w:highlight w:val="none"/>
          <w:lang w:eastAsia="zh-CN"/>
        </w:rPr>
        <w:t>，总体情况属于“</w:t>
      </w:r>
      <w:r>
        <w:rPr>
          <w:rFonts w:hint="eastAsia" w:ascii="仿宋" w:hAnsi="仿宋" w:eastAsia="仿宋" w:cs="仿宋"/>
          <w:color w:val="auto"/>
          <w:sz w:val="28"/>
          <w:szCs w:val="28"/>
          <w:highlight w:val="none"/>
          <w:lang w:val="en-US" w:eastAsia="zh-CN"/>
        </w:rPr>
        <w:t>满意</w:t>
      </w:r>
      <w:r>
        <w:rPr>
          <w:rFonts w:hint="eastAsia" w:ascii="仿宋" w:hAnsi="仿宋" w:eastAsia="仿宋" w:cs="仿宋"/>
          <w:color w:val="auto"/>
          <w:sz w:val="28"/>
          <w:szCs w:val="28"/>
          <w:highlight w:val="none"/>
          <w:lang w:eastAsia="zh-CN"/>
        </w:rPr>
        <w:t>”的范畴。</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20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五、项目实施经验及</w:t>
      </w:r>
      <w:r>
        <w:rPr>
          <w:rFonts w:hint="eastAsia" w:ascii="仿宋" w:hAnsi="仿宋" w:eastAsia="仿宋" w:cs="仿宋"/>
          <w:b/>
          <w:bCs/>
          <w:color w:val="auto"/>
          <w:sz w:val="28"/>
          <w:szCs w:val="28"/>
          <w:highlight w:val="none"/>
        </w:rPr>
        <w:t>存在的问题</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15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eastAsia="zh-CN"/>
        </w:rPr>
        <w:t>（一）主要经验及做法</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15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rPr>
        <w:t>项目的决策</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招标及实施过程规范。</w:t>
      </w:r>
    </w:p>
    <w:p>
      <w:pPr>
        <w:pStyle w:val="7"/>
        <w:keepNext w:val="0"/>
        <w:keepLines w:val="0"/>
        <w:pageBreakBefore w:val="0"/>
        <w:widowControl/>
        <w:numPr>
          <w:ilvl w:val="0"/>
          <w:numId w:val="0"/>
        </w:numPr>
        <w:tabs>
          <w:tab w:val="left" w:pos="210"/>
        </w:tabs>
        <w:kinsoku/>
        <w:wordWrap/>
        <w:overflowPunct/>
        <w:topLinePunct w:val="0"/>
        <w:autoSpaceDE/>
        <w:autoSpaceDN/>
        <w:bidi w:val="0"/>
        <w:adjustRightInd/>
        <w:snapToGrid/>
        <w:spacing w:beforeAutospacing="0" w:afterAutospacing="0" w:line="560" w:lineRule="exact"/>
        <w:ind w:left="0" w:leftChars="0" w:firstLine="490" w:firstLineChars="175"/>
        <w:jc w:val="left"/>
        <w:textAlignment w:val="auto"/>
        <w:rPr>
          <w:rFonts w:hint="eastAsia" w:ascii="仿宋" w:hAnsi="仿宋" w:eastAsia="仿宋" w:cs="仿宋"/>
          <w:b/>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 xml:space="preserve"> 本项目立项从部门职责出发，依据上级文件精神指示，按规定的申请程序设立，保证项目目的和方向的正确性；招投标机制完善、程序规范，过程控制有效，保证了采购过程效率化和采购结果最优化；施工过程各方履行自身的职责，同时配合良好，共同解决项目中遇到的问题，得以高质量提前完成既定的建设目标。</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15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2、资金管理完善，充分发挥财政资金的效益。</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资金投入预算编制科学提高了财政资金的流动性，使财政资金得以支持到需要的建设项目上去。资金到位率高、预算执行率高，杜绝了以往“项目等钱”的情况，资金对项目的保障能力强。资金的管理和监管到位，资金使用合法合规，确保了资金的安全完整，财政资金发挥的效益性强。</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150" w:firstLine="280" w:firstLineChars="10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3、高层领导重视，公共区域窨井设施提升取得成效。</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窨井设施专项整治工作是省委、省政府确定的我省 2021 年十件重点民生实事之一。偃师区2021年城市公共区域窨井设施治理提升工程是按照《河南省城市公共区域窨井盖专项整治三年行动方案（2021-2023年）》（豫城建联办【2021】1号）文件确定实施的重点项目之一。为确保窨井设施专项整治工作取得成效，省委、省政府切实贯彻落实好决策部署，结合专项整治工作目标任务和相关工作要求，提出专项整治工作推进方案，</w:t>
      </w:r>
      <w:r>
        <w:rPr>
          <w:rFonts w:hint="eastAsia" w:ascii="仿宋" w:hAnsi="仿宋" w:eastAsia="仿宋" w:cs="仿宋"/>
          <w:color w:val="auto"/>
          <w:spacing w:val="6"/>
          <w:kern w:val="2"/>
          <w:sz w:val="28"/>
          <w:szCs w:val="28"/>
          <w:highlight w:val="none"/>
          <w:lang w:eastAsia="zh-CN"/>
        </w:rPr>
        <w:t>推动偃师区城市公共区域窨井设施治理</w:t>
      </w:r>
      <w:r>
        <w:rPr>
          <w:rFonts w:hint="eastAsia" w:ascii="仿宋" w:hAnsi="仿宋" w:eastAsia="仿宋" w:cs="仿宋"/>
          <w:b w:val="0"/>
          <w:bCs w:val="0"/>
          <w:color w:val="auto"/>
          <w:sz w:val="28"/>
          <w:szCs w:val="28"/>
          <w:highlight w:val="none"/>
          <w:lang w:val="en-US" w:eastAsia="zh-CN"/>
        </w:rPr>
        <w:t>提升，有效消除窨井设施安全隐患，提升道路的整体美观，改善偃师区居民的居住环境。</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200"/>
        <w:jc w:val="left"/>
        <w:textAlignment w:val="auto"/>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lang w:eastAsia="zh-CN"/>
        </w:rPr>
        <w:t>（二）存在的问题及原因分析</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rPr>
        <w:t>绩效评价</w:t>
      </w:r>
      <w:r>
        <w:rPr>
          <w:rFonts w:hint="eastAsia" w:ascii="仿宋" w:hAnsi="仿宋" w:eastAsia="仿宋" w:cs="仿宋"/>
          <w:b w:val="0"/>
          <w:bCs w:val="0"/>
          <w:color w:val="auto"/>
          <w:sz w:val="28"/>
          <w:szCs w:val="28"/>
          <w:highlight w:val="none"/>
          <w:lang w:eastAsia="zh-CN"/>
        </w:rPr>
        <w:t>三级指标设置重复，绩效目标不够清晰。</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偃师区2021年城市公共区域窨井设施治理提升工程项目设置</w:t>
      </w:r>
      <w:r>
        <w:rPr>
          <w:rFonts w:hint="eastAsia" w:ascii="仿宋" w:hAnsi="仿宋" w:eastAsia="仿宋" w:cs="仿宋"/>
          <w:color w:val="auto"/>
          <w:sz w:val="28"/>
          <w:szCs w:val="28"/>
          <w:highlight w:val="none"/>
          <w:lang w:eastAsia="zh-CN"/>
        </w:rPr>
        <w:t>的生态效益指标和可持续影响指标中有一项三级指标均为基础设施，三级指标设置重复，绩效目标设置</w:t>
      </w:r>
      <w:r>
        <w:rPr>
          <w:rFonts w:hint="eastAsia" w:ascii="仿宋" w:hAnsi="仿宋" w:eastAsia="仿宋" w:cs="仿宋"/>
          <w:color w:val="auto"/>
          <w:sz w:val="28"/>
          <w:szCs w:val="28"/>
          <w:highlight w:val="none"/>
        </w:rPr>
        <w:t>不够清晰</w:t>
      </w:r>
      <w:r>
        <w:rPr>
          <w:rFonts w:hint="eastAsia" w:ascii="仿宋" w:hAnsi="仿宋" w:eastAsia="仿宋" w:cs="仿宋"/>
          <w:color w:val="auto"/>
          <w:sz w:val="28"/>
          <w:szCs w:val="28"/>
          <w:highlight w:val="none"/>
          <w:lang w:eastAsia="zh-CN"/>
        </w:rPr>
        <w:t>。</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20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六、有关建议</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rPr>
        <w:t>强化</w:t>
      </w:r>
      <w:r>
        <w:rPr>
          <w:rFonts w:hint="eastAsia" w:ascii="仿宋" w:hAnsi="仿宋" w:eastAsia="仿宋" w:cs="仿宋"/>
          <w:b w:val="0"/>
          <w:bCs w:val="0"/>
          <w:color w:val="auto"/>
          <w:sz w:val="28"/>
          <w:szCs w:val="28"/>
          <w:highlight w:val="none"/>
          <w:lang w:eastAsia="zh-CN"/>
        </w:rPr>
        <w:t>部门</w:t>
      </w:r>
      <w:r>
        <w:rPr>
          <w:rFonts w:hint="eastAsia" w:ascii="仿宋" w:hAnsi="仿宋" w:eastAsia="仿宋" w:cs="仿宋"/>
          <w:b w:val="0"/>
          <w:bCs w:val="0"/>
          <w:color w:val="auto"/>
          <w:sz w:val="28"/>
          <w:szCs w:val="28"/>
          <w:highlight w:val="none"/>
        </w:rPr>
        <w:t>绩效意识，合理设置绩效目标</w:t>
      </w:r>
      <w:r>
        <w:rPr>
          <w:rFonts w:hint="eastAsia" w:ascii="仿宋" w:hAnsi="仿宋" w:eastAsia="仿宋" w:cs="仿宋"/>
          <w:color w:val="auto"/>
          <w:highlight w:val="none"/>
          <w:lang w:eastAsia="zh-CN"/>
        </w:rPr>
        <w:t>。</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部门整体要牢固树立绩效意识，全面贯彻落实党的十九大 “全面实施绩效管理” 的要求。</w:t>
      </w:r>
      <w:r>
        <w:rPr>
          <w:rFonts w:hint="eastAsia" w:ascii="仿宋" w:hAnsi="仿宋" w:eastAsia="仿宋" w:cs="仿宋"/>
          <w:color w:val="auto"/>
          <w:sz w:val="28"/>
          <w:szCs w:val="28"/>
          <w:highlight w:val="none"/>
          <w:lang w:eastAsia="zh-CN"/>
        </w:rPr>
        <w:t>在</w:t>
      </w:r>
      <w:r>
        <w:rPr>
          <w:rFonts w:hint="eastAsia" w:ascii="仿宋" w:hAnsi="仿宋" w:eastAsia="仿宋" w:cs="仿宋"/>
          <w:color w:val="auto"/>
          <w:sz w:val="28"/>
          <w:szCs w:val="28"/>
          <w:highlight w:val="none"/>
        </w:rPr>
        <w:t>绩效目标设置方面，设置具体的指标需清晰可衡量，不能含糊、广泛</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目标的设定尽量明确为可度量值</w:t>
      </w:r>
      <w:r>
        <w:rPr>
          <w:rFonts w:hint="eastAsia" w:ascii="仿宋" w:hAnsi="仿宋" w:eastAsia="仿宋" w:cs="仿宋"/>
          <w:color w:val="auto"/>
          <w:sz w:val="28"/>
          <w:szCs w:val="28"/>
          <w:highlight w:val="none"/>
          <w:lang w:eastAsia="zh-CN"/>
        </w:rPr>
        <w:t>，并</w:t>
      </w:r>
      <w:r>
        <w:rPr>
          <w:rFonts w:hint="eastAsia" w:ascii="仿宋" w:hAnsi="仿宋" w:eastAsia="仿宋" w:cs="仿宋"/>
          <w:color w:val="auto"/>
          <w:sz w:val="28"/>
          <w:szCs w:val="28"/>
          <w:highlight w:val="none"/>
        </w:rPr>
        <w:t>结合项目自身的特点</w:t>
      </w:r>
      <w:r>
        <w:rPr>
          <w:rFonts w:hint="eastAsia" w:ascii="仿宋" w:hAnsi="仿宋" w:eastAsia="仿宋" w:cs="仿宋"/>
          <w:color w:val="auto"/>
          <w:sz w:val="28"/>
          <w:szCs w:val="28"/>
          <w:highlight w:val="none"/>
          <w:lang w:eastAsia="zh-CN"/>
        </w:rPr>
        <w:t>和实际情况</w:t>
      </w:r>
      <w:r>
        <w:rPr>
          <w:rFonts w:hint="eastAsia" w:ascii="仿宋" w:hAnsi="仿宋" w:eastAsia="仿宋" w:cs="仿宋"/>
          <w:color w:val="auto"/>
          <w:sz w:val="28"/>
          <w:szCs w:val="28"/>
          <w:highlight w:val="none"/>
        </w:rPr>
        <w:t>。</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2、加强预算收支管理，提高财政资金使用效率。</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部门整体</w:t>
      </w:r>
      <w:r>
        <w:rPr>
          <w:rFonts w:hint="eastAsia" w:ascii="仿宋" w:hAnsi="仿宋" w:eastAsia="仿宋" w:cs="仿宋"/>
          <w:color w:val="auto"/>
          <w:sz w:val="28"/>
          <w:szCs w:val="28"/>
          <w:highlight w:val="none"/>
          <w:lang w:eastAsia="zh-CN"/>
        </w:rPr>
        <w:t>要</w:t>
      </w:r>
      <w:r>
        <w:rPr>
          <w:rFonts w:hint="eastAsia" w:ascii="仿宋" w:hAnsi="仿宋" w:eastAsia="仿宋" w:cs="仿宋"/>
          <w:color w:val="auto"/>
          <w:sz w:val="28"/>
          <w:szCs w:val="28"/>
          <w:highlight w:val="none"/>
        </w:rPr>
        <w:t>加强预算收支管理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不断建立健全内部管理制度</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梳理内部管理流程，提升部门整体支出管理情况。从整体上提升预算管理工作水平，强化支出责任，规范资金管理行为，提高财政资金使用效率，依法行使职权。</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20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七、</w:t>
      </w:r>
      <w:r>
        <w:rPr>
          <w:rFonts w:hint="eastAsia" w:ascii="仿宋" w:hAnsi="仿宋" w:eastAsia="仿宋" w:cs="仿宋"/>
          <w:b/>
          <w:bCs/>
          <w:color w:val="auto"/>
          <w:sz w:val="28"/>
          <w:szCs w:val="28"/>
          <w:highlight w:val="none"/>
        </w:rPr>
        <w:t>其他需要说明的问题</w:t>
      </w:r>
    </w:p>
    <w:p>
      <w:pPr>
        <w:pStyle w:val="7"/>
        <w:keepNext w:val="0"/>
        <w:keepLines w:val="0"/>
        <w:pageBreakBefore w:val="0"/>
        <w:widowControl/>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无。</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20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八、</w:t>
      </w:r>
      <w:r>
        <w:rPr>
          <w:rFonts w:hint="eastAsia" w:ascii="仿宋" w:hAnsi="仿宋" w:eastAsia="仿宋" w:cs="仿宋"/>
          <w:b/>
          <w:bCs/>
          <w:color w:val="auto"/>
          <w:sz w:val="28"/>
          <w:szCs w:val="28"/>
          <w:highlight w:val="none"/>
        </w:rPr>
        <w:t>附件</w:t>
      </w:r>
    </w:p>
    <w:p>
      <w:pPr>
        <w:pStyle w:val="7"/>
        <w:keepNext w:val="0"/>
        <w:keepLines w:val="0"/>
        <w:pageBreakBefore w:val="0"/>
        <w:widowControl/>
        <w:numPr>
          <w:ilvl w:val="0"/>
          <w:numId w:val="7"/>
        </w:numPr>
        <w:kinsoku/>
        <w:wordWrap/>
        <w:overflowPunct/>
        <w:topLinePunct w:val="0"/>
        <w:autoSpaceDE/>
        <w:autoSpaceDN/>
        <w:bidi w:val="0"/>
        <w:adjustRightInd/>
        <w:snapToGrid/>
        <w:spacing w:beforeAutospacing="0" w:afterAutospacing="0"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偃师区2021年城市公共区域窨井设施治理提升工程</w:t>
      </w:r>
      <w:r>
        <w:rPr>
          <w:rFonts w:hint="eastAsia" w:ascii="仿宋" w:hAnsi="仿宋" w:eastAsia="仿宋" w:cs="仿宋"/>
          <w:color w:val="auto"/>
          <w:sz w:val="28"/>
          <w:szCs w:val="28"/>
          <w:highlight w:val="none"/>
        </w:rPr>
        <w:t>绩效评价指标体系及评分表</w:t>
      </w:r>
    </w:p>
    <w:p>
      <w:pPr>
        <w:pStyle w:val="7"/>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60" w:lineRule="exact"/>
        <w:ind w:leftChars="200"/>
        <w:jc w:val="left"/>
        <w:textAlignment w:val="auto"/>
        <w:rPr>
          <w:rFonts w:hint="eastAsia" w:ascii="仿宋" w:hAnsi="仿宋" w:eastAsia="仿宋" w:cs="仿宋"/>
          <w:color w:val="auto"/>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jc w:val="left"/>
        <w:textAlignment w:val="auto"/>
        <w:rPr>
          <w:rFonts w:hint="eastAsia" w:ascii="仿宋" w:hAnsi="仿宋" w:eastAsia="仿宋" w:cs="仿宋"/>
          <w:color w:val="auto"/>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河南</w:t>
      </w:r>
      <w:r>
        <w:rPr>
          <w:rFonts w:hint="eastAsia" w:ascii="仿宋" w:hAnsi="仿宋" w:eastAsia="仿宋" w:cs="仿宋"/>
          <w:color w:val="auto"/>
          <w:sz w:val="28"/>
          <w:szCs w:val="28"/>
          <w:highlight w:val="none"/>
          <w:lang w:eastAsia="zh-CN"/>
        </w:rPr>
        <w:t>燎旺</w:t>
      </w:r>
      <w:r>
        <w:rPr>
          <w:rFonts w:hint="eastAsia" w:ascii="仿宋" w:hAnsi="仿宋" w:eastAsia="仿宋" w:cs="仿宋"/>
          <w:color w:val="auto"/>
          <w:sz w:val="28"/>
          <w:szCs w:val="28"/>
          <w:highlight w:val="none"/>
        </w:rPr>
        <w:t>会计师事务所（普通合伙)    中国注册会计师：</w:t>
      </w: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jc w:val="left"/>
        <w:textAlignment w:val="auto"/>
        <w:rPr>
          <w:rFonts w:hint="eastAsia" w:ascii="仿宋" w:hAnsi="仿宋" w:eastAsia="仿宋" w:cs="仿宋"/>
          <w:color w:val="auto"/>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560" w:firstLineChars="200"/>
        <w:jc w:val="left"/>
        <w:textAlignment w:val="auto"/>
        <w:rPr>
          <w:rFonts w:hint="eastAsia" w:ascii="仿宋" w:hAnsi="仿宋" w:eastAsia="仿宋" w:cs="仿宋"/>
          <w:color w:val="auto"/>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1960" w:firstLineChars="7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中国·</w:t>
      </w:r>
      <w:r>
        <w:rPr>
          <w:rFonts w:hint="eastAsia" w:ascii="仿宋" w:hAnsi="仿宋" w:eastAsia="仿宋" w:cs="仿宋"/>
          <w:color w:val="auto"/>
          <w:sz w:val="28"/>
          <w:szCs w:val="28"/>
          <w:highlight w:val="none"/>
          <w:lang w:eastAsia="zh-CN"/>
        </w:rPr>
        <w:t>洛阳</w:t>
      </w:r>
      <w:r>
        <w:rPr>
          <w:rFonts w:hint="eastAsia" w:ascii="仿宋" w:hAnsi="仿宋" w:eastAsia="仿宋" w:cs="仿宋"/>
          <w:color w:val="auto"/>
          <w:sz w:val="28"/>
          <w:szCs w:val="28"/>
          <w:highlight w:val="none"/>
        </w:rPr>
        <w:t xml:space="preserve">               中国注册会计师：</w:t>
      </w:r>
    </w:p>
    <w:p>
      <w:pPr>
        <w:keepNext w:val="0"/>
        <w:keepLines w:val="0"/>
        <w:pageBreakBefore w:val="0"/>
        <w:widowControl w:val="0"/>
        <w:kinsoku/>
        <w:wordWrap/>
        <w:overflowPunct/>
        <w:topLinePunct w:val="0"/>
        <w:autoSpaceDE/>
        <w:autoSpaceDN/>
        <w:bidi w:val="0"/>
        <w:adjustRightInd/>
        <w:snapToGrid w:val="0"/>
        <w:spacing w:line="560" w:lineRule="exact"/>
        <w:ind w:left="5040"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60" w:lineRule="exact"/>
        <w:ind w:left="5027" w:leftChars="2394" w:firstLine="560" w:firstLineChars="200"/>
        <w:jc w:val="left"/>
        <w:textAlignment w:val="auto"/>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rPr>
        <w:t>二〇二</w:t>
      </w:r>
      <w:r>
        <w:rPr>
          <w:rFonts w:hint="eastAsia" w:ascii="仿宋" w:hAnsi="仿宋" w:eastAsia="仿宋" w:cs="仿宋"/>
          <w:color w:val="auto"/>
          <w:sz w:val="28"/>
          <w:szCs w:val="28"/>
          <w:highlight w:val="none"/>
          <w:lang w:eastAsia="zh-CN"/>
        </w:rPr>
        <w:t>二</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eastAsia="zh-CN"/>
        </w:rPr>
        <w:t>十二</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eastAsia="zh-CN"/>
        </w:rPr>
        <w:t>三十</w:t>
      </w:r>
      <w:r>
        <w:rPr>
          <w:rFonts w:hint="eastAsia" w:ascii="仿宋" w:hAnsi="仿宋" w:eastAsia="仿宋" w:cs="仿宋"/>
          <w:color w:val="auto"/>
          <w:sz w:val="28"/>
          <w:szCs w:val="28"/>
          <w:highlight w:val="none"/>
        </w:rPr>
        <w:t>日</w:t>
      </w:r>
    </w:p>
    <w:sectPr>
      <w:headerReference r:id="rId3" w:type="default"/>
      <w:footerReference r:id="rId4" w:type="default"/>
      <w:pgSz w:w="11906" w:h="16838"/>
      <w:pgMar w:top="1383" w:right="1519" w:bottom="1383" w:left="1463" w:header="1134" w:footer="907"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double" w:color="auto" w:sz="4" w:space="1"/>
      </w:pBdr>
      <w:ind w:right="360"/>
      <w:jc w:val="both"/>
      <w:rPr>
        <w:rFonts w:hint="eastAsia"/>
        <w:szCs w:val="15"/>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Style w:val="11"/>
                            </w:rPr>
                          </w:pPr>
                          <w:r>
                            <w:fldChar w:fldCharType="begin"/>
                          </w:r>
                          <w:r>
                            <w:rPr>
                              <w:rStyle w:val="11"/>
                            </w:rPr>
                            <w:instrText xml:space="preserve">PAGE  </w:instrText>
                          </w:r>
                          <w:r>
                            <w:fldChar w:fldCharType="separate"/>
                          </w:r>
                          <w:r>
                            <w:rPr>
                              <w:rStyle w:val="11"/>
                            </w:rP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rPr>
                        <w:rStyle w:val="11"/>
                      </w:rPr>
                    </w:pPr>
                    <w:r>
                      <w:fldChar w:fldCharType="begin"/>
                    </w:r>
                    <w:r>
                      <w:rPr>
                        <w:rStyle w:val="11"/>
                      </w:rPr>
                      <w:instrText xml:space="preserve">PAGE  </w:instrText>
                    </w:r>
                    <w:r>
                      <w:fldChar w:fldCharType="separate"/>
                    </w:r>
                    <w:r>
                      <w:rPr>
                        <w:rStyle w:val="11"/>
                      </w:rPr>
                      <w:t>19</w:t>
                    </w:r>
                    <w:r>
                      <w:fldChar w:fldCharType="end"/>
                    </w:r>
                  </w:p>
                </w:txbxContent>
              </v:textbox>
            </v:shape>
          </w:pict>
        </mc:Fallback>
      </mc:AlternateContent>
    </w:r>
    <w:r>
      <w:rPr>
        <w:rFonts w:hint="eastAsia"/>
        <w:szCs w:val="15"/>
      </w:rPr>
      <w:t xml:space="preserve"> 河南燎旺会计师事务所（普通合伙）</w: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double" w:color="auto" w:sz="8" w:space="1"/>
      </w:pBdr>
      <w:jc w:val="left"/>
    </w:pPr>
    <w:r>
      <w:rPr>
        <w:rFonts w:hint="eastAsia"/>
        <w:lang w:eastAsia="zh-CN"/>
      </w:rPr>
      <w:t>偃师区2021年城市公共区域窨井设施治理提升工程</w:t>
    </w:r>
    <w:r>
      <w:rPr>
        <w:rFonts w:hint="eastAsia"/>
      </w:rPr>
      <w:t>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15775C"/>
    <w:multiLevelType w:val="singleLevel"/>
    <w:tmpl w:val="8715775C"/>
    <w:lvl w:ilvl="0" w:tentative="0">
      <w:start w:val="2"/>
      <w:numFmt w:val="chineseCounting"/>
      <w:suff w:val="nothing"/>
      <w:lvlText w:val="（%1）"/>
      <w:lvlJc w:val="left"/>
      <w:rPr>
        <w:rFonts w:hint="eastAsia"/>
      </w:rPr>
    </w:lvl>
  </w:abstractNum>
  <w:abstractNum w:abstractNumId="1">
    <w:nsid w:val="F76A2AB7"/>
    <w:multiLevelType w:val="singleLevel"/>
    <w:tmpl w:val="F76A2AB7"/>
    <w:lvl w:ilvl="0" w:tentative="0">
      <w:start w:val="1"/>
      <w:numFmt w:val="decimal"/>
      <w:suff w:val="nothing"/>
      <w:lvlText w:val="%1、"/>
      <w:lvlJc w:val="left"/>
      <w:pPr>
        <w:ind w:left="70"/>
      </w:pPr>
    </w:lvl>
  </w:abstractNum>
  <w:abstractNum w:abstractNumId="2">
    <w:nsid w:val="F9C51B9B"/>
    <w:multiLevelType w:val="singleLevel"/>
    <w:tmpl w:val="F9C51B9B"/>
    <w:lvl w:ilvl="0" w:tentative="0">
      <w:start w:val="2"/>
      <w:numFmt w:val="decimal"/>
      <w:suff w:val="nothing"/>
      <w:lvlText w:val="%1、"/>
      <w:lvlJc w:val="left"/>
    </w:lvl>
  </w:abstractNum>
  <w:abstractNum w:abstractNumId="3">
    <w:nsid w:val="109325AB"/>
    <w:multiLevelType w:val="singleLevel"/>
    <w:tmpl w:val="109325AB"/>
    <w:lvl w:ilvl="0" w:tentative="0">
      <w:start w:val="1"/>
      <w:numFmt w:val="decimal"/>
      <w:suff w:val="nothing"/>
      <w:lvlText w:val="%1、"/>
      <w:lvlJc w:val="left"/>
    </w:lvl>
  </w:abstractNum>
  <w:abstractNum w:abstractNumId="4">
    <w:nsid w:val="27CAEE8C"/>
    <w:multiLevelType w:val="singleLevel"/>
    <w:tmpl w:val="27CAEE8C"/>
    <w:lvl w:ilvl="0" w:tentative="0">
      <w:start w:val="1"/>
      <w:numFmt w:val="decimal"/>
      <w:suff w:val="nothing"/>
      <w:lvlText w:val="%1、"/>
      <w:lvlJc w:val="left"/>
    </w:lvl>
  </w:abstractNum>
  <w:abstractNum w:abstractNumId="5">
    <w:nsid w:val="310C2560"/>
    <w:multiLevelType w:val="singleLevel"/>
    <w:tmpl w:val="310C2560"/>
    <w:lvl w:ilvl="0" w:tentative="0">
      <w:start w:val="1"/>
      <w:numFmt w:val="decimal"/>
      <w:suff w:val="nothing"/>
      <w:lvlText w:val="%1、"/>
      <w:lvlJc w:val="left"/>
    </w:lvl>
  </w:abstractNum>
  <w:abstractNum w:abstractNumId="6">
    <w:nsid w:val="409D8F6B"/>
    <w:multiLevelType w:val="singleLevel"/>
    <w:tmpl w:val="409D8F6B"/>
    <w:lvl w:ilvl="0" w:tentative="0">
      <w:start w:val="1"/>
      <w:numFmt w:val="decimal"/>
      <w:suff w:val="nothing"/>
      <w:lvlText w:val="（%1）"/>
      <w:lvlJc w:val="left"/>
    </w:lvl>
  </w:abstractNum>
  <w:num w:numId="1">
    <w:abstractNumId w:val="6"/>
  </w:num>
  <w:num w:numId="2">
    <w:abstractNumId w:val="2"/>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Y2Y2OGU2NWY5Yzg3MjgyMGY2YmIzNTc5YjU3NjQifQ=="/>
  </w:docVars>
  <w:rsids>
    <w:rsidRoot w:val="48CF7268"/>
    <w:rsid w:val="0006216F"/>
    <w:rsid w:val="00210413"/>
    <w:rsid w:val="002203A0"/>
    <w:rsid w:val="00242088"/>
    <w:rsid w:val="002C7FDD"/>
    <w:rsid w:val="003D1596"/>
    <w:rsid w:val="00493B6D"/>
    <w:rsid w:val="004D206F"/>
    <w:rsid w:val="00510393"/>
    <w:rsid w:val="005A3219"/>
    <w:rsid w:val="005C39AE"/>
    <w:rsid w:val="0066278C"/>
    <w:rsid w:val="00694AE4"/>
    <w:rsid w:val="007C6279"/>
    <w:rsid w:val="009805C8"/>
    <w:rsid w:val="009D1094"/>
    <w:rsid w:val="009F7420"/>
    <w:rsid w:val="00A51475"/>
    <w:rsid w:val="00A64F5F"/>
    <w:rsid w:val="00B26B78"/>
    <w:rsid w:val="00B61C41"/>
    <w:rsid w:val="00BA7FF4"/>
    <w:rsid w:val="00BC3888"/>
    <w:rsid w:val="00D20036"/>
    <w:rsid w:val="00D20B4D"/>
    <w:rsid w:val="00D87C0C"/>
    <w:rsid w:val="00E30DB6"/>
    <w:rsid w:val="00EA48FB"/>
    <w:rsid w:val="00EE70F2"/>
    <w:rsid w:val="00F4247E"/>
    <w:rsid w:val="01E339B3"/>
    <w:rsid w:val="02151639"/>
    <w:rsid w:val="024535A0"/>
    <w:rsid w:val="02B349AE"/>
    <w:rsid w:val="02E2322E"/>
    <w:rsid w:val="045112E2"/>
    <w:rsid w:val="049C7DEF"/>
    <w:rsid w:val="04B70785"/>
    <w:rsid w:val="04D34BFE"/>
    <w:rsid w:val="05834B0B"/>
    <w:rsid w:val="058A40EC"/>
    <w:rsid w:val="06347806"/>
    <w:rsid w:val="07181283"/>
    <w:rsid w:val="0748600C"/>
    <w:rsid w:val="07D51A8B"/>
    <w:rsid w:val="086B7BA7"/>
    <w:rsid w:val="092E7E7E"/>
    <w:rsid w:val="0AB3379D"/>
    <w:rsid w:val="0ADF3B2F"/>
    <w:rsid w:val="0B440899"/>
    <w:rsid w:val="0B5C03D5"/>
    <w:rsid w:val="0E5E1C72"/>
    <w:rsid w:val="0E72571D"/>
    <w:rsid w:val="121C60CC"/>
    <w:rsid w:val="12C86253"/>
    <w:rsid w:val="13871DCD"/>
    <w:rsid w:val="14BF71E2"/>
    <w:rsid w:val="15D0294D"/>
    <w:rsid w:val="15F335E7"/>
    <w:rsid w:val="163065E9"/>
    <w:rsid w:val="167C182F"/>
    <w:rsid w:val="16907088"/>
    <w:rsid w:val="169923E1"/>
    <w:rsid w:val="16B17467"/>
    <w:rsid w:val="16D8458B"/>
    <w:rsid w:val="17196EF8"/>
    <w:rsid w:val="17465999"/>
    <w:rsid w:val="17D7387E"/>
    <w:rsid w:val="17F429AA"/>
    <w:rsid w:val="18131D1F"/>
    <w:rsid w:val="18C92D21"/>
    <w:rsid w:val="18CB0F8E"/>
    <w:rsid w:val="18DE232D"/>
    <w:rsid w:val="19BA53C9"/>
    <w:rsid w:val="1BB90E2F"/>
    <w:rsid w:val="1C202C5C"/>
    <w:rsid w:val="1C6963B1"/>
    <w:rsid w:val="1C784846"/>
    <w:rsid w:val="1C8651B5"/>
    <w:rsid w:val="1CDB6B83"/>
    <w:rsid w:val="1D0E6F59"/>
    <w:rsid w:val="1D594678"/>
    <w:rsid w:val="1DEA1774"/>
    <w:rsid w:val="1DF93765"/>
    <w:rsid w:val="1E5D1F46"/>
    <w:rsid w:val="1ED146E2"/>
    <w:rsid w:val="1F525822"/>
    <w:rsid w:val="1F901016"/>
    <w:rsid w:val="1FC151C3"/>
    <w:rsid w:val="20522BB1"/>
    <w:rsid w:val="207E7ED3"/>
    <w:rsid w:val="2188386C"/>
    <w:rsid w:val="21F77FBB"/>
    <w:rsid w:val="220A23E4"/>
    <w:rsid w:val="22E22A19"/>
    <w:rsid w:val="22F931B7"/>
    <w:rsid w:val="23103A2A"/>
    <w:rsid w:val="245060A9"/>
    <w:rsid w:val="24975A86"/>
    <w:rsid w:val="24CF521F"/>
    <w:rsid w:val="252E63EA"/>
    <w:rsid w:val="2533478E"/>
    <w:rsid w:val="25AF524A"/>
    <w:rsid w:val="26263565"/>
    <w:rsid w:val="26B75F6B"/>
    <w:rsid w:val="26C367B7"/>
    <w:rsid w:val="26C37F35"/>
    <w:rsid w:val="27736336"/>
    <w:rsid w:val="27AE736E"/>
    <w:rsid w:val="28072F22"/>
    <w:rsid w:val="28650375"/>
    <w:rsid w:val="290D27BA"/>
    <w:rsid w:val="29C16F63"/>
    <w:rsid w:val="29D15596"/>
    <w:rsid w:val="29D84B76"/>
    <w:rsid w:val="2A7F3244"/>
    <w:rsid w:val="2B507B9C"/>
    <w:rsid w:val="2B65243A"/>
    <w:rsid w:val="2BE315B0"/>
    <w:rsid w:val="2BF81500"/>
    <w:rsid w:val="2C925031"/>
    <w:rsid w:val="2D2B530B"/>
    <w:rsid w:val="2D941900"/>
    <w:rsid w:val="2E692241"/>
    <w:rsid w:val="2E80043C"/>
    <w:rsid w:val="2E933762"/>
    <w:rsid w:val="2ECC76E0"/>
    <w:rsid w:val="2EED10C4"/>
    <w:rsid w:val="2F2F348A"/>
    <w:rsid w:val="3069477A"/>
    <w:rsid w:val="30F77FD8"/>
    <w:rsid w:val="31E4247E"/>
    <w:rsid w:val="31EA7E07"/>
    <w:rsid w:val="32B700F7"/>
    <w:rsid w:val="334868C9"/>
    <w:rsid w:val="334D0383"/>
    <w:rsid w:val="33DE722D"/>
    <w:rsid w:val="33E81E5A"/>
    <w:rsid w:val="347A1EC1"/>
    <w:rsid w:val="348E0C53"/>
    <w:rsid w:val="35245D2C"/>
    <w:rsid w:val="35373099"/>
    <w:rsid w:val="35732F61"/>
    <w:rsid w:val="35753BC1"/>
    <w:rsid w:val="35A52C64"/>
    <w:rsid w:val="360311CD"/>
    <w:rsid w:val="367E6AA5"/>
    <w:rsid w:val="36AD4304"/>
    <w:rsid w:val="376E2676"/>
    <w:rsid w:val="380A4A95"/>
    <w:rsid w:val="382D0783"/>
    <w:rsid w:val="384B0C09"/>
    <w:rsid w:val="38606463"/>
    <w:rsid w:val="389524E8"/>
    <w:rsid w:val="389E342F"/>
    <w:rsid w:val="396401D4"/>
    <w:rsid w:val="39B8407C"/>
    <w:rsid w:val="39BA1BA2"/>
    <w:rsid w:val="3A1C285D"/>
    <w:rsid w:val="3A4B7556"/>
    <w:rsid w:val="3A5B15D7"/>
    <w:rsid w:val="3AC0143A"/>
    <w:rsid w:val="3AE6021D"/>
    <w:rsid w:val="3B1B5C9A"/>
    <w:rsid w:val="3BA940A1"/>
    <w:rsid w:val="3BDD787A"/>
    <w:rsid w:val="3C350AB7"/>
    <w:rsid w:val="3C97441D"/>
    <w:rsid w:val="3CDC4526"/>
    <w:rsid w:val="3CF916BC"/>
    <w:rsid w:val="3D2757A1"/>
    <w:rsid w:val="3D644B34"/>
    <w:rsid w:val="3D9F17DB"/>
    <w:rsid w:val="3DE6740A"/>
    <w:rsid w:val="3EBE0387"/>
    <w:rsid w:val="40167D4F"/>
    <w:rsid w:val="40311615"/>
    <w:rsid w:val="41067DC3"/>
    <w:rsid w:val="411E335F"/>
    <w:rsid w:val="41962EF5"/>
    <w:rsid w:val="41B65345"/>
    <w:rsid w:val="41F533C3"/>
    <w:rsid w:val="421D3616"/>
    <w:rsid w:val="42356D90"/>
    <w:rsid w:val="42402E61"/>
    <w:rsid w:val="42703746"/>
    <w:rsid w:val="42843695"/>
    <w:rsid w:val="42A0217B"/>
    <w:rsid w:val="42BE0955"/>
    <w:rsid w:val="42C130B5"/>
    <w:rsid w:val="42F17338"/>
    <w:rsid w:val="43346E69"/>
    <w:rsid w:val="44E81E5A"/>
    <w:rsid w:val="45012D7B"/>
    <w:rsid w:val="456F0CFB"/>
    <w:rsid w:val="45813EBC"/>
    <w:rsid w:val="45A71B75"/>
    <w:rsid w:val="45C06792"/>
    <w:rsid w:val="468E6891"/>
    <w:rsid w:val="470D1EAB"/>
    <w:rsid w:val="475A7FE8"/>
    <w:rsid w:val="483F42E6"/>
    <w:rsid w:val="48CF7268"/>
    <w:rsid w:val="4A275032"/>
    <w:rsid w:val="4A30467E"/>
    <w:rsid w:val="4A69389D"/>
    <w:rsid w:val="4A96452E"/>
    <w:rsid w:val="4ADB7BCB"/>
    <w:rsid w:val="4ADF33BB"/>
    <w:rsid w:val="4B047121"/>
    <w:rsid w:val="4B713231"/>
    <w:rsid w:val="4B920BD1"/>
    <w:rsid w:val="4BA24238"/>
    <w:rsid w:val="4BAF13B8"/>
    <w:rsid w:val="4CD60F91"/>
    <w:rsid w:val="4D3B09E7"/>
    <w:rsid w:val="4D42437D"/>
    <w:rsid w:val="4EEA4880"/>
    <w:rsid w:val="4FAF43DF"/>
    <w:rsid w:val="50F84642"/>
    <w:rsid w:val="5224454D"/>
    <w:rsid w:val="528374C6"/>
    <w:rsid w:val="528D20F2"/>
    <w:rsid w:val="52A61C7F"/>
    <w:rsid w:val="52B0193D"/>
    <w:rsid w:val="53146370"/>
    <w:rsid w:val="53605111"/>
    <w:rsid w:val="53F146EA"/>
    <w:rsid w:val="54297BF9"/>
    <w:rsid w:val="552A59D6"/>
    <w:rsid w:val="55410F72"/>
    <w:rsid w:val="559E35BC"/>
    <w:rsid w:val="56036B30"/>
    <w:rsid w:val="567F61F6"/>
    <w:rsid w:val="572A6162"/>
    <w:rsid w:val="57E16138"/>
    <w:rsid w:val="581159BD"/>
    <w:rsid w:val="581D5CC6"/>
    <w:rsid w:val="58F14836"/>
    <w:rsid w:val="5AFC7E15"/>
    <w:rsid w:val="5B404EA8"/>
    <w:rsid w:val="5B56009A"/>
    <w:rsid w:val="5BEA5EBF"/>
    <w:rsid w:val="5C5D48E3"/>
    <w:rsid w:val="5CA16EC6"/>
    <w:rsid w:val="5DA16A52"/>
    <w:rsid w:val="5EA26F25"/>
    <w:rsid w:val="5ECE010D"/>
    <w:rsid w:val="5ED66574"/>
    <w:rsid w:val="5F3054BA"/>
    <w:rsid w:val="5F630463"/>
    <w:rsid w:val="5F7579E5"/>
    <w:rsid w:val="5F7E34EF"/>
    <w:rsid w:val="5F85487D"/>
    <w:rsid w:val="5FC058B5"/>
    <w:rsid w:val="6042276E"/>
    <w:rsid w:val="605B55DE"/>
    <w:rsid w:val="60642B83"/>
    <w:rsid w:val="606B1610"/>
    <w:rsid w:val="61027721"/>
    <w:rsid w:val="614222FA"/>
    <w:rsid w:val="61517C3D"/>
    <w:rsid w:val="61E8754F"/>
    <w:rsid w:val="62257C51"/>
    <w:rsid w:val="62851849"/>
    <w:rsid w:val="62DB47B4"/>
    <w:rsid w:val="64065861"/>
    <w:rsid w:val="642B52C7"/>
    <w:rsid w:val="647749B0"/>
    <w:rsid w:val="64B912B6"/>
    <w:rsid w:val="664B39FF"/>
    <w:rsid w:val="66D6776C"/>
    <w:rsid w:val="66FE6CC3"/>
    <w:rsid w:val="67D53EC8"/>
    <w:rsid w:val="67D96C22"/>
    <w:rsid w:val="67DF4D46"/>
    <w:rsid w:val="68E63EB3"/>
    <w:rsid w:val="693B3D95"/>
    <w:rsid w:val="694035C3"/>
    <w:rsid w:val="69E71C90"/>
    <w:rsid w:val="6AC326FD"/>
    <w:rsid w:val="6B013226"/>
    <w:rsid w:val="6B9C62A9"/>
    <w:rsid w:val="6BA50055"/>
    <w:rsid w:val="6BA505CD"/>
    <w:rsid w:val="6BC26511"/>
    <w:rsid w:val="6C5C0714"/>
    <w:rsid w:val="6CFE5C6F"/>
    <w:rsid w:val="6D7952F5"/>
    <w:rsid w:val="6E5D181D"/>
    <w:rsid w:val="6F413BF1"/>
    <w:rsid w:val="6F765F90"/>
    <w:rsid w:val="6F9E54E7"/>
    <w:rsid w:val="6FC65330"/>
    <w:rsid w:val="6FD668FC"/>
    <w:rsid w:val="70B52AE8"/>
    <w:rsid w:val="7134117C"/>
    <w:rsid w:val="713F6856"/>
    <w:rsid w:val="71A843FB"/>
    <w:rsid w:val="720553A9"/>
    <w:rsid w:val="7242075C"/>
    <w:rsid w:val="72935EE4"/>
    <w:rsid w:val="72D54D7C"/>
    <w:rsid w:val="72DD6326"/>
    <w:rsid w:val="72F316A6"/>
    <w:rsid w:val="73005B71"/>
    <w:rsid w:val="733E0D9C"/>
    <w:rsid w:val="739F35DC"/>
    <w:rsid w:val="74E96DFB"/>
    <w:rsid w:val="75B01AD0"/>
    <w:rsid w:val="75E8797A"/>
    <w:rsid w:val="7616748B"/>
    <w:rsid w:val="764010A6"/>
    <w:rsid w:val="771A4351"/>
    <w:rsid w:val="773D4FE2"/>
    <w:rsid w:val="775A1CF3"/>
    <w:rsid w:val="790F6B0E"/>
    <w:rsid w:val="791800B8"/>
    <w:rsid w:val="79202AC9"/>
    <w:rsid w:val="7B2D1D6B"/>
    <w:rsid w:val="7BF24BF0"/>
    <w:rsid w:val="7CFC4F7F"/>
    <w:rsid w:val="7D037B23"/>
    <w:rsid w:val="7D247282"/>
    <w:rsid w:val="7D7F24B4"/>
    <w:rsid w:val="7DD76804"/>
    <w:rsid w:val="7DFC3B04"/>
    <w:rsid w:val="7E024E93"/>
    <w:rsid w:val="7E12157A"/>
    <w:rsid w:val="7E2272E3"/>
    <w:rsid w:val="7E3D5ECB"/>
    <w:rsid w:val="7E9C7095"/>
    <w:rsid w:val="7F3B154E"/>
    <w:rsid w:val="7FB641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qFormat/>
    <w:uiPriority w:val="0"/>
    <w:pPr>
      <w:jc w:val="left"/>
    </w:pPr>
  </w:style>
  <w:style w:type="paragraph" w:styleId="4">
    <w:name w:val="Balloon Text"/>
    <w:basedOn w:val="1"/>
    <w:link w:val="13"/>
    <w:qFormat/>
    <w:uiPriority w:val="0"/>
    <w:rPr>
      <w:sz w:val="18"/>
      <w:szCs w:val="18"/>
    </w:rPr>
  </w:style>
  <w:style w:type="paragraph" w:styleId="5">
    <w:name w:val="footer"/>
    <w:basedOn w:val="1"/>
    <w:link w:val="17"/>
    <w:qFormat/>
    <w:uiPriority w:val="0"/>
    <w:pPr>
      <w:tabs>
        <w:tab w:val="center" w:pos="4153"/>
        <w:tab w:val="right" w:pos="8306"/>
      </w:tabs>
      <w:snapToGrid w:val="0"/>
      <w:jc w:val="left"/>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annotation subject"/>
    <w:basedOn w:val="3"/>
    <w:next w:val="3"/>
    <w:link w:val="15"/>
    <w:qFormat/>
    <w:uiPriority w:val="0"/>
    <w:rPr>
      <w:b/>
      <w:bCs/>
    </w:rPr>
  </w:style>
  <w:style w:type="character" w:styleId="11">
    <w:name w:val="page number"/>
    <w:basedOn w:val="10"/>
    <w:qFormat/>
    <w:uiPriority w:val="0"/>
  </w:style>
  <w:style w:type="character" w:styleId="12">
    <w:name w:val="annotation reference"/>
    <w:basedOn w:val="10"/>
    <w:qFormat/>
    <w:uiPriority w:val="0"/>
    <w:rPr>
      <w:sz w:val="21"/>
      <w:szCs w:val="21"/>
    </w:rPr>
  </w:style>
  <w:style w:type="character" w:customStyle="1" w:styleId="13">
    <w:name w:val="批注框文本 Char"/>
    <w:basedOn w:val="10"/>
    <w:link w:val="4"/>
    <w:qFormat/>
    <w:uiPriority w:val="0"/>
    <w:rPr>
      <w:rFonts w:asciiTheme="minorHAnsi" w:hAnsiTheme="minorHAnsi" w:eastAsiaTheme="minorEastAsia" w:cstheme="minorBidi"/>
      <w:kern w:val="2"/>
      <w:sz w:val="18"/>
      <w:szCs w:val="18"/>
    </w:rPr>
  </w:style>
  <w:style w:type="character" w:customStyle="1" w:styleId="14">
    <w:name w:val="批注文字 Char"/>
    <w:basedOn w:val="10"/>
    <w:link w:val="3"/>
    <w:qFormat/>
    <w:uiPriority w:val="0"/>
    <w:rPr>
      <w:rFonts w:asciiTheme="minorHAnsi" w:hAnsiTheme="minorHAnsi" w:eastAsiaTheme="minorEastAsia" w:cstheme="minorBidi"/>
      <w:kern w:val="2"/>
      <w:sz w:val="21"/>
      <w:szCs w:val="24"/>
    </w:rPr>
  </w:style>
  <w:style w:type="character" w:customStyle="1" w:styleId="15">
    <w:name w:val="批注主题 Char"/>
    <w:basedOn w:val="14"/>
    <w:link w:val="8"/>
    <w:qFormat/>
    <w:uiPriority w:val="0"/>
  </w:style>
  <w:style w:type="character" w:customStyle="1" w:styleId="16">
    <w:name w:val="页眉 Char"/>
    <w:basedOn w:val="10"/>
    <w:link w:val="6"/>
    <w:qFormat/>
    <w:uiPriority w:val="0"/>
    <w:rPr>
      <w:rFonts w:asciiTheme="minorHAnsi" w:hAnsiTheme="minorHAnsi" w:eastAsiaTheme="minorEastAsia" w:cstheme="minorBidi"/>
      <w:kern w:val="2"/>
      <w:sz w:val="18"/>
      <w:szCs w:val="18"/>
    </w:rPr>
  </w:style>
  <w:style w:type="character" w:customStyle="1" w:styleId="17">
    <w:name w:val="页脚 Char"/>
    <w:basedOn w:val="10"/>
    <w:link w:val="5"/>
    <w:qFormat/>
    <w:uiPriority w:val="0"/>
    <w:rPr>
      <w:rFonts w:asciiTheme="minorHAnsi" w:hAnsiTheme="minorHAnsi" w:eastAsiaTheme="minorEastAsia" w:cstheme="minorBidi"/>
      <w:kern w:val="2"/>
      <w:sz w:val="18"/>
      <w:szCs w:val="18"/>
    </w:rPr>
  </w:style>
  <w:style w:type="character" w:customStyle="1" w:styleId="18">
    <w:name w:val="font2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20</Pages>
  <Words>10914</Words>
  <Characters>11564</Characters>
  <Lines>65</Lines>
  <Paragraphs>18</Paragraphs>
  <TotalTime>28</TotalTime>
  <ScaleCrop>false</ScaleCrop>
  <LinksUpToDate>false</LinksUpToDate>
  <CharactersWithSpaces>11650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2022-10-08T03:11:00Z</dcterms:created>
  <dc:creator>耳语。</dc:creator>
  <cp:lastModifiedBy>Administrator</cp:lastModifiedBy>
  <dcterms:modified xsi:type="dcterms:W3CDTF">2023-02-23T08:18:04Z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BEE774CF2C534BB288E9E32EFAE0F72F</vt:lpwstr>
  </property>
</Properties>
</file>