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1D388">
      <w:pPr>
        <w:snapToGrid w:val="0"/>
        <w:spacing w:line="520" w:lineRule="exact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洛阳市偃师区市场监督管理局</w:t>
      </w:r>
    </w:p>
    <w:p w14:paraId="686CB7C2">
      <w:pPr>
        <w:snapToGrid w:val="0"/>
        <w:spacing w:line="520" w:lineRule="exact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行政处罚决定书</w:t>
      </w:r>
    </w:p>
    <w:p w14:paraId="2DD285E3">
      <w:pPr>
        <w:snapToGrid w:val="0"/>
        <w:spacing w:line="58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</w:t>
      </w:r>
      <w:r>
        <w:rPr>
          <w:rFonts w:hint="eastAsia" w:cs="仿宋" w:asciiTheme="minorEastAsia" w:hAnsiTheme="minorEastAsia" w:eastAsiaTheme="minorEastAsia"/>
          <w:sz w:val="30"/>
          <w:szCs w:val="30"/>
        </w:rPr>
        <w:t>偃市监处罚〔2024〕9号</w:t>
      </w:r>
    </w:p>
    <w:p w14:paraId="00672B56">
      <w:pPr>
        <w:tabs>
          <w:tab w:val="left" w:pos="4440"/>
          <w:tab w:val="left" w:pos="8920"/>
        </w:tabs>
        <w:spacing w:line="580" w:lineRule="exact"/>
        <w:ind w:right="118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3F86B504">
      <w:pPr>
        <w:tabs>
          <w:tab w:val="left" w:pos="4440"/>
          <w:tab w:val="left" w:pos="8920"/>
        </w:tabs>
        <w:spacing w:line="580" w:lineRule="exact"/>
        <w:ind w:right="11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当事人：</w:t>
      </w:r>
      <w:bookmarkStart w:id="0" w:name="_Hlk181952141"/>
      <w:r>
        <w:rPr>
          <w:rFonts w:hint="eastAsia" w:ascii="仿宋" w:hAnsi="仿宋" w:eastAsia="仿宋" w:cs="仿宋"/>
          <w:sz w:val="32"/>
          <w:szCs w:val="32"/>
        </w:rPr>
        <w:t>偃师市伊洛街道办梦唐酒仓烟酒店</w:t>
      </w:r>
      <w:bookmarkEnd w:id="0"/>
    </w:p>
    <w:p w14:paraId="51635AE9">
      <w:pPr>
        <w:tabs>
          <w:tab w:val="left" w:pos="4440"/>
          <w:tab w:val="left" w:pos="8920"/>
        </w:tabs>
        <w:spacing w:line="580" w:lineRule="exact"/>
        <w:ind w:right="118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主体资格证照名称：营业执照</w:t>
      </w:r>
    </w:p>
    <w:p w14:paraId="6BA38BBE">
      <w:pPr>
        <w:tabs>
          <w:tab w:val="left" w:pos="4440"/>
          <w:tab w:val="left" w:pos="8920"/>
        </w:tabs>
        <w:spacing w:line="580" w:lineRule="exact"/>
        <w:ind w:right="118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</w:rPr>
        <w:t>92410381MA9FYQ8P9H</w:t>
      </w:r>
    </w:p>
    <w:p w14:paraId="62D6F5A2">
      <w:pPr>
        <w:tabs>
          <w:tab w:val="left" w:pos="4440"/>
          <w:tab w:val="left" w:pos="8920"/>
        </w:tabs>
        <w:spacing w:line="580" w:lineRule="exact"/>
        <w:ind w:left="1600" w:right="118" w:hanging="1600" w:hangingChars="5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经营场所：</w:t>
      </w:r>
      <w:r>
        <w:rPr>
          <w:rFonts w:hint="eastAsia" w:ascii="仿宋" w:hAnsi="仿宋" w:eastAsia="仿宋" w:cs="仿宋"/>
          <w:sz w:val="32"/>
          <w:szCs w:val="32"/>
        </w:rPr>
        <w:t>偃师市伊洛街道办事处洛神路南侧新新路与洛神</w:t>
      </w:r>
    </w:p>
    <w:p w14:paraId="7C34E80A">
      <w:pPr>
        <w:tabs>
          <w:tab w:val="left" w:pos="4440"/>
          <w:tab w:val="left" w:pos="8920"/>
        </w:tabs>
        <w:spacing w:line="580" w:lineRule="exact"/>
        <w:ind w:left="1600" w:right="118" w:hanging="1600" w:hangingChars="5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路交叉口东50米</w:t>
      </w:r>
    </w:p>
    <w:p w14:paraId="14B6B6C1">
      <w:pPr>
        <w:tabs>
          <w:tab w:val="left" w:pos="4440"/>
          <w:tab w:val="left" w:pos="8920"/>
        </w:tabs>
        <w:spacing w:line="580" w:lineRule="exact"/>
        <w:ind w:right="118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经营者：</w:t>
      </w:r>
      <w:r>
        <w:rPr>
          <w:rFonts w:hint="eastAsia" w:ascii="仿宋" w:hAnsi="仿宋" w:eastAsia="仿宋" w:cs="仿宋"/>
          <w:sz w:val="32"/>
          <w:szCs w:val="32"/>
        </w:rPr>
        <w:t>段利波</w:t>
      </w:r>
    </w:p>
    <w:p w14:paraId="26F33C33">
      <w:pPr>
        <w:widowControl/>
        <w:autoSpaceDE w:val="0"/>
        <w:autoSpaceDN w:val="0"/>
        <w:spacing w:line="580" w:lineRule="exact"/>
        <w:ind w:right="-292" w:rightChars="-139" w:firstLine="632" w:firstLineChars="200"/>
        <w:rPr>
          <w:rFonts w:hint="eastAsia" w:ascii="仿宋" w:hAnsi="仿宋" w:eastAsia="仿宋" w:cs="仿宋"/>
          <w:color w:val="221E1F"/>
          <w:spacing w:val="-7"/>
          <w:sz w:val="32"/>
          <w:szCs w:val="32"/>
        </w:rPr>
      </w:pPr>
      <w:bookmarkStart w:id="3" w:name="_GoBack"/>
      <w:bookmarkEnd w:id="3"/>
      <w:r>
        <w:rPr>
          <w:rFonts w:hint="eastAsia" w:ascii="仿宋" w:hAnsi="仿宋" w:eastAsia="仿宋" w:cs="仿宋"/>
          <w:spacing w:val="-2"/>
          <w:sz w:val="32"/>
          <w:szCs w:val="32"/>
        </w:rPr>
        <w:t>2023年8月29日，当事人</w:t>
      </w:r>
      <w:r>
        <w:rPr>
          <w:rFonts w:hint="eastAsia" w:ascii="仿宋" w:hAnsi="仿宋" w:eastAsia="仿宋" w:cs="仿宋"/>
          <w:color w:val="221E1F"/>
          <w:spacing w:val="-7"/>
          <w:sz w:val="32"/>
          <w:szCs w:val="32"/>
        </w:rPr>
        <w:t>从</w:t>
      </w:r>
      <w:r>
        <w:rPr>
          <w:rFonts w:hint="eastAsia" w:ascii="仿宋" w:hAnsi="仿宋" w:eastAsia="仿宋" w:cs="仿宋"/>
          <w:sz w:val="32"/>
          <w:szCs w:val="32"/>
        </w:rPr>
        <w:t>新郑市大兴酒业商行</w:t>
      </w:r>
      <w:r>
        <w:rPr>
          <w:rFonts w:hint="eastAsia" w:ascii="仿宋" w:hAnsi="仿宋" w:eastAsia="仿宋" w:cs="仿宋"/>
          <w:color w:val="221E1F"/>
          <w:spacing w:val="-7"/>
          <w:sz w:val="32"/>
          <w:szCs w:val="32"/>
        </w:rPr>
        <w:t>购进天朝上品绵柔酱香型白酒120瓶，总价为4900元，</w:t>
      </w:r>
      <w:r>
        <w:rPr>
          <w:rFonts w:hint="eastAsia" w:ascii="仿宋" w:hAnsi="仿宋" w:eastAsia="仿宋" w:cs="仿宋"/>
          <w:sz w:val="32"/>
          <w:szCs w:val="32"/>
        </w:rPr>
        <w:t>售价为75元/瓶</w:t>
      </w:r>
      <w:r>
        <w:rPr>
          <w:rFonts w:hint="eastAsia" w:ascii="仿宋" w:hAnsi="仿宋" w:eastAsia="仿宋" w:cs="仿宋"/>
          <w:color w:val="221E1F"/>
          <w:spacing w:val="-7"/>
          <w:sz w:val="32"/>
          <w:szCs w:val="32"/>
        </w:rPr>
        <w:t>，已销售31瓶，尚未销售89瓶</w:t>
      </w:r>
      <w:r>
        <w:rPr>
          <w:rFonts w:hint="eastAsia" w:ascii="仿宋" w:hAnsi="仿宋" w:eastAsia="仿宋" w:cs="Arial"/>
          <w:color w:val="333333"/>
          <w:sz w:val="32"/>
          <w:szCs w:val="32"/>
        </w:rPr>
        <w:t>。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经查，上述白酒包装上的天朝上品</w:t>
      </w:r>
      <w:r>
        <w:rPr>
          <w:rFonts w:ascii="Calibri" w:hAnsi="Calibri" w:eastAsia="仿宋" w:cs="Calibri"/>
          <w:color w:val="221E1F"/>
          <w:spacing w:val="-7"/>
          <w:sz w:val="32"/>
          <w:szCs w:val="32"/>
        </w:rPr>
        <w:t>®</w:t>
      </w:r>
      <w:r>
        <w:rPr>
          <w:rFonts w:hint="eastAsia" w:ascii="仿宋" w:hAnsi="仿宋" w:eastAsia="仿宋" w:cs="仿宋"/>
          <w:color w:val="221E1F"/>
          <w:spacing w:val="-7"/>
          <w:sz w:val="32"/>
          <w:szCs w:val="32"/>
        </w:rPr>
        <w:t>与注册人“贵州天朝上品酒业运营管理有限公司”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经国家知识产权局注册</w:t>
      </w:r>
      <w:r>
        <w:rPr>
          <w:rFonts w:hint="eastAsia" w:ascii="仿宋" w:hAnsi="仿宋" w:eastAsia="仿宋" w:cs="仿宋"/>
          <w:color w:val="221E1F"/>
          <w:spacing w:val="-7"/>
          <w:sz w:val="32"/>
          <w:szCs w:val="32"/>
        </w:rPr>
        <w:t>的第9598983号注册商标相同，且与上述注册商标核定使用商品（第33类）：酒（饮料）同类。</w:t>
      </w:r>
      <w:r>
        <w:rPr>
          <w:rFonts w:hint="eastAsia" w:ascii="仿宋" w:hAnsi="仿宋" w:eastAsia="仿宋" w:cs="仿宋"/>
          <w:sz w:val="32"/>
          <w:szCs w:val="32"/>
        </w:rPr>
        <w:t>经</w:t>
      </w:r>
      <w:r>
        <w:rPr>
          <w:rFonts w:hint="eastAsia" w:ascii="仿宋" w:hAnsi="仿宋" w:eastAsia="仿宋" w:cs="仿宋"/>
          <w:color w:val="221E1F"/>
          <w:spacing w:val="-7"/>
          <w:sz w:val="32"/>
          <w:szCs w:val="32"/>
        </w:rPr>
        <w:t>贵州天朝上品迎宾酒业（集团）有限责任公司</w:t>
      </w:r>
      <w:r>
        <w:rPr>
          <w:rFonts w:hint="eastAsia" w:ascii="仿宋" w:hAnsi="仿宋" w:eastAsia="仿宋" w:cs="仿宋"/>
          <w:sz w:val="32"/>
          <w:szCs w:val="32"/>
        </w:rPr>
        <w:t>辨认，认定为是侵犯</w:t>
      </w:r>
      <w:r>
        <w:rPr>
          <w:rFonts w:hint="eastAsia" w:ascii="仿宋" w:hAnsi="仿宋" w:eastAsia="仿宋" w:cs="仿宋"/>
          <w:color w:val="221E1F"/>
          <w:spacing w:val="-7"/>
          <w:sz w:val="32"/>
          <w:szCs w:val="32"/>
        </w:rPr>
        <w:t>天朝上品</w:t>
      </w:r>
      <w:r>
        <w:rPr>
          <w:rFonts w:ascii="Calibri" w:hAnsi="Calibri" w:eastAsia="仿宋" w:cs="Calibri"/>
          <w:color w:val="221E1F"/>
          <w:spacing w:val="-7"/>
          <w:sz w:val="32"/>
          <w:szCs w:val="32"/>
        </w:rPr>
        <w:t>®</w:t>
      </w:r>
      <w:r>
        <w:rPr>
          <w:rFonts w:hint="eastAsia" w:ascii="仿宋" w:hAnsi="仿宋" w:eastAsia="仿宋" w:cs="仿宋"/>
          <w:sz w:val="32"/>
          <w:szCs w:val="32"/>
        </w:rPr>
        <w:t>注册商标专用权的商品。</w:t>
      </w:r>
    </w:p>
    <w:p w14:paraId="25C10E7C">
      <w:pPr>
        <w:spacing w:line="580" w:lineRule="exact"/>
        <w:ind w:firstLine="632" w:firstLineChars="200"/>
        <w:rPr>
          <w:rFonts w:hint="eastAsia" w:ascii="仿宋" w:hAnsi="仿宋" w:eastAsia="仿宋" w:cs="仿宋"/>
          <w:color w:val="000000"/>
          <w:spacing w:val="-2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上述事实，主要有以下证据证明：</w:t>
      </w:r>
    </w:p>
    <w:p w14:paraId="7A555ED2">
      <w:pPr>
        <w:widowControl/>
        <w:autoSpaceDE w:val="0"/>
        <w:autoSpaceDN w:val="0"/>
        <w:spacing w:line="580" w:lineRule="exact"/>
        <w:ind w:right="-292" w:rightChars="-139" w:firstLine="596" w:firstLineChars="200"/>
        <w:rPr>
          <w:rFonts w:hint="eastAsia" w:ascii="仿宋" w:hAnsi="仿宋" w:eastAsia="仿宋" w:cs="仿宋"/>
          <w:color w:val="221E1F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1"/>
          <w:sz w:val="32"/>
          <w:szCs w:val="32"/>
        </w:rPr>
        <w:t xml:space="preserve">1.营业执照、食品经营许可证及经营者身份证复印件，证明当事人主体经营资格及经营者身份；                                                </w:t>
      </w:r>
    </w:p>
    <w:p w14:paraId="7920A96B">
      <w:pPr>
        <w:widowControl/>
        <w:spacing w:line="580" w:lineRule="exact"/>
        <w:ind w:right="-292" w:rightChars="-139" w:firstLine="640" w:firstLineChars="200"/>
        <w:rPr>
          <w:rFonts w:hint="eastAsia"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2.现场笔录，证明我局执法人员现场检查的情况；</w:t>
      </w:r>
    </w:p>
    <w:p w14:paraId="46B859CC">
      <w:pPr>
        <w:widowControl/>
        <w:spacing w:line="580" w:lineRule="exact"/>
        <w:ind w:right="-292" w:rightChars="-139" w:firstLine="640" w:firstLineChars="200"/>
        <w:rPr>
          <w:rFonts w:hint="eastAsia"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3.询问笔录，证明当事人销售侵权</w:t>
      </w:r>
      <w:r>
        <w:rPr>
          <w:rFonts w:hint="eastAsia" w:ascii="仿宋" w:hAnsi="仿宋" w:eastAsia="仿宋" w:cs="仿宋"/>
          <w:sz w:val="32"/>
          <w:szCs w:val="32"/>
        </w:rPr>
        <w:t>天朝上品白酒的情况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 xml:space="preserve">。    </w:t>
      </w:r>
    </w:p>
    <w:p w14:paraId="2959C4C5">
      <w:pPr>
        <w:widowControl/>
        <w:spacing w:line="580" w:lineRule="exact"/>
        <w:ind w:right="-292" w:rightChars="-139" w:firstLine="640" w:firstLineChars="200"/>
        <w:rPr>
          <w:rFonts w:hint="eastAsia"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 xml:space="preserve">4.实施行政强制措施决定书及财物清单，证明涉嫌侵权商品的被扣押情况和数量； </w:t>
      </w:r>
    </w:p>
    <w:p w14:paraId="73DE955A">
      <w:pPr>
        <w:widowControl/>
        <w:spacing w:line="580" w:lineRule="exact"/>
        <w:ind w:right="-292" w:rightChars="-139" w:firstLine="640" w:firstLineChars="200"/>
        <w:rPr>
          <w:rFonts w:hint="eastAsia"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5.涉案白酒图片，证明当事人销售的侵权</w:t>
      </w:r>
      <w:r>
        <w:rPr>
          <w:rFonts w:hint="eastAsia" w:ascii="仿宋" w:hAnsi="仿宋" w:eastAsia="仿宋" w:cs="仿宋"/>
          <w:sz w:val="32"/>
          <w:szCs w:val="32"/>
        </w:rPr>
        <w:t>天朝上品白酒外观情况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 xml:space="preserve">；        </w:t>
      </w:r>
    </w:p>
    <w:p w14:paraId="3D148B17">
      <w:pPr>
        <w:widowControl/>
        <w:spacing w:line="580" w:lineRule="exact"/>
        <w:ind w:right="-292" w:rightChars="-139" w:firstLine="640" w:firstLineChars="200"/>
        <w:rPr>
          <w:rFonts w:hint="eastAsia"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6.</w:t>
      </w:r>
      <w:r>
        <w:rPr>
          <w:rFonts w:hint="eastAsia" w:ascii="仿宋" w:hAnsi="仿宋" w:eastAsia="仿宋" w:cs="仿宋"/>
          <w:color w:val="221E1F"/>
          <w:spacing w:val="-7"/>
          <w:sz w:val="32"/>
          <w:szCs w:val="32"/>
        </w:rPr>
        <w:t>贵州天朝上品迎宾酒业（集团）有限责任公司出具的鉴定证明表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，证明当事人销售的</w:t>
      </w:r>
      <w:r>
        <w:rPr>
          <w:rFonts w:hint="eastAsia" w:ascii="仿宋" w:hAnsi="仿宋" w:eastAsia="仿宋" w:cs="仿宋"/>
          <w:color w:val="221E1F"/>
          <w:spacing w:val="-7"/>
          <w:sz w:val="32"/>
          <w:szCs w:val="32"/>
        </w:rPr>
        <w:t>天朝上品白酒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属于侵犯</w:t>
      </w:r>
      <w:r>
        <w:rPr>
          <w:rFonts w:hint="eastAsia" w:ascii="仿宋" w:hAnsi="仿宋" w:eastAsia="仿宋" w:cs="仿宋"/>
          <w:color w:val="221E1F"/>
          <w:spacing w:val="-7"/>
          <w:sz w:val="32"/>
          <w:szCs w:val="32"/>
        </w:rPr>
        <w:t>天朝上品</w:t>
      </w:r>
      <w:r>
        <w:rPr>
          <w:rFonts w:ascii="Calibri" w:hAnsi="Calibri" w:eastAsia="仿宋" w:cs="Calibri"/>
          <w:color w:val="221E1F"/>
          <w:spacing w:val="-7"/>
          <w:sz w:val="32"/>
          <w:szCs w:val="32"/>
        </w:rPr>
        <w:t>®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 xml:space="preserve">注册商标专用权的产品；   </w:t>
      </w:r>
    </w:p>
    <w:p w14:paraId="5828D2B0">
      <w:pPr>
        <w:widowControl/>
        <w:spacing w:line="580" w:lineRule="exact"/>
        <w:ind w:right="-292" w:rightChars="-139" w:firstLine="640" w:firstLineChars="200"/>
        <w:rPr>
          <w:rFonts w:hint="eastAsia"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7.天朝上品</w:t>
      </w:r>
      <w:r>
        <w:rPr>
          <w:rFonts w:ascii="Calibri" w:hAnsi="Calibri" w:eastAsia="仿宋" w:cs="Calibri"/>
          <w:color w:val="221E1F"/>
          <w:spacing w:val="-7"/>
          <w:sz w:val="32"/>
          <w:szCs w:val="32"/>
        </w:rPr>
        <w:t>®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商标注册证、营业执照、商标使用授权书复印件，证明商标注册情况和被授权方情况；</w:t>
      </w:r>
    </w:p>
    <w:p w14:paraId="312781E8">
      <w:pPr>
        <w:widowControl/>
        <w:spacing w:line="580" w:lineRule="exact"/>
        <w:ind w:right="-292" w:rightChars="-139" w:firstLine="640" w:firstLineChars="200"/>
        <w:rPr>
          <w:rFonts w:hint="eastAsia"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8.供货商</w:t>
      </w:r>
      <w:r>
        <w:rPr>
          <w:rFonts w:hint="eastAsia" w:ascii="仿宋" w:hAnsi="仿宋" w:eastAsia="仿宋" w:cs="仿宋"/>
          <w:sz w:val="32"/>
          <w:szCs w:val="32"/>
        </w:rPr>
        <w:t>新郑市大兴酒业商行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 xml:space="preserve">的营业执照、食品经营许可证、2023年8月29日的销货清单，证明该商品采购情况。                                     </w:t>
      </w:r>
    </w:p>
    <w:p w14:paraId="53AF5E32">
      <w:pPr>
        <w:widowControl/>
        <w:spacing w:line="580" w:lineRule="exact"/>
        <w:ind w:right="-292" w:rightChars="-139" w:firstLine="616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pacing w:val="-6"/>
          <w:sz w:val="32"/>
          <w:szCs w:val="32"/>
        </w:rPr>
        <w:t>当事人的行为属于《</w:t>
      </w:r>
      <w:r>
        <w:rPr>
          <w:rFonts w:hint="eastAsia" w:ascii="仿宋" w:hAnsi="仿宋" w:eastAsia="仿宋" w:cs="仿宋"/>
          <w:sz w:val="32"/>
          <w:szCs w:val="32"/>
        </w:rPr>
        <w:t>中华人民共和国商标法》第五十七条 “有下列行为之一的，均属</w:t>
      </w:r>
      <w:bookmarkStart w:id="1" w:name="_Hlk181951795"/>
      <w:r>
        <w:rPr>
          <w:rFonts w:hint="eastAsia" w:ascii="仿宋" w:hAnsi="仿宋" w:eastAsia="仿宋" w:cs="仿宋"/>
          <w:sz w:val="32"/>
          <w:szCs w:val="32"/>
        </w:rPr>
        <w:t>侵犯注册商标专用权</w:t>
      </w:r>
      <w:bookmarkEnd w:id="1"/>
      <w:r>
        <w:rPr>
          <w:rFonts w:hint="eastAsia" w:ascii="仿宋" w:hAnsi="仿宋" w:eastAsia="仿宋" w:cs="仿宋"/>
          <w:sz w:val="32"/>
          <w:szCs w:val="32"/>
        </w:rPr>
        <w:t>：（三）销售侵犯注册商标专用权的商品的；”规定的侵犯注册商标专用权行为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。参照《河南省市场监督管理行政处罚裁量权适用通则》第十八条“当事人不具备不予行政处罚、减轻、从轻或者从重行政处罚情形的，</w:t>
      </w:r>
      <w:bookmarkStart w:id="2" w:name="_Hlk181951933"/>
      <w:r>
        <w:rPr>
          <w:rFonts w:hint="eastAsia" w:ascii="仿宋" w:hAnsi="仿宋" w:eastAsia="仿宋" w:cs="仿宋"/>
          <w:color w:val="333333"/>
          <w:sz w:val="32"/>
          <w:szCs w:val="32"/>
        </w:rPr>
        <w:t>应当给予一般行政处罚。</w:t>
      </w:r>
      <w:bookmarkEnd w:id="2"/>
      <w:r>
        <w:rPr>
          <w:rFonts w:hint="eastAsia" w:ascii="仿宋" w:hAnsi="仿宋" w:eastAsia="仿宋" w:cs="仿宋"/>
          <w:color w:val="333333"/>
          <w:sz w:val="32"/>
          <w:szCs w:val="32"/>
        </w:rPr>
        <w:t>”的规定，应当给予其一般行政处罚。</w:t>
      </w:r>
    </w:p>
    <w:p w14:paraId="09BD97DB">
      <w:pPr>
        <w:pStyle w:val="5"/>
        <w:autoSpaceDE w:val="0"/>
        <w:spacing w:line="580" w:lineRule="exact"/>
        <w:ind w:left="0" w:firstLine="640" w:firstLineChars="200"/>
        <w:rPr>
          <w:rFonts w:hint="eastAsia"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231F20"/>
        </w:rPr>
        <w:t>2024年10月30日，</w:t>
      </w:r>
      <w:r>
        <w:rPr>
          <w:rFonts w:hint="eastAsia" w:ascii="仿宋" w:hAnsi="仿宋" w:eastAsia="仿宋" w:cs="仿宋"/>
        </w:rPr>
        <w:t>我局依法向</w:t>
      </w:r>
      <w:r>
        <w:rPr>
          <w:rFonts w:hint="eastAsia" w:ascii="仿宋" w:hAnsi="仿宋" w:eastAsia="仿宋" w:cs="仿宋"/>
          <w:color w:val="000000"/>
        </w:rPr>
        <w:t>当事人</w:t>
      </w:r>
      <w:r>
        <w:rPr>
          <w:rFonts w:hint="eastAsia" w:ascii="仿宋" w:hAnsi="仿宋" w:eastAsia="仿宋" w:cs="仿宋"/>
        </w:rPr>
        <w:t>送达了偃市监罚告〔2024〕9号《行政处罚告知书》，告知当事人我局拟作出行政处罚决定的事实、理由、依据、内容及当事人依法享有的陈述权、申辩权。当事人在法定期限内未行使陈述、申辩权。</w:t>
      </w:r>
    </w:p>
    <w:p w14:paraId="35FC1217">
      <w:pPr>
        <w:pStyle w:val="5"/>
        <w:autoSpaceDE w:val="0"/>
        <w:spacing w:line="580" w:lineRule="exact"/>
        <w:ind w:left="0" w:firstLine="640" w:firstLineChars="200"/>
        <w:rPr>
          <w:rFonts w:hint="eastAsia"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</w:rPr>
        <w:t>依据《中华人民共和国商标法》第六十条第二款“工商行政管理部门处理时，认定侵权行为成立的，责令立即停止侵权行为，没收、销毁侵权商品和主要用于制造侵权商品、伪造注册商标标识的工具，违法经营额五万元以上的，可以处违法经营额五倍以下的罚款，没有违法经营额或者违法经营额不足五万元的，可以处二十五万元以下的罚款。对五年内实施两次以上商标侵权行为或者有其他严重情节的，应当从重处罚。销售不知道是侵犯注册商标专用权的商品，能证明该商品是自己合法取得并说明提供者的，由工商行政管理部门责令停止销售。”之规定，参照《河南省市场监督管理行政处罚裁量基准（2023版）》9.1.3“依据《商标法》第六十条第二款实施的行政处罚 裁量基准 没收、销毁侵权商品和主要用于制造侵权商品、伪造注册商标标识的工具，违法经营额5万元以上的，处违法经营额3.5倍以下的罚款，没有违法经营额或者违法经营额不足5万元的，处17.5万元以下的罚款。”之规定，决定责令偃师市伊洛街道办梦唐酒仓烟酒店立即停止侵权行为，没收侵权</w:t>
      </w:r>
      <w:r>
        <w:rPr>
          <w:rFonts w:hint="eastAsia" w:ascii="仿宋" w:hAnsi="仿宋" w:eastAsia="仿宋" w:cs="仿宋"/>
          <w:color w:val="221E1F"/>
          <w:spacing w:val="-7"/>
        </w:rPr>
        <w:t>白酒89</w:t>
      </w:r>
      <w:r>
        <w:rPr>
          <w:rFonts w:hint="eastAsia" w:ascii="仿宋" w:hAnsi="仿宋" w:eastAsia="仿宋" w:cs="仿宋"/>
          <w:color w:val="221E1F"/>
        </w:rPr>
        <w:t>瓶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color w:val="221E1F"/>
        </w:rPr>
        <w:t>处2</w:t>
      </w:r>
      <w:r>
        <w:rPr>
          <w:rFonts w:hint="eastAsia" w:ascii="仿宋" w:hAnsi="仿宋" w:eastAsia="仿宋" w:cs="仿宋"/>
        </w:rPr>
        <w:t>000元罚款。</w:t>
      </w:r>
    </w:p>
    <w:p w14:paraId="0646ECF1">
      <w:pPr>
        <w:pStyle w:val="5"/>
        <w:autoSpaceDE w:val="0"/>
        <w:spacing w:line="580" w:lineRule="exact"/>
        <w:ind w:left="0" w:firstLine="640" w:firstLineChars="200"/>
        <w:rPr>
          <w:rFonts w:hint="eastAsia"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洛阳银行偃师市支行，户名：洛阳市偃师区财政局财政专户，账号：671610090000000753。7.邮储银行偃师市支行，户名：洛阳市偃师区财政局财政专户，账号：100216664840019999。）</w:t>
      </w:r>
    </w:p>
    <w:p w14:paraId="69FC8F92"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 w14:paraId="191CD2D2">
      <w:pPr>
        <w:tabs>
          <w:tab w:val="left" w:pos="2440"/>
          <w:tab w:val="left" w:pos="8964"/>
        </w:tabs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  </w:t>
      </w:r>
    </w:p>
    <w:p w14:paraId="0C352013">
      <w:pPr>
        <w:tabs>
          <w:tab w:val="left" w:pos="2440"/>
          <w:tab w:val="left" w:pos="8964"/>
        </w:tabs>
        <w:spacing w:line="580" w:lineRule="exact"/>
        <w:ind w:firstLine="2880" w:firstLineChars="900"/>
        <w:rPr>
          <w:rFonts w:ascii="仿宋" w:hAnsi="仿宋" w:eastAsia="仿宋" w:cs="仿宋"/>
          <w:sz w:val="32"/>
          <w:szCs w:val="32"/>
        </w:rPr>
      </w:pPr>
    </w:p>
    <w:p w14:paraId="6B86666D">
      <w:pPr>
        <w:tabs>
          <w:tab w:val="left" w:pos="2440"/>
          <w:tab w:val="left" w:pos="8964"/>
        </w:tabs>
        <w:spacing w:line="580" w:lineRule="exact"/>
        <w:ind w:firstLine="2880" w:firstLineChars="900"/>
        <w:rPr>
          <w:rFonts w:ascii="仿宋" w:hAnsi="仿宋" w:eastAsia="仿宋" w:cs="仿宋"/>
          <w:sz w:val="32"/>
          <w:szCs w:val="32"/>
        </w:rPr>
      </w:pPr>
    </w:p>
    <w:p w14:paraId="0E9908FB">
      <w:pPr>
        <w:tabs>
          <w:tab w:val="left" w:pos="2440"/>
          <w:tab w:val="left" w:pos="8964"/>
        </w:tabs>
        <w:spacing w:line="580" w:lineRule="exact"/>
        <w:ind w:firstLine="2880" w:firstLineChars="900"/>
        <w:rPr>
          <w:rFonts w:ascii="仿宋" w:hAnsi="仿宋" w:eastAsia="仿宋" w:cs="仿宋"/>
          <w:sz w:val="32"/>
          <w:szCs w:val="32"/>
        </w:rPr>
      </w:pPr>
    </w:p>
    <w:p w14:paraId="71FDDCF5">
      <w:pPr>
        <w:tabs>
          <w:tab w:val="left" w:pos="2440"/>
          <w:tab w:val="left" w:pos="8964"/>
        </w:tabs>
        <w:spacing w:line="580" w:lineRule="exact"/>
        <w:ind w:firstLine="2880" w:firstLineChars="9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洛阳市偃师区市场监督管理局</w:t>
      </w:r>
    </w:p>
    <w:p w14:paraId="3312A24F">
      <w:pPr>
        <w:tabs>
          <w:tab w:val="left" w:pos="2440"/>
          <w:tab w:val="left" w:pos="8964"/>
        </w:tabs>
        <w:spacing w:line="580" w:lineRule="exac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                       </w:t>
      </w:r>
    </w:p>
    <w:p w14:paraId="6CE97B8D">
      <w:pPr>
        <w:tabs>
          <w:tab w:val="left" w:pos="2440"/>
          <w:tab w:val="left" w:pos="8964"/>
        </w:tabs>
        <w:spacing w:line="580" w:lineRule="exact"/>
        <w:ind w:firstLine="3840" w:firstLineChars="1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2024年11月8日</w:t>
      </w:r>
    </w:p>
    <w:p w14:paraId="5435BBAB">
      <w:pPr>
        <w:tabs>
          <w:tab w:val="left" w:pos="2440"/>
          <w:tab w:val="left" w:pos="8964"/>
        </w:tabs>
        <w:spacing w:line="58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</w:p>
    <w:p w14:paraId="620801CC">
      <w:pPr>
        <w:tabs>
          <w:tab w:val="left" w:pos="2440"/>
          <w:tab w:val="left" w:pos="8964"/>
        </w:tabs>
        <w:spacing w:line="580" w:lineRule="exac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</w:p>
    <w:p w14:paraId="2C6D7B3E">
      <w:pPr>
        <w:tabs>
          <w:tab w:val="left" w:pos="2440"/>
          <w:tab w:val="left" w:pos="8964"/>
        </w:tabs>
        <w:spacing w:line="520" w:lineRule="exac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（</w:t>
      </w:r>
      <w:r>
        <w:rPr>
          <w:rFonts w:hint="eastAsia" w:ascii="仿宋" w:hAnsi="仿宋" w:eastAsia="仿宋" w:cs="仿宋"/>
          <w:color w:val="333333"/>
          <w:spacing w:val="-11"/>
          <w:sz w:val="32"/>
          <w:szCs w:val="32"/>
        </w:rPr>
        <w:t>市场监督管理部门将依法向社会公示本行政处罚决定信息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）</w:t>
      </w:r>
    </w:p>
    <w:p w14:paraId="7F1DD77B">
      <w:pPr>
        <w:tabs>
          <w:tab w:val="left" w:pos="2440"/>
          <w:tab w:val="left" w:pos="8964"/>
        </w:tabs>
        <w:spacing w:line="520" w:lineRule="exact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38100</wp:posOffset>
                </wp:positionV>
                <wp:extent cx="5242560" cy="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3pt;margin-top:3pt;height:0pt;width:412.8pt;z-index:251659264;mso-width-relative:page;mso-height-relative:page;" filled="f" stroked="t" coordsize="21600,21600" o:gfxdata="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YXpBjdYAAAAGAQAADwAAAAAAAAABACAAAAAiAAAAZHJzL2Rvd25yZXYueG1s&#10;UEsBAhQAFAAAAAgAh07iQJ3ze1fBAQAAlQMAAA4AAAAAAAAAAQAgAAAAJQEAAGRycy9lMm9Eb2Mu&#10;eG1sUEsFBgAAAAAGAAYAWQEAAFgFAAAAAA==&#10;">
                <v:fill on="f" focussize="0,0"/>
                <v:stroke weight="1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333333"/>
          <w:sz w:val="32"/>
          <w:szCs w:val="32"/>
        </w:rPr>
        <w:t>本文书一式三份，一份送达，一份归档，一份办案机构留存。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758" w:bottom="1440" w:left="17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C7313"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  <w:p w14:paraId="04878057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C83FB"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 xml:space="preserve"> </w:t>
    </w:r>
    <w:r>
      <w:rPr>
        <w:rStyle w:val="11"/>
      </w:rPr>
      <w:fldChar w:fldCharType="end"/>
    </w:r>
  </w:p>
  <w:p w14:paraId="2BB0195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DC718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BhNDNmMDdmMjhmNGY5MDI0ZmYwODFmYzEzZTY2OTcifQ=="/>
  </w:docVars>
  <w:rsids>
    <w:rsidRoot w:val="0013550A"/>
    <w:rsid w:val="00062C80"/>
    <w:rsid w:val="0013550A"/>
    <w:rsid w:val="002075FE"/>
    <w:rsid w:val="00296707"/>
    <w:rsid w:val="002A5E0A"/>
    <w:rsid w:val="003625C2"/>
    <w:rsid w:val="00584E41"/>
    <w:rsid w:val="00650EE9"/>
    <w:rsid w:val="006A20EF"/>
    <w:rsid w:val="007800D8"/>
    <w:rsid w:val="007C0C31"/>
    <w:rsid w:val="00941C74"/>
    <w:rsid w:val="00A06928"/>
    <w:rsid w:val="00AD35D3"/>
    <w:rsid w:val="00B55FB0"/>
    <w:rsid w:val="00B849DD"/>
    <w:rsid w:val="00E44E56"/>
    <w:rsid w:val="00E77608"/>
    <w:rsid w:val="00FB7C1D"/>
    <w:rsid w:val="00FE71DF"/>
    <w:rsid w:val="0E0F7B54"/>
    <w:rsid w:val="13553E28"/>
    <w:rsid w:val="145C7BB2"/>
    <w:rsid w:val="150115A9"/>
    <w:rsid w:val="179B1A48"/>
    <w:rsid w:val="17CC380B"/>
    <w:rsid w:val="1A4C32C6"/>
    <w:rsid w:val="1AB02FE3"/>
    <w:rsid w:val="1C1923EE"/>
    <w:rsid w:val="1CCD534E"/>
    <w:rsid w:val="1F974FE3"/>
    <w:rsid w:val="203621B8"/>
    <w:rsid w:val="24C5740E"/>
    <w:rsid w:val="26284BE7"/>
    <w:rsid w:val="268017B1"/>
    <w:rsid w:val="2F067A90"/>
    <w:rsid w:val="32553DA8"/>
    <w:rsid w:val="33633703"/>
    <w:rsid w:val="338702B8"/>
    <w:rsid w:val="36AA6D1C"/>
    <w:rsid w:val="3E75253C"/>
    <w:rsid w:val="4393392C"/>
    <w:rsid w:val="45A00172"/>
    <w:rsid w:val="5207024F"/>
    <w:rsid w:val="529E3E06"/>
    <w:rsid w:val="52F622F5"/>
    <w:rsid w:val="54D9517B"/>
    <w:rsid w:val="61A94127"/>
    <w:rsid w:val="621F03B0"/>
    <w:rsid w:val="63E97FE0"/>
    <w:rsid w:val="69931944"/>
    <w:rsid w:val="6D8B5750"/>
    <w:rsid w:val="79393B8B"/>
    <w:rsid w:val="7B3077F9"/>
    <w:rsid w:val="7E311519"/>
    <w:rsid w:val="7E7B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nhideWhenUsed="0" w:uiPriority="0" w:semiHidden="0" w:name="heading 3" w:locked="1"/>
    <w:lsdException w:unhideWhenUsed="0" w:uiPriority="0" w:semiHidden="0" w:name="heading 4" w:locked="1"/>
    <w:lsdException w:unhideWhenUsed="0" w:uiPriority="0" w:semiHidden="0" w:name="heading 5" w:locked="1"/>
    <w:lsdException w:unhideWhenUsed="0" w:uiPriority="0" w:semiHidden="0" w:name="heading 6" w:locked="1"/>
    <w:lsdException w:unhideWhenUsed="0" w:uiPriority="0" w:semiHidden="0" w:name="heading 7" w:locked="1"/>
    <w:lsdException w:unhideWhenUsed="0" w:uiPriority="0" w:semiHidden="0" w:name="heading 8" w:locked="1"/>
    <w:lsdException w:unhideWhenUsed="0" w:uiPriority="0" w:semiHidden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widowControl/>
      <w:outlineLvl w:val="0"/>
    </w:pPr>
    <w:rPr>
      <w:rFonts w:ascii="Arial Unicode MS" w:hAnsi="Arial Unicode MS"/>
      <w:sz w:val="42"/>
      <w:szCs w:val="42"/>
    </w:rPr>
  </w:style>
  <w:style w:type="paragraph" w:styleId="3">
    <w:name w:val="heading 2"/>
    <w:basedOn w:val="1"/>
    <w:next w:val="1"/>
    <w:qFormat/>
    <w:locked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1"/>
    <w:next w:val="1"/>
    <w:qFormat/>
    <w:locked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qFormat/>
    <w:uiPriority w:val="0"/>
    <w:pPr>
      <w:ind w:left="220"/>
    </w:pPr>
    <w:rPr>
      <w:rFonts w:ascii="Arial Unicode MS" w:hAnsi="Arial Unicode MS"/>
      <w:sz w:val="32"/>
      <w:szCs w:val="32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</w:pPr>
    <w:rPr>
      <w:kern w:val="0"/>
      <w:sz w:val="18"/>
      <w:szCs w:val="20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basedOn w:val="9"/>
    <w:autoRedefine/>
    <w:qFormat/>
    <w:locked/>
    <w:uiPriority w:val="0"/>
    <w:rPr>
      <w:rFonts w:cs="Times New Roman"/>
      <w:b/>
    </w:rPr>
  </w:style>
  <w:style w:type="character" w:styleId="11">
    <w:name w:val="page number"/>
    <w:basedOn w:val="9"/>
    <w:autoRedefine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642</Words>
  <Characters>711</Characters>
  <Lines>16</Lines>
  <Paragraphs>4</Paragraphs>
  <TotalTime>3</TotalTime>
  <ScaleCrop>false</ScaleCrop>
  <LinksUpToDate>false</LinksUpToDate>
  <CharactersWithSpaces>827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2024-11-08T02:00:00Z</dcterms:created>
  <dc:creator>微软用户</dc:creator>
  <cp:lastModifiedBy>斜插芙蓉醉瑶台</cp:lastModifiedBy>
  <cp:lastPrinted>2023-06-26T02:50:00Z</cp:lastPrinted>
  <dcterms:modified xsi:type="dcterms:W3CDTF">2024-12-30T04:13:14Z</dcterms:modified>
  <dc:title>偃师市工商行政管理局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74E791AC8F7646F4B390C6527C0F729A_13</vt:lpwstr>
  </property>
  <property fmtid="{D5CDD505-2E9C-101B-9397-08002B2CF9AE}" pid="4" name="KSOTemplateDocerSaveRecord">
    <vt:lpwstr>eyJoZGlkIjoiOTJkNzdiMWY1ZWU2ZWU3NmE4ZTUxNGRmYWVhMzdjNDQiLCJ1c2VySWQiOiIyMjg4NDU0NzUifQ==</vt:lpwstr>
  </property>
</Properties>
</file>