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2FFC53">
      <w:pPr>
        <w:pStyle w:val="3"/>
        <w:keepNext w:val="0"/>
        <w:keepLines w:val="0"/>
        <w:pageBreakBefore w:val="0"/>
        <w:tabs>
          <w:tab w:val="left" w:pos="1259"/>
        </w:tabs>
        <w:kinsoku/>
        <w:wordWrap/>
        <w:overflowPunct/>
        <w:topLinePunct w:val="0"/>
        <w:autoSpaceDE/>
        <w:autoSpaceDN/>
        <w:bidi w:val="0"/>
        <w:adjustRightInd/>
        <w:snapToGrid/>
        <w:spacing w:line="600" w:lineRule="exact"/>
        <w:ind w:firstLine="1440" w:firstLineChars="300"/>
        <w:jc w:val="both"/>
        <w:textAlignment w:val="auto"/>
        <w:rPr>
          <w:rFonts w:hint="eastAsia" w:ascii="黑体" w:hAnsi="黑体" w:eastAsia="黑体" w:cs="黑体"/>
          <w:sz w:val="48"/>
          <w:szCs w:val="48"/>
          <w:lang w:eastAsia="zh-CN"/>
        </w:rPr>
      </w:pPr>
      <w:r>
        <w:rPr>
          <w:rFonts w:hint="eastAsia" w:ascii="黑体" w:hAnsi="黑体" w:eastAsia="黑体" w:cs="黑体"/>
          <w:color w:val="231F20"/>
          <w:sz w:val="48"/>
          <w:szCs w:val="48"/>
          <w:lang w:eastAsia="zh-CN"/>
        </w:rPr>
        <w:t>洛阳市偃师区市场监督管理局</w:t>
      </w:r>
    </w:p>
    <w:p w14:paraId="003E69E1">
      <w:pPr>
        <w:keepNext w:val="0"/>
        <w:keepLines w:val="0"/>
        <w:pageBreakBefore w:val="0"/>
        <w:kinsoku/>
        <w:wordWrap/>
        <w:overflowPunct/>
        <w:topLinePunct w:val="0"/>
        <w:autoSpaceDE/>
        <w:autoSpaceDN/>
        <w:bidi w:val="0"/>
        <w:adjustRightInd/>
        <w:snapToGrid/>
        <w:spacing w:line="600" w:lineRule="exact"/>
        <w:ind w:firstLine="2880" w:firstLineChars="600"/>
        <w:jc w:val="both"/>
        <w:textAlignment w:val="auto"/>
        <w:rPr>
          <w:rFonts w:hint="eastAsia" w:ascii="黑体" w:hAnsi="黑体" w:eastAsia="黑体" w:cs="黑体"/>
          <w:sz w:val="48"/>
          <w:szCs w:val="48"/>
          <w:lang w:eastAsia="zh-CN"/>
        </w:rPr>
      </w:pPr>
      <w:r>
        <w:rPr>
          <w:rFonts w:hint="eastAsia" w:ascii="黑体" w:hAnsi="黑体" w:eastAsia="黑体" w:cs="黑体"/>
          <w:color w:val="231F20"/>
          <w:sz w:val="48"/>
          <w:szCs w:val="48"/>
          <w:lang w:eastAsia="zh-CN"/>
        </w:rPr>
        <w:t>行政处罚决定书</w:t>
      </w:r>
    </w:p>
    <w:p w14:paraId="538C6419">
      <w:pPr>
        <w:pStyle w:val="4"/>
        <w:keepNext w:val="0"/>
        <w:keepLines w:val="0"/>
        <w:pageBreakBefore w:val="0"/>
        <w:tabs>
          <w:tab w:val="left" w:pos="319"/>
          <w:tab w:val="left" w:pos="1486"/>
          <w:tab w:val="left" w:pos="2353"/>
          <w:tab w:val="left" w:pos="3199"/>
        </w:tabs>
        <w:kinsoku/>
        <w:wordWrap/>
        <w:overflowPunct/>
        <w:topLinePunct w:val="0"/>
        <w:autoSpaceDE/>
        <w:autoSpaceDN/>
        <w:bidi w:val="0"/>
        <w:adjustRightInd/>
        <w:snapToGrid/>
        <w:spacing w:line="600" w:lineRule="exact"/>
        <w:ind w:firstLine="2700" w:firstLineChars="900"/>
        <w:jc w:val="both"/>
        <w:textAlignment w:val="auto"/>
        <w:rPr>
          <w:rFonts w:hint="eastAsia" w:asciiTheme="majorEastAsia" w:hAnsiTheme="majorEastAsia" w:eastAsiaTheme="majorEastAsia" w:cstheme="majorEastAsia"/>
          <w:sz w:val="30"/>
          <w:szCs w:val="30"/>
          <w:lang w:eastAsia="zh-CN"/>
        </w:rPr>
      </w:pPr>
      <w:r>
        <w:rPr>
          <w:rFonts w:hint="eastAsia" w:asciiTheme="majorEastAsia" w:hAnsiTheme="majorEastAsia" w:eastAsiaTheme="majorEastAsia" w:cstheme="majorEastAsia"/>
          <w:color w:val="231F20"/>
          <w:sz w:val="30"/>
          <w:szCs w:val="30"/>
          <w:lang w:eastAsia="zh-CN"/>
        </w:rPr>
        <w:t>偃市监处罚〔2024〕</w:t>
      </w:r>
      <w:r>
        <w:rPr>
          <w:rFonts w:hint="eastAsia" w:asciiTheme="majorEastAsia" w:hAnsiTheme="majorEastAsia" w:eastAsiaTheme="majorEastAsia" w:cstheme="majorEastAsia"/>
          <w:color w:val="231F20"/>
          <w:sz w:val="30"/>
          <w:szCs w:val="30"/>
          <w:lang w:val="en-US" w:eastAsia="zh-CN"/>
        </w:rPr>
        <w:t>16</w:t>
      </w:r>
      <w:r>
        <w:rPr>
          <w:rFonts w:hint="eastAsia" w:asciiTheme="majorEastAsia" w:hAnsiTheme="majorEastAsia" w:eastAsiaTheme="majorEastAsia" w:cstheme="majorEastAsia"/>
          <w:color w:val="231F20"/>
          <w:sz w:val="30"/>
          <w:szCs w:val="30"/>
          <w:lang w:eastAsia="zh-CN"/>
        </w:rPr>
        <w:t>号</w:t>
      </w:r>
    </w:p>
    <w:p w14:paraId="0A050F6C">
      <w:pPr>
        <w:pStyle w:val="4"/>
        <w:keepNext w:val="0"/>
        <w:keepLines w:val="0"/>
        <w:pageBreakBefore w:val="0"/>
        <w:tabs>
          <w:tab w:val="left" w:pos="4440"/>
          <w:tab w:val="left" w:pos="8920"/>
        </w:tabs>
        <w:kinsoku/>
        <w:wordWrap/>
        <w:overflowPunct/>
        <w:topLinePunct w:val="0"/>
        <w:autoSpaceDE/>
        <w:autoSpaceDN/>
        <w:bidi w:val="0"/>
        <w:adjustRightInd/>
        <w:snapToGrid/>
        <w:spacing w:line="600" w:lineRule="exact"/>
        <w:ind w:left="0" w:right="118"/>
        <w:jc w:val="both"/>
        <w:textAlignment w:val="auto"/>
        <w:rPr>
          <w:rFonts w:hint="eastAsia" w:ascii="仿宋" w:hAnsi="仿宋" w:eastAsia="仿宋" w:cs="仿宋"/>
          <w:color w:val="231F20"/>
          <w:sz w:val="32"/>
          <w:szCs w:val="32"/>
          <w:lang w:eastAsia="zh-CN"/>
        </w:rPr>
      </w:pPr>
    </w:p>
    <w:p w14:paraId="60C49085">
      <w:pPr>
        <w:pStyle w:val="4"/>
        <w:keepNext w:val="0"/>
        <w:keepLines w:val="0"/>
        <w:pageBreakBefore w:val="0"/>
        <w:widowControl w:val="0"/>
        <w:tabs>
          <w:tab w:val="left" w:pos="4440"/>
          <w:tab w:val="left" w:pos="8920"/>
        </w:tabs>
        <w:kinsoku/>
        <w:wordWrap/>
        <w:overflowPunct/>
        <w:topLinePunct w:val="0"/>
        <w:autoSpaceDE/>
        <w:autoSpaceDN/>
        <w:bidi w:val="0"/>
        <w:adjustRightInd/>
        <w:snapToGrid/>
        <w:spacing w:line="600" w:lineRule="exact"/>
        <w:ind w:left="0" w:right="118"/>
        <w:jc w:val="both"/>
        <w:textAlignment w:val="auto"/>
        <w:rPr>
          <w:rFonts w:hint="eastAsia" w:ascii="仿宋" w:hAnsi="仿宋" w:eastAsia="仿宋" w:cs="仿宋"/>
          <w:color w:val="231F20"/>
          <w:sz w:val="32"/>
          <w:szCs w:val="32"/>
          <w:lang w:eastAsia="zh-CN"/>
        </w:rPr>
      </w:pPr>
      <w:r>
        <w:rPr>
          <w:rFonts w:hint="eastAsia" w:ascii="仿宋" w:hAnsi="仿宋" w:eastAsia="仿宋" w:cs="仿宋"/>
          <w:color w:val="231F20"/>
          <w:sz w:val="32"/>
          <w:szCs w:val="32"/>
          <w:lang w:eastAsia="zh-CN"/>
        </w:rPr>
        <w:t>当事人：</w:t>
      </w:r>
      <w:r>
        <w:rPr>
          <w:rFonts w:hint="eastAsia" w:ascii="仿宋" w:hAnsi="仿宋" w:eastAsia="仿宋" w:cs="仿宋"/>
          <w:color w:val="000000"/>
          <w:sz w:val="32"/>
          <w:szCs w:val="32"/>
          <w:lang w:val="en-US" w:eastAsia="zh-CN"/>
        </w:rPr>
        <w:t>洛阳燕子健康管理咨询有限公司</w:t>
      </w:r>
    </w:p>
    <w:p w14:paraId="52BDA77B">
      <w:pPr>
        <w:pStyle w:val="4"/>
        <w:keepNext w:val="0"/>
        <w:keepLines w:val="0"/>
        <w:pageBreakBefore w:val="0"/>
        <w:widowControl w:val="0"/>
        <w:tabs>
          <w:tab w:val="left" w:pos="3785"/>
          <w:tab w:val="left" w:pos="8920"/>
        </w:tabs>
        <w:kinsoku/>
        <w:wordWrap/>
        <w:overflowPunct/>
        <w:topLinePunct w:val="0"/>
        <w:autoSpaceDE/>
        <w:autoSpaceDN/>
        <w:bidi w:val="0"/>
        <w:adjustRightInd/>
        <w:snapToGrid/>
        <w:spacing w:line="600" w:lineRule="exact"/>
        <w:ind w:left="0" w:right="118"/>
        <w:jc w:val="both"/>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主体资格证照名称：营业执照</w:t>
      </w:r>
      <w:r>
        <w:rPr>
          <w:rFonts w:hint="eastAsia" w:ascii="仿宋" w:hAnsi="仿宋" w:eastAsia="仿宋" w:cs="仿宋"/>
          <w:color w:val="000000"/>
          <w:sz w:val="32"/>
          <w:szCs w:val="32"/>
          <w:lang w:eastAsia="zh-CN"/>
        </w:rPr>
        <w:tab/>
      </w:r>
    </w:p>
    <w:p w14:paraId="52303427">
      <w:pPr>
        <w:pStyle w:val="4"/>
        <w:keepNext w:val="0"/>
        <w:keepLines w:val="0"/>
        <w:pageBreakBefore w:val="0"/>
        <w:widowControl w:val="0"/>
        <w:tabs>
          <w:tab w:val="left" w:pos="3785"/>
          <w:tab w:val="left" w:pos="8920"/>
        </w:tabs>
        <w:kinsoku/>
        <w:wordWrap/>
        <w:overflowPunct/>
        <w:topLinePunct w:val="0"/>
        <w:autoSpaceDE/>
        <w:autoSpaceDN/>
        <w:bidi w:val="0"/>
        <w:adjustRightInd/>
        <w:snapToGrid/>
        <w:spacing w:line="600" w:lineRule="exact"/>
        <w:ind w:left="0" w:right="118"/>
        <w:jc w:val="both"/>
        <w:textAlignment w:val="auto"/>
        <w:rPr>
          <w:rFonts w:hint="eastAsia" w:ascii="仿宋" w:hAnsi="仿宋" w:eastAsia="仿宋" w:cs="仿宋"/>
          <w:sz w:val="32"/>
          <w:szCs w:val="32"/>
          <w:lang w:eastAsia="zh-CN"/>
        </w:rPr>
      </w:pPr>
      <w:r>
        <w:rPr>
          <w:rFonts w:hint="eastAsia" w:ascii="仿宋" w:hAnsi="仿宋" w:eastAsia="仿宋" w:cs="仿宋"/>
          <w:color w:val="000000"/>
          <w:sz w:val="32"/>
          <w:szCs w:val="32"/>
          <w:lang w:eastAsia="zh-CN"/>
        </w:rPr>
        <w:t>统一社会信用代码：</w:t>
      </w:r>
      <w:r>
        <w:rPr>
          <w:rFonts w:hint="eastAsia" w:ascii="仿宋" w:hAnsi="仿宋" w:eastAsia="仿宋" w:cs="仿宋"/>
          <w:color w:val="000000"/>
          <w:spacing w:val="0"/>
          <w:w w:val="100"/>
          <w:sz w:val="32"/>
          <w:szCs w:val="32"/>
          <w:u w:val="none" w:color="auto"/>
          <w:lang w:val="en-US" w:eastAsia="zh-CN"/>
        </w:rPr>
        <w:t>91410381MA9GUBPB0Y</w:t>
      </w:r>
    </w:p>
    <w:p w14:paraId="261C74FA">
      <w:pPr>
        <w:pStyle w:val="4"/>
        <w:keepNext w:val="0"/>
        <w:keepLines w:val="0"/>
        <w:pageBreakBefore w:val="0"/>
        <w:widowControl w:val="0"/>
        <w:tabs>
          <w:tab w:val="left" w:pos="3785"/>
          <w:tab w:val="left" w:pos="8920"/>
        </w:tabs>
        <w:kinsoku/>
        <w:wordWrap/>
        <w:overflowPunct/>
        <w:topLinePunct w:val="0"/>
        <w:autoSpaceDE/>
        <w:autoSpaceDN/>
        <w:bidi w:val="0"/>
        <w:adjustRightInd/>
        <w:snapToGrid/>
        <w:spacing w:line="600" w:lineRule="exact"/>
        <w:ind w:left="2240" w:right="118" w:hanging="2240" w:hangingChars="700"/>
        <w:jc w:val="both"/>
        <w:textAlignment w:val="auto"/>
        <w:rPr>
          <w:rFonts w:hint="eastAsia" w:ascii="仿宋" w:hAnsi="仿宋" w:eastAsia="仿宋" w:cs="仿宋"/>
          <w:color w:val="000000"/>
          <w:spacing w:val="0"/>
          <w:w w:val="100"/>
          <w:sz w:val="32"/>
          <w:szCs w:val="32"/>
          <w:u w:val="none" w:color="auto"/>
          <w:lang w:val="en-US" w:eastAsia="zh-CN"/>
        </w:rPr>
      </w:pPr>
      <w:r>
        <w:rPr>
          <w:rFonts w:hint="eastAsia" w:ascii="仿宋" w:hAnsi="仿宋" w:eastAsia="仿宋" w:cs="仿宋"/>
          <w:color w:val="231F20"/>
          <w:sz w:val="32"/>
          <w:szCs w:val="32"/>
          <w:lang w:eastAsia="zh-CN"/>
        </w:rPr>
        <w:t>经营场所：</w:t>
      </w:r>
      <w:r>
        <w:rPr>
          <w:rFonts w:hint="eastAsia" w:ascii="仿宋" w:hAnsi="仿宋" w:eastAsia="仿宋" w:cs="仿宋"/>
          <w:color w:val="000000"/>
          <w:spacing w:val="0"/>
          <w:w w:val="100"/>
          <w:sz w:val="32"/>
          <w:szCs w:val="32"/>
          <w:u w:val="none" w:color="auto"/>
          <w:lang w:val="en-US" w:eastAsia="zh-CN"/>
        </w:rPr>
        <w:t>河南省洛阳市偃师市伊洛街道办事处洛神东段洛神花</w:t>
      </w:r>
    </w:p>
    <w:p w14:paraId="12A8974A">
      <w:pPr>
        <w:pStyle w:val="4"/>
        <w:keepNext w:val="0"/>
        <w:keepLines w:val="0"/>
        <w:pageBreakBefore w:val="0"/>
        <w:widowControl w:val="0"/>
        <w:tabs>
          <w:tab w:val="left" w:pos="3785"/>
          <w:tab w:val="left" w:pos="8920"/>
        </w:tabs>
        <w:kinsoku/>
        <w:wordWrap/>
        <w:overflowPunct/>
        <w:topLinePunct w:val="0"/>
        <w:autoSpaceDE/>
        <w:autoSpaceDN/>
        <w:bidi w:val="0"/>
        <w:adjustRightInd/>
        <w:snapToGrid/>
        <w:spacing w:line="600" w:lineRule="exact"/>
        <w:ind w:left="2240" w:right="118" w:hanging="2240" w:hangingChars="700"/>
        <w:jc w:val="both"/>
        <w:textAlignment w:val="auto"/>
        <w:rPr>
          <w:rFonts w:hint="eastAsia" w:ascii="仿宋" w:hAnsi="仿宋" w:eastAsia="仿宋" w:cs="仿宋"/>
          <w:sz w:val="32"/>
          <w:szCs w:val="32"/>
          <w:lang w:eastAsia="zh-CN"/>
        </w:rPr>
      </w:pPr>
      <w:r>
        <w:rPr>
          <w:rFonts w:hint="eastAsia" w:ascii="仿宋" w:hAnsi="仿宋" w:eastAsia="仿宋" w:cs="仿宋"/>
          <w:color w:val="000000"/>
          <w:spacing w:val="0"/>
          <w:w w:val="100"/>
          <w:sz w:val="32"/>
          <w:szCs w:val="32"/>
          <w:u w:val="none" w:color="auto"/>
          <w:lang w:val="en-US" w:eastAsia="zh-CN"/>
        </w:rPr>
        <w:t>园北门西30米</w:t>
      </w:r>
    </w:p>
    <w:p w14:paraId="5754A079">
      <w:pPr>
        <w:pStyle w:val="4"/>
        <w:keepNext w:val="0"/>
        <w:keepLines w:val="0"/>
        <w:pageBreakBefore w:val="0"/>
        <w:widowControl w:val="0"/>
        <w:tabs>
          <w:tab w:val="left" w:pos="3785"/>
          <w:tab w:val="left" w:pos="8920"/>
        </w:tabs>
        <w:kinsoku/>
        <w:wordWrap/>
        <w:overflowPunct/>
        <w:topLinePunct w:val="0"/>
        <w:autoSpaceDE/>
        <w:autoSpaceDN/>
        <w:bidi w:val="0"/>
        <w:adjustRightInd/>
        <w:snapToGrid/>
        <w:spacing w:line="600" w:lineRule="exact"/>
        <w:ind w:left="0" w:right="118"/>
        <w:jc w:val="both"/>
        <w:textAlignment w:val="auto"/>
        <w:rPr>
          <w:rFonts w:hint="eastAsia" w:ascii="仿宋" w:hAnsi="仿宋" w:eastAsia="仿宋" w:cs="仿宋"/>
          <w:sz w:val="32"/>
          <w:szCs w:val="32"/>
          <w:lang w:eastAsia="zh-CN"/>
        </w:rPr>
      </w:pPr>
      <w:r>
        <w:rPr>
          <w:rFonts w:hint="eastAsia" w:ascii="仿宋" w:hAnsi="仿宋" w:eastAsia="仿宋" w:cs="仿宋"/>
          <w:color w:val="231F20"/>
          <w:sz w:val="32"/>
          <w:szCs w:val="32"/>
          <w:lang w:eastAsia="zh-CN"/>
        </w:rPr>
        <w:t>经营者：</w:t>
      </w:r>
      <w:r>
        <w:rPr>
          <w:rFonts w:hint="eastAsia" w:ascii="仿宋" w:hAnsi="仿宋" w:eastAsia="仿宋" w:cs="仿宋"/>
          <w:color w:val="000000"/>
          <w:spacing w:val="0"/>
          <w:w w:val="100"/>
          <w:sz w:val="32"/>
          <w:szCs w:val="32"/>
          <w:u w:val="none" w:color="auto"/>
          <w:lang w:val="en-US" w:eastAsia="zh-CN"/>
        </w:rPr>
        <w:t>鲍晓燕</w:t>
      </w:r>
      <w:bookmarkStart w:id="0" w:name="_GoBack"/>
      <w:bookmarkEnd w:id="0"/>
    </w:p>
    <w:p w14:paraId="187B44CD">
      <w:pPr>
        <w:pStyle w:val="4"/>
        <w:keepNext w:val="0"/>
        <w:keepLines w:val="0"/>
        <w:pageBreakBefore w:val="0"/>
        <w:widowControl w:val="0"/>
        <w:tabs>
          <w:tab w:val="left" w:pos="8920"/>
        </w:tabs>
        <w:kinsoku/>
        <w:wordWrap/>
        <w:overflowPunct/>
        <w:topLinePunct w:val="0"/>
        <w:autoSpaceDE/>
        <w:autoSpaceDN/>
        <w:bidi w:val="0"/>
        <w:adjustRightInd/>
        <w:snapToGrid/>
        <w:spacing w:line="600" w:lineRule="exact"/>
        <w:ind w:left="0" w:leftChars="0" w:right="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3月14日，我局执法人员对当事人进行日常检查，发现其经营的密养套盒化妆品（山东金手指健康咨询有限公司生产，批号：Y019910，限用日期：20220909）1盒已超过使用期限。经调查，该化妆品是当事人于2020年6月购进，让顾客购买后在店内体验，共购进5盒，购价：98元/盒，售出4盒，售价：158元/盒，剩余1盒超过使用期限，货值金额158元。</w:t>
      </w:r>
    </w:p>
    <w:p w14:paraId="76F6177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上述事实，主要有以下证据证明：</w:t>
      </w:r>
    </w:p>
    <w:p w14:paraId="47491428">
      <w:pPr>
        <w:keepNext w:val="0"/>
        <w:keepLines w:val="0"/>
        <w:pageBreakBefore w:val="0"/>
        <w:widowControl w:val="0"/>
        <w:tabs>
          <w:tab w:val="left" w:pos="2440"/>
          <w:tab w:val="left" w:pos="8964"/>
        </w:tabs>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1.《现场检查笔录》，证明我局当事人的现场检查情况；</w:t>
      </w:r>
    </w:p>
    <w:p w14:paraId="576E1AE6">
      <w:pPr>
        <w:keepNext w:val="0"/>
        <w:keepLines w:val="0"/>
        <w:pageBreakBefore w:val="0"/>
        <w:widowControl w:val="0"/>
        <w:tabs>
          <w:tab w:val="left" w:pos="2440"/>
          <w:tab w:val="left" w:pos="8964"/>
        </w:tabs>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2.《营业执照》复印件1份，证明当</w:t>
      </w:r>
      <w:r>
        <w:rPr>
          <w:rFonts w:hint="eastAsia" w:ascii="仿宋" w:hAnsi="仿宋" w:eastAsia="仿宋" w:cs="仿宋"/>
          <w:sz w:val="32"/>
          <w:szCs w:val="32"/>
          <w:lang w:eastAsia="zh-CN"/>
        </w:rPr>
        <w:t>事人许可登记</w:t>
      </w:r>
      <w:r>
        <w:rPr>
          <w:rFonts w:hint="eastAsia" w:ascii="仿宋" w:hAnsi="仿宋" w:eastAsia="仿宋" w:cs="仿宋"/>
          <w:color w:val="000000"/>
          <w:sz w:val="32"/>
          <w:szCs w:val="32"/>
          <w:lang w:eastAsia="zh-CN"/>
        </w:rPr>
        <w:t>情况；</w:t>
      </w:r>
    </w:p>
    <w:p w14:paraId="3E8BDD87">
      <w:pPr>
        <w:pStyle w:val="4"/>
        <w:keepNext w:val="0"/>
        <w:keepLines w:val="0"/>
        <w:pageBreakBefore w:val="0"/>
        <w:widowControl w:val="0"/>
        <w:tabs>
          <w:tab w:val="left" w:pos="8920"/>
        </w:tabs>
        <w:kinsoku/>
        <w:wordWrap/>
        <w:overflowPunct/>
        <w:topLinePunct w:val="0"/>
        <w:autoSpaceDE/>
        <w:autoSpaceDN/>
        <w:bidi w:val="0"/>
        <w:adjustRightInd/>
        <w:snapToGrid/>
        <w:spacing w:line="600" w:lineRule="exact"/>
        <w:ind w:left="0" w:leftChars="0" w:right="0" w:firstLine="640"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3.《调查笔录》，证明当事人</w:t>
      </w:r>
      <w:r>
        <w:rPr>
          <w:rFonts w:hint="eastAsia" w:ascii="仿宋" w:hAnsi="仿宋" w:eastAsia="仿宋" w:cs="仿宋"/>
          <w:sz w:val="32"/>
          <w:szCs w:val="32"/>
          <w:lang w:val="en-US" w:eastAsia="zh-CN"/>
        </w:rPr>
        <w:t>经营超过使用期限的化妆品</w:t>
      </w:r>
      <w:r>
        <w:rPr>
          <w:rFonts w:hint="eastAsia" w:ascii="仿宋" w:hAnsi="仿宋" w:eastAsia="仿宋" w:cs="仿宋"/>
          <w:color w:val="000000"/>
          <w:sz w:val="32"/>
          <w:szCs w:val="32"/>
          <w:lang w:eastAsia="zh-CN"/>
        </w:rPr>
        <w:t>的有关情况；</w:t>
      </w:r>
    </w:p>
    <w:p w14:paraId="7C422790">
      <w:pPr>
        <w:pStyle w:val="4"/>
        <w:keepNext w:val="0"/>
        <w:keepLines w:val="0"/>
        <w:pageBreakBefore w:val="0"/>
        <w:widowControl w:val="0"/>
        <w:tabs>
          <w:tab w:val="left" w:pos="8920"/>
        </w:tabs>
        <w:kinsoku/>
        <w:wordWrap/>
        <w:overflowPunct/>
        <w:topLinePunct w:val="0"/>
        <w:autoSpaceDE/>
        <w:autoSpaceDN/>
        <w:bidi w:val="0"/>
        <w:adjustRightInd/>
        <w:snapToGrid/>
        <w:spacing w:line="600" w:lineRule="exact"/>
        <w:ind w:left="0" w:leftChars="0" w:right="0" w:firstLine="640" w:firstLineChars="200"/>
        <w:jc w:val="both"/>
        <w:textAlignment w:val="auto"/>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4.《实施行政强制措施决定书》，</w:t>
      </w:r>
      <w:r>
        <w:rPr>
          <w:rFonts w:hint="eastAsia" w:ascii="仿宋" w:hAnsi="仿宋" w:eastAsia="仿宋" w:cs="仿宋"/>
          <w:color w:val="000000"/>
          <w:sz w:val="32"/>
          <w:szCs w:val="32"/>
          <w:lang w:eastAsia="zh-CN"/>
        </w:rPr>
        <w:t>证明</w:t>
      </w:r>
      <w:r>
        <w:rPr>
          <w:rFonts w:hint="eastAsia" w:ascii="仿宋" w:hAnsi="仿宋" w:eastAsia="仿宋" w:cs="仿宋"/>
          <w:color w:val="000000"/>
          <w:sz w:val="32"/>
          <w:szCs w:val="32"/>
          <w:lang w:val="en-US" w:eastAsia="zh-CN"/>
        </w:rPr>
        <w:t>对</w:t>
      </w:r>
      <w:r>
        <w:rPr>
          <w:rFonts w:hint="eastAsia" w:ascii="仿宋" w:hAnsi="仿宋" w:eastAsia="仿宋" w:cs="仿宋"/>
          <w:color w:val="000000"/>
          <w:sz w:val="32"/>
          <w:szCs w:val="32"/>
          <w:lang w:eastAsia="zh-CN"/>
        </w:rPr>
        <w:t>当事人</w:t>
      </w:r>
      <w:r>
        <w:rPr>
          <w:rFonts w:hint="eastAsia" w:ascii="仿宋" w:hAnsi="仿宋" w:eastAsia="仿宋" w:cs="仿宋"/>
          <w:sz w:val="32"/>
          <w:szCs w:val="32"/>
          <w:lang w:val="en-US" w:eastAsia="zh-CN"/>
        </w:rPr>
        <w:t>超过使用期限的化妆品</w:t>
      </w:r>
      <w:r>
        <w:rPr>
          <w:rFonts w:hint="eastAsia" w:ascii="仿宋" w:hAnsi="仿宋" w:eastAsia="仿宋" w:cs="仿宋"/>
          <w:color w:val="000000"/>
          <w:spacing w:val="0"/>
          <w:w w:val="100"/>
          <w:sz w:val="32"/>
          <w:szCs w:val="32"/>
          <w:lang w:val="en-US" w:eastAsia="zh-CN" w:bidi="ar-SA"/>
        </w:rPr>
        <w:t>密养套盒（限用日期：20220909）实施扣押</w:t>
      </w:r>
      <w:r>
        <w:rPr>
          <w:rFonts w:hint="eastAsia" w:ascii="仿宋" w:hAnsi="仿宋" w:eastAsia="仿宋" w:cs="仿宋"/>
          <w:sz w:val="32"/>
          <w:szCs w:val="32"/>
          <w:lang w:val="en-US" w:eastAsia="zh-CN"/>
        </w:rPr>
        <w:t>。</w:t>
      </w:r>
    </w:p>
    <w:p w14:paraId="6F620E79">
      <w:pPr>
        <w:pStyle w:val="4"/>
        <w:keepNext w:val="0"/>
        <w:keepLines w:val="0"/>
        <w:pageBreakBefore w:val="0"/>
        <w:widowControl w:val="0"/>
        <w:tabs>
          <w:tab w:val="left" w:pos="8920"/>
        </w:tabs>
        <w:kinsoku/>
        <w:wordWrap/>
        <w:overflowPunct/>
        <w:topLinePunct w:val="0"/>
        <w:autoSpaceDE/>
        <w:autoSpaceDN/>
        <w:bidi w:val="0"/>
        <w:adjustRightInd/>
        <w:snapToGrid/>
        <w:spacing w:line="600" w:lineRule="exact"/>
        <w:ind w:left="0" w:firstLine="640"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sz w:val="32"/>
          <w:szCs w:val="32"/>
          <w:u w:val="none" w:color="auto"/>
          <w:lang w:val="en-US" w:eastAsia="zh-CN"/>
        </w:rPr>
        <w:t>当事人经营超过使用期限的化妆品的行为</w:t>
      </w:r>
      <w:r>
        <w:rPr>
          <w:rFonts w:hint="eastAsia" w:ascii="仿宋" w:hAnsi="仿宋" w:eastAsia="仿宋" w:cs="仿宋"/>
          <w:kern w:val="2"/>
          <w:sz w:val="32"/>
          <w:szCs w:val="32"/>
          <w:u w:val="none" w:color="auto"/>
          <w:lang w:val="en-US" w:eastAsia="zh-CN" w:bidi="ar-SA"/>
        </w:rPr>
        <w:t>违反了《化妆品监督管理条例》第六条</w:t>
      </w:r>
      <w:r>
        <w:rPr>
          <w:rFonts w:hint="eastAsia" w:ascii="仿宋" w:hAnsi="仿宋" w:eastAsia="仿宋" w:cs="仿宋"/>
          <w:sz w:val="32"/>
          <w:szCs w:val="32"/>
          <w:u w:val="none" w:color="auto"/>
          <w:lang w:eastAsia="zh-CN"/>
        </w:rPr>
        <w:t>“</w:t>
      </w:r>
      <w:r>
        <w:rPr>
          <w:rFonts w:hint="eastAsia" w:ascii="仿宋" w:hAnsi="仿宋" w:eastAsia="仿宋" w:cs="仿宋"/>
          <w:kern w:val="2"/>
          <w:sz w:val="32"/>
          <w:szCs w:val="32"/>
          <w:u w:val="none" w:color="auto"/>
          <w:lang w:val="en-US" w:eastAsia="zh-CN" w:bidi="ar-SA"/>
        </w:rPr>
        <w:t>妆品注册人、备案人对化妆品的质量安全和功效宣称负责。化妆品生产经营者应当依照法律、法规、强制性国家标准、技术规范从事生产经营活动，加强管理，诚信自律，保证化妆品质量安全。”的规定，</w:t>
      </w:r>
      <w:r>
        <w:rPr>
          <w:rFonts w:hint="eastAsia" w:ascii="仿宋" w:hAnsi="仿宋" w:eastAsia="仿宋" w:cs="仿宋"/>
          <w:sz w:val="32"/>
          <w:szCs w:val="32"/>
          <w:lang w:eastAsia="zh-CN"/>
        </w:rPr>
        <w:t>根据其违法的事实、性质、情节，参照《药品监督管理行政处罚裁量适用规则》第十</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条的规定，可以依法对其从轻行政处罚。</w:t>
      </w:r>
    </w:p>
    <w:p w14:paraId="48124E18">
      <w:pPr>
        <w:pStyle w:val="4"/>
        <w:keepNext w:val="0"/>
        <w:keepLines w:val="0"/>
        <w:pageBreakBefore w:val="0"/>
        <w:widowControl w:val="0"/>
        <w:tabs>
          <w:tab w:val="left" w:pos="8920"/>
        </w:tabs>
        <w:kinsoku/>
        <w:wordWrap/>
        <w:overflowPunct/>
        <w:topLinePunct w:val="0"/>
        <w:autoSpaceDE/>
        <w:autoSpaceDN/>
        <w:bidi w:val="0"/>
        <w:adjustRightInd/>
        <w:snapToGrid/>
        <w:spacing w:line="600" w:lineRule="exact"/>
        <w:ind w:left="0"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我局于202</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年1</w:t>
      </w:r>
      <w:r>
        <w:rPr>
          <w:rFonts w:hint="eastAsia" w:ascii="仿宋" w:hAnsi="仿宋" w:eastAsia="仿宋" w:cs="仿宋"/>
          <w:sz w:val="32"/>
          <w:szCs w:val="32"/>
          <w:lang w:val="en-US" w:eastAsia="zh-CN"/>
        </w:rPr>
        <w:t>0</w:t>
      </w:r>
      <w:r>
        <w:rPr>
          <w:rFonts w:hint="eastAsia" w:ascii="仿宋" w:hAnsi="仿宋" w:eastAsia="仿宋" w:cs="仿宋"/>
          <w:sz w:val="32"/>
          <w:szCs w:val="32"/>
          <w:lang w:eastAsia="zh-CN"/>
        </w:rPr>
        <w:t>月1</w:t>
      </w:r>
      <w:r>
        <w:rPr>
          <w:rFonts w:hint="eastAsia" w:ascii="仿宋" w:hAnsi="仿宋" w:eastAsia="仿宋" w:cs="仿宋"/>
          <w:sz w:val="32"/>
          <w:szCs w:val="32"/>
          <w:lang w:val="en-US" w:eastAsia="zh-CN"/>
        </w:rPr>
        <w:t>7</w:t>
      </w:r>
      <w:r>
        <w:rPr>
          <w:rFonts w:hint="eastAsia" w:ascii="仿宋" w:hAnsi="仿宋" w:eastAsia="仿宋" w:cs="仿宋"/>
          <w:sz w:val="32"/>
          <w:szCs w:val="32"/>
          <w:lang w:eastAsia="zh-CN"/>
        </w:rPr>
        <w:t>日向当事人送达了《偃师区市场监督管理局行政处罚告知书》，告知当事人我局拟作出行政处罚决定的事实、理由、依据、内容以及当事人依法享有的陈述权、申辩权，当事人在法定期限内未提出陈述、申辩意见。</w:t>
      </w:r>
    </w:p>
    <w:p w14:paraId="4FA1FF6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 w:hAnsi="仿宋" w:eastAsia="仿宋" w:cs="仿宋"/>
          <w:sz w:val="32"/>
          <w:szCs w:val="32"/>
          <w:u w:val="none" w:color="auto"/>
          <w:lang w:eastAsia="zh-CN"/>
        </w:rPr>
      </w:pPr>
      <w:r>
        <w:rPr>
          <w:rFonts w:hint="eastAsia" w:ascii="仿宋" w:hAnsi="仿宋" w:eastAsia="仿宋" w:cs="仿宋"/>
          <w:kern w:val="2"/>
          <w:sz w:val="32"/>
          <w:szCs w:val="32"/>
          <w:u w:val="none" w:color="auto"/>
          <w:lang w:val="en-US" w:eastAsia="zh-CN" w:bidi="ar-SA"/>
        </w:rPr>
        <w:t>依据《化妆品监督管理条例》第六十条</w:t>
      </w:r>
      <w:r>
        <w:rPr>
          <w:rFonts w:hint="eastAsia" w:ascii="仿宋" w:hAnsi="仿宋" w:eastAsia="仿宋" w:cs="仿宋"/>
          <w:sz w:val="32"/>
          <w:szCs w:val="32"/>
          <w:u w:val="none" w:color="auto"/>
          <w:lang w:eastAsia="zh-CN"/>
        </w:rPr>
        <w:t>“</w:t>
      </w:r>
      <w:r>
        <w:rPr>
          <w:rFonts w:hint="eastAsia" w:ascii="仿宋" w:hAnsi="仿宋" w:eastAsia="仿宋" w:cs="仿宋"/>
          <w:kern w:val="2"/>
          <w:sz w:val="32"/>
          <w:szCs w:val="32"/>
          <w:u w:val="none" w:color="auto"/>
          <w:lang w:val="en-US" w:eastAsia="zh-CN" w:bidi="ar-SA"/>
        </w:rPr>
        <w:t>有下列情形之一的，由负责药品监督管理的部门没收违法所得、违法生产经营的化妆品和专门用于违法生产经营的原料、包装材料、工具、设备等物品；违法生产经营的化妆品货值金额不足1万元的，并处1万元以上5万元以下罚款；货值金额1万元以上的，并处货值金额5倍以上20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1倍以上3倍以下罚款，10年内禁止其从事化妆品生产经营活动；构成犯罪的，依法追究刑事</w:t>
      </w:r>
      <w:r>
        <w:rPr>
          <w:rFonts w:hint="eastAsia" w:ascii="仿宋" w:hAnsi="仿宋" w:eastAsia="仿宋" w:cs="仿宋"/>
          <w:sz w:val="32"/>
          <w:szCs w:val="32"/>
          <w:u w:val="none" w:color="auto"/>
          <w:lang w:val="en-US" w:eastAsia="zh-CN"/>
        </w:rPr>
        <w:t>责任：</w:t>
      </w:r>
      <w:r>
        <w:rPr>
          <w:rFonts w:hint="eastAsia" w:ascii="仿宋" w:hAnsi="仿宋" w:eastAsia="仿宋" w:cs="仿宋"/>
          <w:sz w:val="32"/>
          <w:szCs w:val="32"/>
          <w:u w:val="none" w:color="auto"/>
          <w:lang w:eastAsia="zh-CN"/>
        </w:rPr>
        <w:t>（五）化妆品经营者擅自配制化妆品，或者经营变质、超过使用期限的化妆品；</w:t>
      </w:r>
      <w:r>
        <w:rPr>
          <w:rFonts w:hint="eastAsia" w:ascii="仿宋" w:hAnsi="仿宋" w:eastAsia="仿宋" w:cs="仿宋"/>
          <w:sz w:val="32"/>
          <w:szCs w:val="32"/>
          <w:u w:val="none" w:color="auto"/>
          <w:lang w:val="en-US" w:eastAsia="zh-CN"/>
        </w:rPr>
        <w:t>”</w:t>
      </w:r>
      <w:r>
        <w:rPr>
          <w:rFonts w:hint="eastAsia" w:ascii="仿宋" w:hAnsi="仿宋" w:eastAsia="仿宋" w:cs="仿宋"/>
          <w:kern w:val="2"/>
          <w:sz w:val="32"/>
          <w:szCs w:val="32"/>
          <w:u w:val="none" w:color="auto"/>
          <w:lang w:val="en-US" w:eastAsia="zh-CN" w:bidi="ar-SA"/>
        </w:rPr>
        <w:t>的规定，参照</w:t>
      </w:r>
      <w:r>
        <w:rPr>
          <w:rFonts w:hint="eastAsia" w:ascii="仿宋" w:hAnsi="仿宋" w:eastAsia="仿宋" w:cs="仿宋"/>
          <w:sz w:val="32"/>
          <w:szCs w:val="32"/>
          <w:u w:val="none" w:color="auto"/>
          <w:lang w:eastAsia="zh-CN"/>
        </w:rPr>
        <w:t>《化妆品类行政处罚裁量基准》“（一）化妆品监督管理条例行政处罚裁量基准</w:t>
      </w:r>
      <w:r>
        <w:rPr>
          <w:rFonts w:hint="eastAsia" w:ascii="仿宋" w:hAnsi="仿宋" w:eastAsia="仿宋" w:cs="仿宋"/>
          <w:sz w:val="32"/>
          <w:szCs w:val="32"/>
          <w:u w:val="none" w:color="auto"/>
          <w:lang w:val="en-US" w:eastAsia="zh-CN"/>
        </w:rPr>
        <w:t xml:space="preserve"> 1.2依据《化妆品监督管理条例》第六十条实施的行政处罚 裁量基准 由负责药品监督管理的部门没收违法所得、违法生产经营的化妆品和专门用于违法生产经营的原料、包装材料、工具、设备等物品；违法生产经营的化妆品货值金额不足1万元的，并处 1万元以上 2.2万元以下罚款；货值金额1万元以上的，并处货值金额 5倍以上 9.5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1倍以上1.6倍以下罚款，10年内禁止其从事化妆品生产经营活动。”的规定，</w:t>
      </w:r>
      <w:r>
        <w:rPr>
          <w:rFonts w:hint="eastAsia" w:ascii="仿宋" w:hAnsi="仿宋" w:eastAsia="仿宋" w:cs="仿宋"/>
          <w:sz w:val="32"/>
          <w:szCs w:val="32"/>
          <w:u w:val="none" w:color="auto"/>
          <w:lang w:eastAsia="zh-CN"/>
        </w:rPr>
        <w:t>对当事人处罚如下：</w:t>
      </w:r>
      <w:r>
        <w:rPr>
          <w:rFonts w:hint="eastAsia" w:ascii="仿宋" w:hAnsi="仿宋" w:eastAsia="仿宋" w:cs="仿宋"/>
          <w:sz w:val="32"/>
          <w:szCs w:val="32"/>
          <w:u w:val="none" w:color="auto"/>
          <w:lang w:val="en-US" w:eastAsia="zh-CN"/>
        </w:rPr>
        <w:t>1.</w:t>
      </w:r>
      <w:r>
        <w:rPr>
          <w:rFonts w:hint="eastAsia" w:ascii="仿宋" w:hAnsi="仿宋" w:eastAsia="仿宋" w:cs="仿宋"/>
          <w:sz w:val="32"/>
          <w:szCs w:val="32"/>
          <w:u w:val="none" w:color="auto"/>
          <w:lang w:eastAsia="zh-CN"/>
        </w:rPr>
        <w:t>没</w:t>
      </w:r>
      <w:r>
        <w:rPr>
          <w:rFonts w:hint="eastAsia" w:ascii="仿宋" w:hAnsi="仿宋" w:eastAsia="仿宋" w:cs="仿宋"/>
          <w:sz w:val="32"/>
          <w:szCs w:val="32"/>
          <w:u w:val="none" w:color="auto"/>
          <w:lang w:val="en-US" w:eastAsia="zh-CN"/>
        </w:rPr>
        <w:t>收</w:t>
      </w:r>
      <w:r>
        <w:rPr>
          <w:rFonts w:hint="eastAsia" w:ascii="仿宋" w:hAnsi="仿宋" w:eastAsia="仿宋" w:cs="仿宋"/>
          <w:sz w:val="32"/>
          <w:szCs w:val="32"/>
          <w:u w:val="none" w:color="auto"/>
          <w:lang w:eastAsia="zh-CN"/>
        </w:rPr>
        <w:t>超过使用期限</w:t>
      </w:r>
      <w:r>
        <w:rPr>
          <w:rFonts w:hint="eastAsia" w:ascii="仿宋" w:hAnsi="仿宋" w:eastAsia="仿宋" w:cs="仿宋"/>
          <w:sz w:val="32"/>
          <w:szCs w:val="32"/>
          <w:u w:val="none" w:color="auto"/>
          <w:lang w:val="en-US" w:eastAsia="zh-CN"/>
        </w:rPr>
        <w:t>的</w:t>
      </w:r>
      <w:r>
        <w:rPr>
          <w:rFonts w:hint="eastAsia" w:ascii="仿宋" w:hAnsi="仿宋" w:eastAsia="仿宋" w:cs="仿宋"/>
          <w:color w:val="000000"/>
          <w:spacing w:val="0"/>
          <w:w w:val="100"/>
          <w:sz w:val="32"/>
          <w:szCs w:val="32"/>
          <w:u w:val="none" w:color="auto"/>
          <w:lang w:val="en-US" w:eastAsia="zh-CN" w:bidi="ar-SA"/>
        </w:rPr>
        <w:t>密养套盒</w:t>
      </w:r>
      <w:r>
        <w:rPr>
          <w:rFonts w:hint="eastAsia" w:ascii="仿宋" w:hAnsi="仿宋" w:eastAsia="仿宋" w:cs="仿宋"/>
          <w:sz w:val="32"/>
          <w:szCs w:val="32"/>
          <w:u w:val="none" w:color="auto"/>
          <w:lang w:val="en-US" w:eastAsia="zh-CN"/>
        </w:rPr>
        <w:t>化妆品</w:t>
      </w:r>
      <w:r>
        <w:rPr>
          <w:rFonts w:hint="eastAsia" w:ascii="仿宋" w:hAnsi="仿宋" w:eastAsia="仿宋" w:cs="仿宋"/>
          <w:color w:val="000000"/>
          <w:spacing w:val="0"/>
          <w:w w:val="100"/>
          <w:sz w:val="32"/>
          <w:szCs w:val="32"/>
          <w:u w:val="none" w:color="auto"/>
          <w:lang w:val="en-US" w:eastAsia="zh-CN" w:bidi="ar-SA"/>
        </w:rPr>
        <w:t>1盒；2.处20000元罚款</w:t>
      </w:r>
      <w:r>
        <w:rPr>
          <w:rFonts w:hint="eastAsia" w:ascii="仿宋" w:hAnsi="仿宋" w:eastAsia="仿宋" w:cs="仿宋"/>
          <w:sz w:val="32"/>
          <w:szCs w:val="32"/>
          <w:u w:val="none" w:color="auto"/>
          <w:lang w:val="en-US" w:eastAsia="zh-CN"/>
        </w:rPr>
        <w:t xml:space="preserve"> </w:t>
      </w:r>
      <w:r>
        <w:rPr>
          <w:rFonts w:hint="eastAsia" w:ascii="仿宋" w:hAnsi="仿宋" w:eastAsia="仿宋" w:cs="仿宋"/>
          <w:sz w:val="32"/>
          <w:szCs w:val="32"/>
          <w:u w:val="none" w:color="auto"/>
          <w:lang w:eastAsia="zh-CN"/>
        </w:rPr>
        <w:t xml:space="preserve">。 </w:t>
      </w:r>
    </w:p>
    <w:p w14:paraId="51FB9BD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14:paraId="1013F47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14:paraId="0C031781">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both"/>
        <w:textAlignment w:val="auto"/>
        <w:rPr>
          <w:rFonts w:hint="eastAsia" w:ascii="仿宋" w:hAnsi="仿宋" w:eastAsia="仿宋" w:cs="仿宋"/>
          <w:sz w:val="32"/>
          <w:szCs w:val="32"/>
          <w:lang w:eastAsia="zh-CN"/>
        </w:rPr>
      </w:pPr>
      <w:r>
        <w:rPr>
          <w:rFonts w:hint="eastAsia" w:ascii="仿宋" w:hAnsi="仿宋" w:eastAsia="仿宋" w:cs="仿宋"/>
          <w:color w:val="221E1F"/>
          <w:spacing w:val="-1"/>
          <w:sz w:val="32"/>
          <w:szCs w:val="32"/>
        </w:rPr>
        <w:t>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w:t>
      </w:r>
      <w:r>
        <w:rPr>
          <w:rFonts w:hint="eastAsia" w:ascii="仿宋" w:hAnsi="仿宋" w:eastAsia="仿宋" w:cs="仿宋"/>
          <w:sz w:val="32"/>
          <w:szCs w:val="32"/>
          <w:lang w:eastAsia="zh-CN"/>
        </w:rPr>
        <w:t xml:space="preserve">                             </w:t>
      </w:r>
    </w:p>
    <w:p w14:paraId="4B95271D">
      <w:pPr>
        <w:keepNext w:val="0"/>
        <w:keepLines w:val="0"/>
        <w:pageBreakBefore w:val="0"/>
        <w:widowControl w:val="0"/>
        <w:kinsoku/>
        <w:wordWrap/>
        <w:overflowPunct/>
        <w:topLinePunct w:val="0"/>
        <w:autoSpaceDE/>
        <w:autoSpaceDN/>
        <w:bidi w:val="0"/>
        <w:adjustRightInd/>
        <w:snapToGrid/>
        <w:spacing w:line="600" w:lineRule="exact"/>
        <w:ind w:left="5748" w:leftChars="1740" w:hanging="1920" w:hangingChars="600"/>
        <w:jc w:val="both"/>
        <w:textAlignment w:val="auto"/>
        <w:rPr>
          <w:rFonts w:hint="eastAsia" w:ascii="仿宋" w:hAnsi="仿宋" w:eastAsia="仿宋" w:cs="仿宋"/>
          <w:bCs/>
          <w:sz w:val="32"/>
          <w:szCs w:val="32"/>
          <w:lang w:eastAsia="zh-CN"/>
        </w:rPr>
      </w:pPr>
    </w:p>
    <w:p w14:paraId="362BC617">
      <w:pPr>
        <w:pStyle w:val="2"/>
        <w:rPr>
          <w:rFonts w:hint="eastAsia" w:ascii="仿宋" w:hAnsi="仿宋" w:eastAsia="仿宋" w:cs="仿宋"/>
          <w:bCs/>
          <w:sz w:val="32"/>
          <w:szCs w:val="32"/>
          <w:lang w:eastAsia="zh-CN"/>
        </w:rPr>
      </w:pPr>
    </w:p>
    <w:p w14:paraId="73C73A6E">
      <w:pPr>
        <w:pStyle w:val="2"/>
        <w:rPr>
          <w:rFonts w:hint="eastAsia" w:ascii="仿宋" w:hAnsi="仿宋" w:eastAsia="仿宋" w:cs="仿宋"/>
          <w:bCs/>
          <w:sz w:val="32"/>
          <w:szCs w:val="32"/>
          <w:lang w:eastAsia="zh-CN"/>
        </w:rPr>
      </w:pPr>
    </w:p>
    <w:p w14:paraId="03470A4E">
      <w:pPr>
        <w:keepNext w:val="0"/>
        <w:keepLines w:val="0"/>
        <w:pageBreakBefore w:val="0"/>
        <w:widowControl w:val="0"/>
        <w:kinsoku/>
        <w:wordWrap/>
        <w:overflowPunct/>
        <w:topLinePunct w:val="0"/>
        <w:autoSpaceDE/>
        <w:autoSpaceDN/>
        <w:bidi w:val="0"/>
        <w:adjustRightInd/>
        <w:snapToGrid/>
        <w:spacing w:line="600" w:lineRule="exact"/>
        <w:ind w:left="5748" w:leftChars="1740" w:hanging="1920" w:hangingChars="600"/>
        <w:jc w:val="both"/>
        <w:textAlignment w:val="auto"/>
        <w:rPr>
          <w:rFonts w:hint="eastAsia" w:ascii="仿宋" w:hAnsi="仿宋" w:eastAsia="仿宋" w:cs="仿宋"/>
          <w:bCs/>
          <w:sz w:val="32"/>
          <w:szCs w:val="32"/>
          <w:lang w:eastAsia="zh-CN"/>
        </w:rPr>
      </w:pPr>
      <w:r>
        <w:rPr>
          <w:rFonts w:hint="eastAsia" w:ascii="仿宋" w:hAnsi="仿宋" w:eastAsia="仿宋" w:cs="仿宋"/>
          <w:bCs/>
          <w:sz w:val="32"/>
          <w:szCs w:val="32"/>
          <w:lang w:eastAsia="zh-CN"/>
        </w:rPr>
        <w:t>洛阳市偃师区市场监督管理局</w:t>
      </w:r>
    </w:p>
    <w:p w14:paraId="17B53DB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 xml:space="preserve">                         </w:t>
      </w:r>
    </w:p>
    <w:p w14:paraId="32332F1C">
      <w:pPr>
        <w:keepNext w:val="0"/>
        <w:keepLines w:val="0"/>
        <w:pageBreakBefore w:val="0"/>
        <w:widowControl w:val="0"/>
        <w:kinsoku/>
        <w:wordWrap/>
        <w:overflowPunct/>
        <w:topLinePunct w:val="0"/>
        <w:autoSpaceDE/>
        <w:autoSpaceDN/>
        <w:bidi w:val="0"/>
        <w:adjustRightInd/>
        <w:snapToGrid/>
        <w:spacing w:line="600" w:lineRule="exact"/>
        <w:ind w:firstLine="4800" w:firstLineChars="15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12</w:t>
      </w:r>
      <w:r>
        <w:rPr>
          <w:rFonts w:hint="eastAsia" w:ascii="仿宋" w:hAnsi="仿宋" w:eastAsia="仿宋" w:cs="仿宋"/>
          <w:sz w:val="32"/>
          <w:szCs w:val="32"/>
          <w:lang w:eastAsia="zh-CN"/>
        </w:rPr>
        <w:t>月</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日</w:t>
      </w:r>
    </w:p>
    <w:p w14:paraId="7D568B7F">
      <w:pPr>
        <w:pStyle w:val="2"/>
        <w:rPr>
          <w:rFonts w:hint="eastAsia" w:ascii="仿宋" w:hAnsi="仿宋" w:eastAsia="仿宋" w:cs="仿宋"/>
          <w:sz w:val="32"/>
          <w:szCs w:val="32"/>
          <w:lang w:eastAsia="zh-CN"/>
        </w:rPr>
      </w:pPr>
    </w:p>
    <w:p w14:paraId="17D58B72">
      <w:pPr>
        <w:pStyle w:val="2"/>
        <w:rPr>
          <w:rFonts w:hint="eastAsia" w:ascii="仿宋" w:hAnsi="仿宋" w:eastAsia="仿宋" w:cs="仿宋"/>
          <w:sz w:val="32"/>
          <w:szCs w:val="32"/>
          <w:lang w:eastAsia="zh-CN"/>
        </w:rPr>
      </w:pPr>
    </w:p>
    <w:p w14:paraId="6D93ACF0">
      <w:pPr>
        <w:pStyle w:val="2"/>
        <w:rPr>
          <w:rFonts w:hint="eastAsia" w:ascii="仿宋" w:hAnsi="仿宋" w:eastAsia="仿宋" w:cs="仿宋"/>
          <w:sz w:val="32"/>
          <w:szCs w:val="32"/>
          <w:lang w:eastAsia="zh-CN"/>
        </w:rPr>
      </w:pPr>
    </w:p>
    <w:p w14:paraId="265C18F6">
      <w:pPr>
        <w:pStyle w:val="2"/>
        <w:rPr>
          <w:rFonts w:hint="eastAsia" w:ascii="仿宋" w:hAnsi="仿宋" w:eastAsia="仿宋" w:cs="仿宋"/>
          <w:sz w:val="32"/>
          <w:szCs w:val="32"/>
          <w:lang w:eastAsia="zh-CN"/>
        </w:rPr>
      </w:pPr>
    </w:p>
    <w:p w14:paraId="00113AF3">
      <w:pPr>
        <w:pStyle w:val="2"/>
        <w:ind w:left="0" w:leftChars="0" w:firstLine="0" w:firstLineChars="0"/>
        <w:rPr>
          <w:rFonts w:hint="eastAsia" w:ascii="仿宋" w:hAnsi="仿宋" w:eastAsia="仿宋" w:cs="仿宋"/>
          <w:sz w:val="32"/>
          <w:szCs w:val="32"/>
          <w:lang w:eastAsia="zh-CN"/>
        </w:rPr>
      </w:pPr>
    </w:p>
    <w:p w14:paraId="719928AF">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仿宋" w:eastAsia="仿宋" w:cs="仿宋"/>
          <w:bCs/>
          <w:sz w:val="32"/>
          <w:szCs w:val="32"/>
          <w:lang w:eastAsia="zh-CN"/>
        </w:rPr>
      </w:pPr>
      <w:r>
        <w:rPr>
          <w:rFonts w:hint="eastAsia" w:ascii="仿宋" w:hAnsi="仿宋" w:eastAsia="仿宋" w:cs="仿宋"/>
          <w:bCs/>
          <w:sz w:val="32"/>
          <w:szCs w:val="32"/>
          <w:lang w:eastAsia="zh-CN"/>
        </w:rPr>
        <w:t>（市场监督管理部门将依法向社会公示本行政处罚决定信息）</w:t>
      </w:r>
    </w:p>
    <w:p w14:paraId="6FEDD7E2">
      <w:pPr>
        <w:keepNext w:val="0"/>
        <w:keepLines w:val="0"/>
        <w:pageBreakBefore w:val="0"/>
        <w:tabs>
          <w:tab w:val="left" w:pos="2440"/>
          <w:tab w:val="left" w:pos="8964"/>
        </w:tabs>
        <w:kinsoku/>
        <w:wordWrap/>
        <w:overflowPunct/>
        <w:topLinePunct w:val="0"/>
        <w:autoSpaceDE/>
        <w:autoSpaceDN/>
        <w:bidi w:val="0"/>
        <w:adjustRightInd/>
        <w:snapToGrid/>
        <w:spacing w:line="600" w:lineRule="exact"/>
        <w:ind w:firstLine="320" w:firstLineChars="100"/>
        <w:jc w:val="both"/>
        <w:textAlignment w:val="auto"/>
        <w:rPr>
          <w:rFonts w:hint="eastAsia" w:ascii="仿宋" w:hAnsi="仿宋" w:eastAsia="仿宋" w:cs="仿宋"/>
          <w:bCs/>
          <w:sz w:val="32"/>
          <w:szCs w:val="32"/>
          <w:lang w:eastAsia="zh-CN"/>
        </w:rPr>
      </w:pPr>
      <w:r>
        <w:rPr>
          <w:rFonts w:hint="eastAsia" w:ascii="仿宋" w:hAnsi="仿宋" w:eastAsia="仿宋" w:cs="仿宋"/>
          <w:sz w:val="32"/>
          <w:szCs w:val="32"/>
        </w:rPr>
        <mc:AlternateContent>
          <mc:Choice Requires="wps">
            <w:drawing>
              <wp:anchor distT="0" distB="0" distL="114300" distR="114300" simplePos="0" relativeHeight="251660288" behindDoc="0" locked="0" layoutInCell="1" allowOverlap="1">
                <wp:simplePos x="0" y="0"/>
                <wp:positionH relativeFrom="column">
                  <wp:posOffset>66675</wp:posOffset>
                </wp:positionH>
                <wp:positionV relativeFrom="paragraph">
                  <wp:posOffset>40640</wp:posOffset>
                </wp:positionV>
                <wp:extent cx="5358765" cy="0"/>
                <wp:effectExtent l="0" t="0" r="0" b="0"/>
                <wp:wrapNone/>
                <wp:docPr id="1" name="直接连接符 4"/>
                <wp:cNvGraphicFramePr/>
                <a:graphic xmlns:a="http://schemas.openxmlformats.org/drawingml/2006/main">
                  <a:graphicData uri="http://schemas.microsoft.com/office/word/2010/wordprocessingShape">
                    <wps:wsp>
                      <wps:cNvCnPr/>
                      <wps:spPr>
                        <a:xfrm>
                          <a:off x="0" y="0"/>
                          <a:ext cx="507492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4" o:spid="_x0000_s1026" o:spt="20" style="position:absolute;left:0pt;margin-left:5.25pt;margin-top:3.2pt;height:0pt;width:421.95pt;z-index:251660288;mso-width-relative:page;mso-height-relative:page;" filled="f" stroked="t" coordsize="21600,21600" o:gfxdata="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HKD8sNQAAAAGAQAADwAAAAAAAAABACAAAAAiAAAAZHJzL2Rvd25yZXYueG1sUEsBAhQAFAAAAAgA&#10;h07iQCWKM6bwAQAA5wMAAA4AAAAAAAAAAQAgAAAAIwEAAGRycy9lMm9Eb2MueG1sUEsFBgAAAAAG&#10;AAYAWQEAAIUFAAAAAA==&#10;">
                <v:fill on="f" focussize="0,0"/>
                <v:stroke weight="1pt" color="#000000" joinstyle="round"/>
                <v:imagedata o:title=""/>
                <o:lock v:ext="edit" aspectratio="f"/>
              </v:line>
            </w:pict>
          </mc:Fallback>
        </mc:AlternateContent>
      </w:r>
      <w:r>
        <w:rPr>
          <w:rFonts w:hint="eastAsia" w:ascii="仿宋" w:hAnsi="仿宋" w:eastAsia="仿宋" w:cs="仿宋"/>
          <w:bCs/>
          <w:sz w:val="32"/>
          <w:szCs w:val="32"/>
          <w:lang w:eastAsia="zh-CN"/>
        </w:rPr>
        <w:t>本文书一式三份，一份送达，一份归档，一份办案机构留存。</w:t>
      </w:r>
    </w:p>
    <w:sectPr>
      <w:footerReference r:id="rId3" w:type="default"/>
      <w:pgSz w:w="11905" w:h="16838"/>
      <w:pgMar w:top="1417" w:right="1417" w:bottom="1417" w:left="1417" w:header="0" w:footer="0"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6126A">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8C41DD">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D8C41DD">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p w14:paraId="1F459050">
    <w:pPr>
      <w:spacing w:line="14" w:lineRule="auto"/>
      <w:rPr>
        <w:sz w:val="20"/>
        <w:szCs w:val="20"/>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20"/>
  <w:drawingGridVerticalSpacing w:val="-794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NmNGQ2MGQ1ZjdhZGEyZGIxZjZjMTJlMGFiMDY3ZDkifQ=="/>
  </w:docVars>
  <w:rsids>
    <w:rsidRoot w:val="0015616F"/>
    <w:rsid w:val="000220C1"/>
    <w:rsid w:val="0015616F"/>
    <w:rsid w:val="002422C5"/>
    <w:rsid w:val="002F2FA6"/>
    <w:rsid w:val="00461248"/>
    <w:rsid w:val="00470C18"/>
    <w:rsid w:val="004A34B3"/>
    <w:rsid w:val="0066659A"/>
    <w:rsid w:val="007F2A28"/>
    <w:rsid w:val="00956576"/>
    <w:rsid w:val="00A52AA0"/>
    <w:rsid w:val="00BE5849"/>
    <w:rsid w:val="00C07C65"/>
    <w:rsid w:val="02064FFB"/>
    <w:rsid w:val="02215706"/>
    <w:rsid w:val="06875A85"/>
    <w:rsid w:val="08EE1025"/>
    <w:rsid w:val="09443D1C"/>
    <w:rsid w:val="0EA74B04"/>
    <w:rsid w:val="0F12795B"/>
    <w:rsid w:val="12302D61"/>
    <w:rsid w:val="14216240"/>
    <w:rsid w:val="14C56374"/>
    <w:rsid w:val="163C1E41"/>
    <w:rsid w:val="199221E1"/>
    <w:rsid w:val="19931C6B"/>
    <w:rsid w:val="1BCA4141"/>
    <w:rsid w:val="1D920191"/>
    <w:rsid w:val="227F4BB4"/>
    <w:rsid w:val="251736C5"/>
    <w:rsid w:val="28C34FD4"/>
    <w:rsid w:val="28E80D74"/>
    <w:rsid w:val="2E5779DB"/>
    <w:rsid w:val="340771B5"/>
    <w:rsid w:val="351548D3"/>
    <w:rsid w:val="397F1478"/>
    <w:rsid w:val="3CAE656C"/>
    <w:rsid w:val="3D125F3B"/>
    <w:rsid w:val="3D9832FE"/>
    <w:rsid w:val="3E2D115C"/>
    <w:rsid w:val="44586B88"/>
    <w:rsid w:val="47DA696D"/>
    <w:rsid w:val="4A1F02A0"/>
    <w:rsid w:val="4F270810"/>
    <w:rsid w:val="4FC642C1"/>
    <w:rsid w:val="5379601D"/>
    <w:rsid w:val="56D97F48"/>
    <w:rsid w:val="595426EE"/>
    <w:rsid w:val="5BC528B2"/>
    <w:rsid w:val="5F59702A"/>
    <w:rsid w:val="632B0469"/>
    <w:rsid w:val="637146FA"/>
    <w:rsid w:val="645F5A22"/>
    <w:rsid w:val="68321582"/>
    <w:rsid w:val="6B597DBA"/>
    <w:rsid w:val="6CCC47D8"/>
    <w:rsid w:val="6FD74AE5"/>
    <w:rsid w:val="70373EE4"/>
    <w:rsid w:val="70F641BA"/>
    <w:rsid w:val="74827DB3"/>
    <w:rsid w:val="767E3BD5"/>
    <w:rsid w:val="76D32E51"/>
    <w:rsid w:val="796C17F3"/>
    <w:rsid w:val="7E4A346D"/>
    <w:rsid w:val="7ED24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pPr>
    <w:rPr>
      <w:rFonts w:ascii="Calibri" w:hAnsi="Calibri" w:eastAsia="Calibri" w:cs="黑体"/>
      <w:sz w:val="22"/>
      <w:szCs w:val="22"/>
      <w:lang w:val="en-US" w:eastAsia="en-US" w:bidi="ar-SA"/>
    </w:rPr>
  </w:style>
  <w:style w:type="paragraph" w:styleId="3">
    <w:name w:val="heading 1"/>
    <w:basedOn w:val="1"/>
    <w:next w:val="1"/>
    <w:autoRedefine/>
    <w:qFormat/>
    <w:uiPriority w:val="1"/>
    <w:pPr>
      <w:outlineLvl w:val="0"/>
    </w:pPr>
    <w:rPr>
      <w:rFonts w:ascii="Arial Unicode MS" w:hAnsi="Arial Unicode MS" w:eastAsia="Arial Unicode MS"/>
      <w:sz w:val="42"/>
      <w:szCs w:val="42"/>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widowControl w:val="0"/>
      <w:ind w:firstLine="200" w:firstLineChars="200"/>
      <w:jc w:val="both"/>
    </w:pPr>
    <w:rPr>
      <w:rFonts w:ascii="Calibri" w:hAnsi="Calibri" w:eastAsia="宋体" w:cs="Times New Roman"/>
      <w:kern w:val="2"/>
      <w:sz w:val="21"/>
      <w:szCs w:val="24"/>
      <w:lang w:val="en-US" w:eastAsia="zh-CN" w:bidi="ar-SA"/>
    </w:rPr>
  </w:style>
  <w:style w:type="paragraph" w:styleId="4">
    <w:name w:val="Body Text"/>
    <w:basedOn w:val="1"/>
    <w:autoRedefine/>
    <w:qFormat/>
    <w:uiPriority w:val="1"/>
    <w:pPr>
      <w:ind w:left="220"/>
    </w:pPr>
    <w:rPr>
      <w:rFonts w:ascii="Arial Unicode MS" w:hAnsi="Arial Unicode MS" w:eastAsia="Arial Unicode MS"/>
      <w:sz w:val="32"/>
      <w:szCs w:val="32"/>
    </w:rPr>
  </w:style>
  <w:style w:type="paragraph" w:styleId="5">
    <w:name w:val="Body Text Indent"/>
    <w:basedOn w:val="1"/>
    <w:autoRedefine/>
    <w:qFormat/>
    <w:uiPriority w:val="0"/>
    <w:pPr>
      <w:spacing w:after="120"/>
      <w:ind w:left="420" w:leftChars="200"/>
    </w:pPr>
  </w:style>
  <w:style w:type="paragraph" w:styleId="6">
    <w:name w:val="Date"/>
    <w:basedOn w:val="1"/>
    <w:next w:val="1"/>
    <w:link w:val="16"/>
    <w:autoRedefine/>
    <w:qFormat/>
    <w:uiPriority w:val="0"/>
    <w:pPr>
      <w:ind w:left="100" w:leftChars="2500"/>
    </w:pPr>
  </w:style>
  <w:style w:type="paragraph" w:styleId="7">
    <w:name w:val="footer"/>
    <w:basedOn w:val="1"/>
    <w:link w:val="17"/>
    <w:autoRedefine/>
    <w:qFormat/>
    <w:uiPriority w:val="99"/>
    <w:pPr>
      <w:tabs>
        <w:tab w:val="center" w:pos="4153"/>
        <w:tab w:val="right" w:pos="8306"/>
      </w:tabs>
      <w:snapToGrid w:val="0"/>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9">
    <w:name w:val="Normal (Web)"/>
    <w:basedOn w:val="1"/>
    <w:autoRedefine/>
    <w:qFormat/>
    <w:uiPriority w:val="0"/>
    <w:pPr>
      <w:spacing w:after="150"/>
    </w:pPr>
    <w:rPr>
      <w:sz w:val="24"/>
      <w:lang w:eastAsia="zh-CN"/>
    </w:rPr>
  </w:style>
  <w:style w:type="paragraph" w:styleId="10">
    <w:name w:val="Body Text First Indent 2"/>
    <w:basedOn w:val="5"/>
    <w:autoRedefine/>
    <w:qFormat/>
    <w:uiPriority w:val="0"/>
    <w:pPr>
      <w:ind w:firstLine="420" w:firstLineChars="200"/>
    </w:pPr>
  </w:style>
  <w:style w:type="paragraph" w:customStyle="1" w:styleId="13">
    <w:name w:val="Table Paragraph"/>
    <w:basedOn w:val="1"/>
    <w:autoRedefine/>
    <w:qFormat/>
    <w:uiPriority w:val="1"/>
  </w:style>
  <w:style w:type="paragraph" w:customStyle="1" w:styleId="14">
    <w:name w:val="列表段落1"/>
    <w:basedOn w:val="1"/>
    <w:autoRedefine/>
    <w:qFormat/>
    <w:uiPriority w:val="34"/>
    <w:pPr>
      <w:ind w:firstLine="420" w:firstLineChars="200"/>
      <w:jc w:val="both"/>
    </w:pPr>
    <w:rPr>
      <w:rFonts w:eastAsia="宋体"/>
      <w:kern w:val="2"/>
      <w:sz w:val="21"/>
      <w:lang w:eastAsia="zh-CN"/>
    </w:rPr>
  </w:style>
  <w:style w:type="paragraph" w:customStyle="1" w:styleId="15">
    <w:name w:val="列表段落11"/>
    <w:basedOn w:val="1"/>
    <w:autoRedefine/>
    <w:qFormat/>
    <w:uiPriority w:val="34"/>
    <w:pPr>
      <w:ind w:firstLine="420" w:firstLineChars="200"/>
      <w:jc w:val="both"/>
    </w:pPr>
    <w:rPr>
      <w:rFonts w:eastAsia="宋体"/>
      <w:kern w:val="2"/>
      <w:sz w:val="21"/>
      <w:lang w:eastAsia="zh-CN"/>
    </w:rPr>
  </w:style>
  <w:style w:type="character" w:customStyle="1" w:styleId="16">
    <w:name w:val="日期 字符"/>
    <w:basedOn w:val="12"/>
    <w:link w:val="6"/>
    <w:autoRedefine/>
    <w:qFormat/>
    <w:uiPriority w:val="0"/>
    <w:rPr>
      <w:rFonts w:ascii="Calibri" w:hAnsi="Calibri" w:eastAsia="Calibri" w:cs="黑体"/>
      <w:sz w:val="22"/>
      <w:szCs w:val="22"/>
      <w:lang w:eastAsia="en-US"/>
    </w:rPr>
  </w:style>
  <w:style w:type="character" w:customStyle="1" w:styleId="17">
    <w:name w:val="页脚 字符"/>
    <w:basedOn w:val="12"/>
    <w:link w:val="7"/>
    <w:autoRedefine/>
    <w:qFormat/>
    <w:uiPriority w:val="99"/>
    <w:rPr>
      <w:rFonts w:ascii="Calibri" w:hAnsi="Calibri" w:eastAsia="Calibri" w:cs="黑体"/>
      <w:sz w:val="18"/>
      <w:szCs w:val="22"/>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1940</Words>
  <Characters>2189</Characters>
  <Lines>12</Lines>
  <Paragraphs>3</Paragraphs>
  <TotalTime>22</TotalTime>
  <ScaleCrop>false</ScaleCrop>
  <LinksUpToDate>false</LinksUpToDate>
  <CharactersWithSpaces>2265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2024-01-15T02:35:00Z</dcterms:created>
  <dc:creator>Administrator</dc:creator>
  <cp:lastModifiedBy>斜插芙蓉醉瑶台</cp:lastModifiedBy>
  <cp:lastPrinted>2024-01-16T01:52:00Z</cp:lastPrinted>
  <dcterms:modified xsi:type="dcterms:W3CDTF">2024-12-30T04:19:04Z</dcterms:modified>
  <dc:title>偃师市市场监督管理局</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E9F394AC61694C6F9F364DB04834F968_13</vt:lpwstr>
  </property>
  <property fmtid="{D5CDD505-2E9C-101B-9397-08002B2CF9AE}" pid="4" name="KSOTemplateDocerSaveRecord">
    <vt:lpwstr>eyJoZGlkIjoiOTJkNzdiMWY1ZWU2ZWU3NmE4ZTUxNGRmYWVhMzdjNDQiLCJ1c2VySWQiOiIyMjg4NDU0NzUifQ==</vt:lpwstr>
  </property>
</Properties>
</file>