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BE9F7">
      <w:pPr>
        <w:spacing w:line="600" w:lineRule="exact"/>
        <w:ind w:right="-19" w:rightChars="-9"/>
        <w:jc w:val="center"/>
        <w:textAlignment w:val="baseline"/>
        <w:rPr>
          <w:rFonts w:hint="eastAsia" w:ascii="黑体" w:hAnsi="黑体" w:eastAsia="黑体" w:cs="黑体"/>
          <w:bCs/>
          <w:sz w:val="48"/>
          <w:szCs w:val="48"/>
        </w:rPr>
      </w:pPr>
      <w:bookmarkStart w:id="0" w:name="_Toc27865"/>
      <w:bookmarkStart w:id="1" w:name="_Toc76683363"/>
      <w:r>
        <w:rPr>
          <w:rFonts w:hint="eastAsia" w:ascii="黑体" w:hAnsi="黑体" w:eastAsia="黑体" w:cs="黑体"/>
          <w:bCs/>
          <w:sz w:val="48"/>
          <w:szCs w:val="48"/>
        </w:rPr>
        <w:t>洛阳市偃师区市场监督管理局</w:t>
      </w:r>
      <w:bookmarkEnd w:id="0"/>
      <w:bookmarkEnd w:id="1"/>
    </w:p>
    <w:p w14:paraId="73640AB1">
      <w:pPr>
        <w:spacing w:line="600" w:lineRule="exact"/>
        <w:ind w:right="-19" w:rightChars="-9"/>
        <w:jc w:val="center"/>
        <w:textAlignment w:val="baseline"/>
        <w:rPr>
          <w:rFonts w:hint="eastAsia" w:ascii="黑体" w:hAnsi="黑体" w:eastAsia="黑体" w:cs="黑体"/>
          <w:bCs/>
          <w:color w:val="000000"/>
          <w:sz w:val="48"/>
          <w:szCs w:val="48"/>
        </w:rPr>
      </w:pPr>
      <w:bookmarkStart w:id="2" w:name="_Toc76683364"/>
      <w:r>
        <w:rPr>
          <w:rFonts w:hint="eastAsia" w:ascii="黑体" w:hAnsi="黑体" w:eastAsia="黑体" w:cs="黑体"/>
          <w:bCs/>
          <w:color w:val="000000"/>
          <w:sz w:val="48"/>
          <w:szCs w:val="48"/>
        </w:rPr>
        <w:t>行政处罚决定书</w:t>
      </w:r>
      <w:bookmarkEnd w:id="2"/>
    </w:p>
    <w:p w14:paraId="1CB706E4">
      <w:pPr>
        <w:widowControl/>
        <w:snapToGrid w:val="0"/>
        <w:spacing w:line="600" w:lineRule="exact"/>
        <w:ind w:right="-19" w:rightChars="-9" w:firstLine="2100" w:firstLineChars="700"/>
        <w:textAlignment w:val="baseline"/>
        <w:rPr>
          <w:rFonts w:ascii="仿宋" w:hAnsi="仿宋" w:eastAsia="仿宋" w:cs="仿宋"/>
          <w:bCs/>
          <w:color w:val="000000"/>
          <w:sz w:val="32"/>
          <w:szCs w:val="32"/>
        </w:rPr>
      </w:pPr>
      <w:r>
        <w:rPr>
          <w:rFonts w:hint="eastAsia" w:asciiTheme="majorEastAsia" w:hAnsiTheme="majorEastAsia" w:eastAsiaTheme="majorEastAsia" w:cstheme="majorEastAsia"/>
          <w:bCs/>
          <w:color w:val="000000"/>
          <w:sz w:val="30"/>
          <w:szCs w:val="30"/>
        </w:rPr>
        <w:t>偃市监处罚〔202</w:t>
      </w:r>
      <w:r>
        <w:rPr>
          <w:rFonts w:hint="eastAsia" w:asciiTheme="majorEastAsia" w:hAnsiTheme="majorEastAsia" w:eastAsiaTheme="majorEastAsia" w:cstheme="majorEastAsia"/>
          <w:bCs/>
          <w:color w:val="000000"/>
          <w:sz w:val="30"/>
          <w:szCs w:val="30"/>
          <w:lang w:val="en-US" w:eastAsia="zh-CN"/>
        </w:rPr>
        <w:t>5</w:t>
      </w:r>
      <w:r>
        <w:rPr>
          <w:rFonts w:hint="eastAsia" w:asciiTheme="majorEastAsia" w:hAnsiTheme="majorEastAsia" w:eastAsiaTheme="majorEastAsia" w:cstheme="majorEastAsia"/>
          <w:bCs/>
          <w:color w:val="000000"/>
          <w:sz w:val="30"/>
          <w:szCs w:val="30"/>
        </w:rPr>
        <w:t>〕</w:t>
      </w:r>
      <w:r>
        <w:rPr>
          <w:rFonts w:hint="eastAsia" w:asciiTheme="majorEastAsia" w:hAnsiTheme="majorEastAsia" w:eastAsiaTheme="majorEastAsia" w:cstheme="majorEastAsia"/>
          <w:bCs/>
          <w:color w:val="000000"/>
          <w:sz w:val="30"/>
          <w:szCs w:val="30"/>
          <w:lang w:val="en-US" w:eastAsia="zh-CN"/>
        </w:rPr>
        <w:t>202444</w:t>
      </w:r>
      <w:r>
        <w:rPr>
          <w:rFonts w:hint="eastAsia" w:asciiTheme="majorEastAsia" w:hAnsiTheme="majorEastAsia" w:eastAsiaTheme="majorEastAsia" w:cstheme="majorEastAsia"/>
          <w:bCs/>
          <w:color w:val="000000"/>
          <w:sz w:val="30"/>
          <w:szCs w:val="30"/>
        </w:rPr>
        <w:t>号</w:t>
      </w:r>
      <w:r>
        <w:rPr>
          <w:rFonts w:hint="eastAsia" w:ascii="仿宋" w:hAnsi="仿宋" w:eastAsia="仿宋" w:cs="仿宋"/>
          <w:color w:val="000000"/>
          <w:sz w:val="32"/>
          <w:szCs w:val="32"/>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3970" b="1333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J0yLEgCAgAA+wMAAA4AAABkcnMvZTJvRG9jLnhtbK1TzW4T&#10;MRC+I/EOlu9kk1YtZJVNDwnlgiAS8AATr3fXkv/kcbPJS/ACSJyAE/TUO08D5TEYe9NQ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7xJ9EHjC+kMywFFccYQLVdXDhr6RJdmGR5YfMSI5WmxLuEVFVb1pOXp+Oz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nTIsSAICAAD7AwAADgAAAAAAAAABACAAAAAlAQAAZHJz&#10;L2Uyb0RvYy54bWxQSwUGAAAAAAYABgBZAQAAmQUAAAAA&#10;">
                <v:fill on="f" focussize="0,0"/>
                <v:stroke weight="1.5pt" color="#000000" joinstyle="round"/>
                <v:imagedata o:title=""/>
                <o:lock v:ext="edit" aspectratio="f"/>
              </v:shape>
            </w:pict>
          </mc:Fallback>
        </mc:AlternateContent>
      </w:r>
    </w:p>
    <w:p w14:paraId="5F9E7E2E">
      <w:pPr>
        <w:keepNext w:val="0"/>
        <w:keepLines w:val="0"/>
        <w:pageBreakBefore w:val="0"/>
        <w:widowControl w:val="0"/>
        <w:kinsoku/>
        <w:wordWrap/>
        <w:overflowPunct/>
        <w:topLinePunct w:val="0"/>
        <w:bidi w:val="0"/>
        <w:snapToGrid/>
        <w:spacing w:line="560" w:lineRule="exact"/>
        <w:ind w:right="-19" w:rightChars="-9"/>
        <w:textAlignment w:val="baseline"/>
        <w:rPr>
          <w:rFonts w:hint="eastAsia" w:ascii="仿宋_GB2312" w:hAnsi="仿宋_GB2312" w:eastAsia="仿宋_GB2312" w:cs="仿宋_GB2312"/>
          <w:bCs/>
          <w:kern w:val="1"/>
          <w:sz w:val="32"/>
          <w:szCs w:val="32"/>
        </w:rPr>
      </w:pPr>
    </w:p>
    <w:p w14:paraId="3356BAB8">
      <w:pPr>
        <w:keepNext w:val="0"/>
        <w:keepLines w:val="0"/>
        <w:pageBreakBefore w:val="0"/>
        <w:widowControl w:val="0"/>
        <w:kinsoku/>
        <w:wordWrap/>
        <w:overflowPunct/>
        <w:topLinePunct w:val="0"/>
        <w:bidi w:val="0"/>
        <w:snapToGrid/>
        <w:spacing w:line="600" w:lineRule="exact"/>
        <w:ind w:right="-19" w:rightChars="-9"/>
        <w:jc w:val="both"/>
        <w:textAlignment w:val="baseline"/>
        <w:rPr>
          <w:rFonts w:hint="eastAsia" w:ascii="仿宋" w:hAnsi="仿宋" w:eastAsia="仿宋" w:cs="仿宋"/>
          <w:bCs/>
          <w:sz w:val="32"/>
          <w:szCs w:val="32"/>
        </w:rPr>
      </w:pPr>
      <w:r>
        <w:rPr>
          <w:rFonts w:hint="eastAsia" w:ascii="仿宋" w:hAnsi="仿宋" w:eastAsia="仿宋" w:cs="仿宋"/>
          <w:bCs/>
          <w:kern w:val="1"/>
          <w:sz w:val="32"/>
          <w:szCs w:val="32"/>
        </w:rPr>
        <w:t>当事人：</w:t>
      </w:r>
      <w:r>
        <w:rPr>
          <w:rFonts w:hint="eastAsia" w:ascii="仿宋" w:hAnsi="仿宋" w:eastAsia="仿宋" w:cs="仿宋"/>
          <w:bCs/>
          <w:kern w:val="1"/>
          <w:sz w:val="32"/>
          <w:szCs w:val="32"/>
          <w:lang w:val="en-US" w:eastAsia="zh-CN"/>
        </w:rPr>
        <w:t>偃师市城关镇农贸市场海玲香油店</w:t>
      </w:r>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14:paraId="33CEBA3A">
      <w:pPr>
        <w:keepNext w:val="0"/>
        <w:keepLines w:val="0"/>
        <w:pageBreakBefore w:val="0"/>
        <w:widowControl w:val="0"/>
        <w:kinsoku/>
        <w:wordWrap/>
        <w:overflowPunct/>
        <w:topLinePunct w:val="0"/>
        <w:bidi w:val="0"/>
        <w:snapToGrid/>
        <w:spacing w:line="600" w:lineRule="exact"/>
        <w:ind w:right="-19" w:rightChars="-9"/>
        <w:jc w:val="both"/>
        <w:textAlignment w:val="baseline"/>
        <w:rPr>
          <w:rFonts w:hint="eastAsia"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14:paraId="0F92FDB0">
      <w:pPr>
        <w:keepNext w:val="0"/>
        <w:keepLines w:val="0"/>
        <w:pageBreakBefore w:val="0"/>
        <w:widowControl w:val="0"/>
        <w:kinsoku/>
        <w:wordWrap/>
        <w:overflowPunct/>
        <w:topLinePunct w:val="0"/>
        <w:bidi w:val="0"/>
        <w:snapToGrid/>
        <w:spacing w:line="600" w:lineRule="exact"/>
        <w:ind w:left="140" w:right="-19" w:rightChars="-9" w:hanging="140"/>
        <w:jc w:val="both"/>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统一社会信用代码</w:t>
      </w:r>
      <w:r>
        <w:rPr>
          <w:rFonts w:hint="eastAsia" w:ascii="仿宋" w:hAnsi="仿宋" w:eastAsia="仿宋" w:cs="仿宋"/>
          <w:kern w:val="1"/>
          <w:sz w:val="32"/>
          <w:szCs w:val="32"/>
          <w:lang w:val="en-US" w:eastAsia="zh-CN"/>
        </w:rPr>
        <w:t>:</w:t>
      </w:r>
      <w:r>
        <w:rPr>
          <w:rFonts w:hint="eastAsia" w:ascii="仿宋" w:hAnsi="仿宋" w:eastAsia="仿宋" w:cs="仿宋"/>
          <w:kern w:val="1"/>
          <w:sz w:val="32"/>
          <w:szCs w:val="32"/>
        </w:rPr>
        <w:t xml:space="preserve"> 92410381MA43FHRX7D                                </w:t>
      </w:r>
    </w:p>
    <w:p w14:paraId="5CA68DBC">
      <w:pPr>
        <w:keepNext w:val="0"/>
        <w:keepLines w:val="0"/>
        <w:pageBreakBefore w:val="0"/>
        <w:widowControl w:val="0"/>
        <w:kinsoku/>
        <w:wordWrap/>
        <w:overflowPunct/>
        <w:topLinePunct w:val="0"/>
        <w:bidi w:val="0"/>
        <w:snapToGrid/>
        <w:spacing w:line="600" w:lineRule="exact"/>
        <w:ind w:right="-19" w:rightChars="-9"/>
        <w:jc w:val="both"/>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经营场所：</w:t>
      </w:r>
      <w:r>
        <w:rPr>
          <w:rFonts w:hint="eastAsia" w:ascii="仿宋" w:hAnsi="仿宋" w:eastAsia="仿宋" w:cs="仿宋"/>
          <w:kern w:val="1"/>
          <w:sz w:val="32"/>
          <w:szCs w:val="32"/>
          <w:lang w:val="en-US" w:eastAsia="zh-CN"/>
        </w:rPr>
        <w:t>偃师市城关镇农贸市场</w:t>
      </w:r>
      <w:bookmarkStart w:id="3" w:name="_GoBack"/>
      <w:bookmarkEnd w:id="3"/>
      <w:r>
        <w:rPr>
          <w:rFonts w:hint="eastAsia" w:ascii="仿宋" w:hAnsi="仿宋" w:eastAsia="仿宋" w:cs="仿宋"/>
          <w:kern w:val="1"/>
          <w:sz w:val="32"/>
          <w:szCs w:val="32"/>
        </w:rPr>
        <w:t xml:space="preserve">                                       </w:t>
      </w:r>
    </w:p>
    <w:p w14:paraId="337AD0D3">
      <w:pPr>
        <w:keepNext w:val="0"/>
        <w:keepLines w:val="0"/>
        <w:pageBreakBefore w:val="0"/>
        <w:widowControl w:val="0"/>
        <w:kinsoku/>
        <w:wordWrap/>
        <w:overflowPunct/>
        <w:topLinePunct w:val="0"/>
        <w:bidi w:val="0"/>
        <w:snapToGrid/>
        <w:spacing w:line="600" w:lineRule="exact"/>
        <w:ind w:right="-19" w:rightChars="-9"/>
        <w:jc w:val="both"/>
        <w:textAlignment w:val="baseline"/>
        <w:rPr>
          <w:rFonts w:hint="eastAsia" w:ascii="仿宋" w:hAnsi="仿宋" w:eastAsia="仿宋" w:cs="仿宋"/>
          <w:kern w:val="1"/>
          <w:sz w:val="32"/>
          <w:szCs w:val="32"/>
          <w:u w:val="single"/>
        </w:rPr>
      </w:pPr>
      <w:r>
        <w:rPr>
          <w:rFonts w:hint="eastAsia" w:ascii="仿宋" w:hAnsi="仿宋" w:eastAsia="仿宋" w:cs="仿宋"/>
          <w:kern w:val="1"/>
          <w:sz w:val="32"/>
          <w:szCs w:val="32"/>
        </w:rPr>
        <w:t>经营者：</w:t>
      </w:r>
      <w:r>
        <w:rPr>
          <w:rFonts w:hint="eastAsia" w:ascii="仿宋" w:hAnsi="仿宋" w:eastAsia="仿宋" w:cs="仿宋"/>
          <w:kern w:val="1"/>
          <w:sz w:val="32"/>
          <w:szCs w:val="32"/>
          <w:lang w:val="en-US" w:eastAsia="zh-CN"/>
        </w:rPr>
        <w:t>陈俊</w:t>
      </w:r>
      <w:r>
        <w:rPr>
          <w:rFonts w:hint="eastAsia" w:ascii="仿宋" w:hAnsi="仿宋" w:eastAsia="仿宋" w:cs="仿宋"/>
          <w:kern w:val="1"/>
          <w:sz w:val="32"/>
          <w:szCs w:val="32"/>
        </w:rPr>
        <w:t xml:space="preserve">                                                                                                                                                                                                                                                                                                                                                                                                                                                                                                                                                                                                                                                                                                                                                                                                                                                                                                                                                                                                                                                                                                                                                                                                                                                                                                                                                                                                                                                                                                                                                                                                                                                                                                                                                                                                                                                                                                                       </w:t>
      </w:r>
    </w:p>
    <w:p w14:paraId="4BF12942">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 w:hAnsi="仿宋" w:eastAsia="仿宋" w:cs="仿宋"/>
          <w:color w:val="000000" w:themeColor="text1"/>
          <w:sz w:val="32"/>
          <w:szCs w:val="32"/>
          <w:u w:val="none" w:color="auto"/>
          <w:lang w:eastAsia="zh-CN"/>
          <w14:textFill>
            <w14:solidFill>
              <w14:schemeClr w14:val="tx1"/>
            </w14:solidFill>
          </w14:textFill>
        </w:rPr>
      </w:pPr>
      <w:r>
        <w:rPr>
          <w:rFonts w:hint="eastAsia" w:ascii="仿宋" w:hAnsi="仿宋" w:eastAsia="仿宋" w:cs="仿宋"/>
          <w:color w:val="000000" w:themeColor="text1"/>
          <w:spacing w:val="0"/>
          <w:w w:val="100"/>
          <w:sz w:val="32"/>
          <w:szCs w:val="32"/>
          <w:u w:val="none" w:color="auto"/>
          <w14:textFill>
            <w14:solidFill>
              <w14:schemeClr w14:val="tx1"/>
            </w14:solidFill>
          </w14:textFill>
        </w:rPr>
        <w:t>202</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4</w:t>
      </w:r>
      <w:r>
        <w:rPr>
          <w:rFonts w:hint="eastAsia" w:ascii="仿宋" w:hAnsi="仿宋" w:eastAsia="仿宋" w:cs="仿宋"/>
          <w:color w:val="000000" w:themeColor="text1"/>
          <w:spacing w:val="0"/>
          <w:w w:val="100"/>
          <w:sz w:val="32"/>
          <w:szCs w:val="32"/>
          <w:u w:val="none" w:color="auto"/>
          <w14:textFill>
            <w14:solidFill>
              <w14:schemeClr w14:val="tx1"/>
            </w14:solidFill>
          </w14:textFill>
        </w:rPr>
        <w:t>年</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6</w:t>
      </w:r>
      <w:r>
        <w:rPr>
          <w:rFonts w:hint="eastAsia" w:ascii="仿宋" w:hAnsi="仿宋" w:eastAsia="仿宋" w:cs="仿宋"/>
          <w:color w:val="000000" w:themeColor="text1"/>
          <w:spacing w:val="0"/>
          <w:w w:val="100"/>
          <w:sz w:val="32"/>
          <w:szCs w:val="32"/>
          <w:u w:val="none" w:color="auto"/>
          <w14:textFill>
            <w14:solidFill>
              <w14:schemeClr w14:val="tx1"/>
            </w14:solidFill>
          </w14:textFill>
        </w:rPr>
        <w:t>月</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11</w:t>
      </w:r>
      <w:r>
        <w:rPr>
          <w:rFonts w:hint="eastAsia" w:ascii="仿宋" w:hAnsi="仿宋" w:eastAsia="仿宋" w:cs="仿宋"/>
          <w:color w:val="000000" w:themeColor="text1"/>
          <w:spacing w:val="0"/>
          <w:w w:val="100"/>
          <w:sz w:val="32"/>
          <w:szCs w:val="32"/>
          <w:u w:val="none" w:color="auto"/>
          <w14:textFill>
            <w14:solidFill>
              <w14:schemeClr w14:val="tx1"/>
            </w14:solidFill>
          </w14:textFill>
        </w:rPr>
        <w:t>日</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上午，我局</w:t>
      </w:r>
      <w:r>
        <w:rPr>
          <w:rFonts w:hint="eastAsia" w:ascii="仿宋" w:hAnsi="仿宋" w:eastAsia="仿宋" w:cs="仿宋"/>
          <w:color w:val="000000" w:themeColor="text1"/>
          <w:spacing w:val="0"/>
          <w:w w:val="100"/>
          <w:sz w:val="32"/>
          <w:szCs w:val="32"/>
          <w:u w:val="none" w:color="auto"/>
          <w14:textFill>
            <w14:solidFill>
              <w14:schemeClr w14:val="tx1"/>
            </w14:solidFill>
          </w14:textFill>
        </w:rPr>
        <w:t>执法人员</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对当事人进行检查时，发现该店员工马海玲正在往成品芝麻酱瓶上粘贴标签，标签上显示：海玲芝麻酱，生产日期：</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2024/06/05。当事人涉嫌经营虚假标注生产日期的芝麻酱。为进一步查清事实，我局于当日</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对其</w:t>
      </w:r>
      <w:r>
        <w:rPr>
          <w:rFonts w:hint="eastAsia" w:ascii="仿宋" w:hAnsi="仿宋" w:eastAsia="仿宋" w:cs="仿宋"/>
          <w:color w:val="000000" w:themeColor="text1"/>
          <w:spacing w:val="0"/>
          <w:w w:val="100"/>
          <w:sz w:val="32"/>
          <w:szCs w:val="32"/>
          <w:u w:val="none" w:color="auto"/>
          <w14:textFill>
            <w14:solidFill>
              <w14:schemeClr w14:val="tx1"/>
            </w14:solidFill>
          </w14:textFill>
        </w:rPr>
        <w:t>立案，</w:t>
      </w:r>
      <w:r>
        <w:rPr>
          <w:rFonts w:hint="eastAsia" w:ascii="仿宋" w:hAnsi="仿宋" w:eastAsia="仿宋" w:cs="仿宋"/>
          <w:sz w:val="32"/>
          <w:szCs w:val="32"/>
          <w:u w:val="none" w:color="auto"/>
          <w:lang w:val="en-US" w:eastAsia="zh-CN"/>
        </w:rPr>
        <w:t>并</w:t>
      </w:r>
      <w:r>
        <w:rPr>
          <w:rFonts w:hint="eastAsia" w:ascii="仿宋" w:hAnsi="仿宋" w:eastAsia="仿宋" w:cs="仿宋"/>
          <w:color w:val="000000" w:themeColor="text1"/>
          <w:sz w:val="32"/>
          <w:szCs w:val="32"/>
          <w:u w:val="none" w:color="auto"/>
          <w:lang w:eastAsia="zh-CN"/>
          <w14:textFill>
            <w14:solidFill>
              <w14:schemeClr w14:val="tx1"/>
            </w14:solidFill>
          </w14:textFill>
        </w:rPr>
        <w:t>通过询问相关人员、调取相关证据等方式对案件进行调查。</w:t>
      </w:r>
    </w:p>
    <w:p w14:paraId="67B7513C">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right="0" w:firstLine="640" w:firstLineChars="200"/>
        <w:jc w:val="both"/>
        <w:textAlignment w:val="auto"/>
        <w:rPr>
          <w:rFonts w:hint="eastAsia" w:ascii="仿宋" w:hAnsi="仿宋" w:eastAsia="仿宋" w:cs="仿宋"/>
          <w:color w:val="000000" w:themeColor="text1"/>
          <w:sz w:val="32"/>
          <w:szCs w:val="32"/>
          <w:u w:val="single" w:color="auto"/>
          <w:lang w:val="en-US" w:eastAsia="zh-CN"/>
          <w14:textFill>
            <w14:solidFill>
              <w14:schemeClr w14:val="tx1"/>
            </w14:solidFill>
          </w14:textFill>
        </w:rPr>
      </w:pPr>
      <w:r>
        <w:rPr>
          <w:rFonts w:hint="eastAsia" w:ascii="仿宋" w:hAnsi="仿宋" w:eastAsia="仿宋" w:cs="仿宋"/>
          <w:color w:val="000000" w:themeColor="text1"/>
          <w:sz w:val="32"/>
          <w:szCs w:val="32"/>
          <w:u w:val="none" w:color="auto"/>
          <w:lang w:eastAsia="zh-CN"/>
          <w14:textFill>
            <w14:solidFill>
              <w14:schemeClr w14:val="tx1"/>
            </w14:solidFill>
          </w14:textFill>
        </w:rPr>
        <w:t>经查，</w:t>
      </w:r>
      <w:r>
        <w:rPr>
          <w:rFonts w:hint="eastAsia" w:ascii="仿宋" w:hAnsi="仿宋" w:eastAsia="仿宋" w:cs="仿宋"/>
          <w:color w:val="000000" w:themeColor="text1"/>
          <w:spacing w:val="0"/>
          <w:w w:val="100"/>
          <w:sz w:val="32"/>
          <w:szCs w:val="32"/>
          <w:u w:val="none" w:color="auto"/>
          <w14:textFill>
            <w14:solidFill>
              <w14:schemeClr w14:val="tx1"/>
            </w14:solidFill>
          </w14:textFill>
        </w:rPr>
        <w:t>202</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4</w:t>
      </w:r>
      <w:r>
        <w:rPr>
          <w:rFonts w:hint="eastAsia" w:ascii="仿宋" w:hAnsi="仿宋" w:eastAsia="仿宋" w:cs="仿宋"/>
          <w:color w:val="000000" w:themeColor="text1"/>
          <w:spacing w:val="0"/>
          <w:w w:val="100"/>
          <w:sz w:val="32"/>
          <w:szCs w:val="32"/>
          <w:u w:val="none" w:color="auto"/>
          <w14:textFill>
            <w14:solidFill>
              <w14:schemeClr w14:val="tx1"/>
            </w14:solidFill>
          </w14:textFill>
        </w:rPr>
        <w:t>年</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6</w:t>
      </w:r>
      <w:r>
        <w:rPr>
          <w:rFonts w:hint="eastAsia" w:ascii="仿宋" w:hAnsi="仿宋" w:eastAsia="仿宋" w:cs="仿宋"/>
          <w:color w:val="000000" w:themeColor="text1"/>
          <w:spacing w:val="0"/>
          <w:w w:val="100"/>
          <w:sz w:val="32"/>
          <w:szCs w:val="32"/>
          <w:u w:val="none" w:color="auto"/>
          <w14:textFill>
            <w14:solidFill>
              <w14:schemeClr w14:val="tx1"/>
            </w14:solidFill>
          </w14:textFill>
        </w:rPr>
        <w:t>月</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11</w:t>
      </w:r>
      <w:r>
        <w:rPr>
          <w:rFonts w:hint="eastAsia" w:ascii="仿宋" w:hAnsi="仿宋" w:eastAsia="仿宋" w:cs="仿宋"/>
          <w:color w:val="000000" w:themeColor="text1"/>
          <w:spacing w:val="0"/>
          <w:w w:val="100"/>
          <w:sz w:val="32"/>
          <w:szCs w:val="32"/>
          <w:u w:val="none" w:color="auto"/>
          <w14:textFill>
            <w14:solidFill>
              <w14:schemeClr w14:val="tx1"/>
            </w14:solidFill>
          </w14:textFill>
        </w:rPr>
        <w:t>日</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上午，当事人把</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标识为</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生产日期</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2024/06/05的标签，分别</w:t>
      </w:r>
      <w:r>
        <w:rPr>
          <w:rFonts w:hint="eastAsia" w:ascii="仿宋" w:hAnsi="仿宋" w:eastAsia="仿宋" w:cs="仿宋"/>
          <w:color w:val="000000" w:themeColor="text1"/>
          <w:spacing w:val="0"/>
          <w:w w:val="100"/>
          <w:sz w:val="32"/>
          <w:szCs w:val="32"/>
          <w:u w:val="none" w:color="auto"/>
          <w:lang w:eastAsia="zh-CN"/>
          <w14:textFill>
            <w14:solidFill>
              <w14:schemeClr w14:val="tx1"/>
            </w14:solidFill>
          </w14:textFill>
        </w:rPr>
        <w:t>贴</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在</w:t>
      </w:r>
      <w:r>
        <w:rPr>
          <w:rFonts w:hint="eastAsia" w:ascii="仿宋" w:hAnsi="仿宋" w:eastAsia="仿宋" w:cs="仿宋"/>
          <w:color w:val="000000" w:themeColor="text1"/>
          <w:spacing w:val="0"/>
          <w:w w:val="100"/>
          <w:sz w:val="32"/>
          <w:szCs w:val="32"/>
          <w:u w:val="none" w:color="auto"/>
          <w14:textFill>
            <w14:solidFill>
              <w14:schemeClr w14:val="tx1"/>
            </w14:solidFill>
          </w14:textFill>
        </w:rPr>
        <w:t>202</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4</w:t>
      </w:r>
      <w:r>
        <w:rPr>
          <w:rFonts w:hint="eastAsia" w:ascii="仿宋" w:hAnsi="仿宋" w:eastAsia="仿宋" w:cs="仿宋"/>
          <w:color w:val="000000" w:themeColor="text1"/>
          <w:spacing w:val="0"/>
          <w:w w:val="100"/>
          <w:sz w:val="32"/>
          <w:szCs w:val="32"/>
          <w:u w:val="none" w:color="auto"/>
          <w14:textFill>
            <w14:solidFill>
              <w14:schemeClr w14:val="tx1"/>
            </w14:solidFill>
          </w14:textFill>
        </w:rPr>
        <w:t>年</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6</w:t>
      </w:r>
      <w:r>
        <w:rPr>
          <w:rFonts w:hint="eastAsia" w:ascii="仿宋" w:hAnsi="仿宋" w:eastAsia="仿宋" w:cs="仿宋"/>
          <w:color w:val="000000" w:themeColor="text1"/>
          <w:spacing w:val="0"/>
          <w:w w:val="100"/>
          <w:sz w:val="32"/>
          <w:szCs w:val="32"/>
          <w:u w:val="none" w:color="auto"/>
          <w14:textFill>
            <w14:solidFill>
              <w14:schemeClr w14:val="tx1"/>
            </w14:solidFill>
          </w14:textFill>
        </w:rPr>
        <w:t>月</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11</w:t>
      </w:r>
      <w:r>
        <w:rPr>
          <w:rFonts w:hint="eastAsia" w:ascii="仿宋" w:hAnsi="仿宋" w:eastAsia="仿宋" w:cs="仿宋"/>
          <w:color w:val="000000" w:themeColor="text1"/>
          <w:spacing w:val="0"/>
          <w:w w:val="100"/>
          <w:sz w:val="32"/>
          <w:szCs w:val="32"/>
          <w:u w:val="none" w:color="auto"/>
          <w14:textFill>
            <w14:solidFill>
              <w14:schemeClr w14:val="tx1"/>
            </w14:solidFill>
          </w14:textFill>
        </w:rPr>
        <w:t>日</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 xml:space="preserve">生产的12瓶净含量为900ml和3瓶净含量为2.5㎏的芝麻酱瓶体上。其中净含量为900ml芝麻酱售价20元/瓶，12瓶计240元；净含量为2.5㎏的芝麻酱售价40元/瓶，3瓶计120元。现场该店售出1瓶净含量为2.5㎏标签的芝麻酱，售价40元。两种芝麻酱合计货值金额360元,违法所得40元。 </w:t>
      </w:r>
    </w:p>
    <w:p w14:paraId="2498F9E0">
      <w:pPr>
        <w:keepNext w:val="0"/>
        <w:keepLines w:val="0"/>
        <w:pageBreakBefore w:val="0"/>
        <w:widowControl w:val="0"/>
        <w:kinsoku/>
        <w:wordWrap/>
        <w:overflowPunct/>
        <w:topLinePunct w:val="0"/>
        <w:bidi w:val="0"/>
        <w:snapToGrid/>
        <w:spacing w:line="600" w:lineRule="exact"/>
        <w:ind w:firstLine="640" w:firstLineChars="200"/>
        <w:jc w:val="both"/>
        <w:rPr>
          <w:rFonts w:hint="eastAsia" w:ascii="仿宋" w:hAnsi="仿宋" w:eastAsia="仿宋" w:cs="仿宋"/>
          <w:sz w:val="32"/>
          <w:szCs w:val="32"/>
          <w:u w:val="none" w:color="auto"/>
        </w:rPr>
      </w:pPr>
      <w:r>
        <w:rPr>
          <w:rFonts w:hint="eastAsia" w:ascii="仿宋" w:hAnsi="仿宋" w:eastAsia="仿宋" w:cs="仿宋"/>
          <w:sz w:val="32"/>
          <w:szCs w:val="32"/>
          <w:u w:val="none" w:color="auto"/>
        </w:rPr>
        <w:t>上述事实，主要有以下证据证明：</w:t>
      </w:r>
    </w:p>
    <w:p w14:paraId="138C9BB2">
      <w:pPr>
        <w:keepNext w:val="0"/>
        <w:keepLines w:val="0"/>
        <w:pageBreakBefore w:val="0"/>
        <w:widowControl w:val="0"/>
        <w:numPr>
          <w:ilvl w:val="0"/>
          <w:numId w:val="0"/>
        </w:numPr>
        <w:kinsoku/>
        <w:wordWrap/>
        <w:overflowPunct/>
        <w:topLinePunct w:val="0"/>
        <w:autoSpaceDE/>
        <w:autoSpaceDN/>
        <w:bidi w:val="0"/>
        <w:adjustRightInd/>
        <w:snapToGrid/>
        <w:spacing w:before="9" w:line="600" w:lineRule="exact"/>
        <w:ind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1.营业执照及经营者身份证复印件各一张，证明当事人的主体经营资格；</w:t>
      </w:r>
    </w:p>
    <w:p w14:paraId="3DC3A6A0">
      <w:pPr>
        <w:keepNext w:val="0"/>
        <w:keepLines w:val="0"/>
        <w:pageBreakBefore w:val="0"/>
        <w:widowControl w:val="0"/>
        <w:numPr>
          <w:ilvl w:val="0"/>
          <w:numId w:val="0"/>
        </w:numPr>
        <w:kinsoku/>
        <w:wordWrap/>
        <w:overflowPunct/>
        <w:topLinePunct w:val="0"/>
        <w:autoSpaceDE/>
        <w:autoSpaceDN/>
        <w:bidi w:val="0"/>
        <w:adjustRightInd/>
        <w:snapToGrid/>
        <w:spacing w:before="9" w:line="600" w:lineRule="exact"/>
        <w:ind w:leftChars="0"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2.该店员工马海玲身份证复印件一张，证明贴标签员工的身份信息；</w:t>
      </w:r>
    </w:p>
    <w:p w14:paraId="5705E6E3">
      <w:pPr>
        <w:keepNext w:val="0"/>
        <w:keepLines w:val="0"/>
        <w:pageBreakBefore w:val="0"/>
        <w:widowControl w:val="0"/>
        <w:numPr>
          <w:ilvl w:val="0"/>
          <w:numId w:val="0"/>
        </w:numPr>
        <w:kinsoku/>
        <w:wordWrap/>
        <w:overflowPunct/>
        <w:topLinePunct w:val="0"/>
        <w:autoSpaceDE/>
        <w:autoSpaceDN/>
        <w:bidi w:val="0"/>
        <w:adjustRightInd/>
        <w:snapToGrid/>
        <w:spacing w:before="9" w:line="600" w:lineRule="exact"/>
        <w:ind w:leftChars="0"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3.现场检查笔录一份，证明当事人正在经营标注虚假生产日期的芝麻酱；</w:t>
      </w:r>
    </w:p>
    <w:p w14:paraId="18AC53F5">
      <w:pPr>
        <w:keepNext w:val="0"/>
        <w:keepLines w:val="0"/>
        <w:pageBreakBefore w:val="0"/>
        <w:widowControl w:val="0"/>
        <w:numPr>
          <w:ilvl w:val="0"/>
          <w:numId w:val="0"/>
        </w:numPr>
        <w:kinsoku/>
        <w:wordWrap/>
        <w:overflowPunct/>
        <w:topLinePunct w:val="0"/>
        <w:autoSpaceDE/>
        <w:autoSpaceDN/>
        <w:bidi w:val="0"/>
        <w:adjustRightInd/>
        <w:snapToGrid/>
        <w:spacing w:before="9" w:line="600" w:lineRule="exact"/>
        <w:ind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4.询问笔录两份，证明当事人经营标注虚假生产日期的芝麻酱的实际情况；</w:t>
      </w:r>
    </w:p>
    <w:p w14:paraId="107C540E">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5.</w:t>
      </w: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标注虚假生产日期的芝麻酱标签一份，证明当事人经营标注虚假生产日期的芝麻酱的事实；</w:t>
      </w:r>
    </w:p>
    <w:p w14:paraId="2FC05D47">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6.现场照片八张，证明</w:t>
      </w: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当事人经营标注虚假生产日期的芝麻酱的事实</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w:t>
      </w:r>
    </w:p>
    <w:p w14:paraId="05175CD0">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pP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7.现场检查视频光盘一张，证明执法人员对当事人</w:t>
      </w:r>
      <w:r>
        <w:rPr>
          <w:rFonts w:hint="eastAsia" w:ascii="仿宋" w:hAnsi="仿宋" w:eastAsia="仿宋" w:cs="仿宋"/>
          <w:color w:val="000000" w:themeColor="text1"/>
          <w:spacing w:val="0"/>
          <w:w w:val="100"/>
          <w:sz w:val="32"/>
          <w:szCs w:val="32"/>
          <w:u w:val="none" w:color="auto"/>
          <w:lang w:val="en-US" w:eastAsia="zh-CN" w:bidi="ar-SA"/>
          <w14:textFill>
            <w14:solidFill>
              <w14:schemeClr w14:val="tx1"/>
            </w14:solidFill>
          </w14:textFill>
        </w:rPr>
        <w:t>经营标注虚假生产日期的芝麻酱</w:t>
      </w:r>
      <w:r>
        <w:rPr>
          <w:rFonts w:hint="eastAsia" w:ascii="仿宋" w:hAnsi="仿宋" w:eastAsia="仿宋" w:cs="仿宋"/>
          <w:color w:val="000000" w:themeColor="text1"/>
          <w:spacing w:val="0"/>
          <w:w w:val="100"/>
          <w:sz w:val="32"/>
          <w:szCs w:val="32"/>
          <w:u w:val="none" w:color="auto"/>
          <w:lang w:val="en-US" w:eastAsia="zh-CN"/>
          <w14:textFill>
            <w14:solidFill>
              <w14:schemeClr w14:val="tx1"/>
            </w14:solidFill>
          </w14:textFill>
        </w:rPr>
        <w:t>检查的全过程。</w:t>
      </w:r>
    </w:p>
    <w:p w14:paraId="3E92B111">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rPr>
        <w:t>本局认为，</w:t>
      </w:r>
      <w:r>
        <w:rPr>
          <w:rFonts w:hint="eastAsia" w:ascii="仿宋" w:hAnsi="仿宋" w:eastAsia="仿宋" w:cs="仿宋"/>
          <w:sz w:val="32"/>
          <w:szCs w:val="32"/>
          <w:u w:val="none" w:color="auto"/>
          <w:lang w:eastAsia="zh-CN"/>
        </w:rPr>
        <w:t>当事人的行为违反了《中华人民共和国食品安全法》第三十四条“禁止生产经营下列食品、食品添加剂、食品相关产品:(十)标注虚假生产日期、保质期或者超过保质期的食品、食品添加剂;” 之规定，其行为属于经营标注虚假生产日期的预包装食品的行为。当事人货值金额不超过</w:t>
      </w:r>
      <w:r>
        <w:rPr>
          <w:rFonts w:hint="eastAsia" w:ascii="仿宋" w:hAnsi="仿宋" w:eastAsia="仿宋" w:cs="仿宋"/>
          <w:sz w:val="32"/>
          <w:szCs w:val="32"/>
          <w:u w:val="none" w:color="auto"/>
          <w:lang w:val="en-US" w:eastAsia="zh-CN"/>
        </w:rPr>
        <w:t>10000元，参照《河南省市场监督管理行政处罚裁量权适用通则》第十条“有下列情形之一的，可以依法从轻或者减轻行政处罚：（二）积极配合市场监管部门调查，并主动提供证据材料的；（三）违法行为轻微，社会危害性较小的；”、第十一条“对于符合依法从轻或者减轻行政处罚情形的，应当根据本通则规定的行使行政处罚裁量权的原则，综合考量当事人的行为能力和违法行为的事实、性质、情节、社会危害程度等主观、客观因素，选择作出从轻或者减轻行政处罚的决定。减轻行政处罚足以起到惩戒、教育作用，或者从轻行政处罚按照法理情衡量，仍然显失公正的，应当作出减轻行政处罚的决定。”之规定，可以依法对其作出减轻行政处罚的决定。</w:t>
      </w:r>
    </w:p>
    <w:p w14:paraId="4B06C8DD">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我</w:t>
      </w:r>
      <w:r>
        <w:rPr>
          <w:rFonts w:hint="eastAsia" w:ascii="仿宋" w:hAnsi="仿宋" w:eastAsia="仿宋" w:cs="仿宋"/>
          <w:sz w:val="32"/>
          <w:szCs w:val="32"/>
          <w:u w:val="none" w:color="auto"/>
        </w:rPr>
        <w:t>局于202</w:t>
      </w:r>
      <w:r>
        <w:rPr>
          <w:rFonts w:hint="eastAsia" w:ascii="仿宋" w:hAnsi="仿宋" w:eastAsia="仿宋" w:cs="仿宋"/>
          <w:sz w:val="32"/>
          <w:szCs w:val="32"/>
          <w:u w:val="none" w:color="auto"/>
          <w:lang w:val="en-US" w:eastAsia="zh-CN"/>
        </w:rPr>
        <w:t>4</w:t>
      </w:r>
      <w:r>
        <w:rPr>
          <w:rFonts w:hint="eastAsia" w:ascii="仿宋" w:hAnsi="仿宋" w:eastAsia="仿宋" w:cs="仿宋"/>
          <w:sz w:val="32"/>
          <w:szCs w:val="32"/>
          <w:u w:val="none" w:color="auto"/>
        </w:rPr>
        <w:t>年</w:t>
      </w:r>
      <w:r>
        <w:rPr>
          <w:rFonts w:hint="eastAsia" w:ascii="仿宋" w:hAnsi="仿宋" w:eastAsia="仿宋" w:cs="仿宋"/>
          <w:sz w:val="32"/>
          <w:szCs w:val="32"/>
          <w:u w:val="none" w:color="auto"/>
          <w:lang w:val="en-US" w:eastAsia="zh-CN"/>
        </w:rPr>
        <w:t>12</w:t>
      </w:r>
      <w:r>
        <w:rPr>
          <w:rFonts w:hint="eastAsia" w:ascii="仿宋" w:hAnsi="仿宋" w:eastAsia="仿宋" w:cs="仿宋"/>
          <w:sz w:val="32"/>
          <w:szCs w:val="32"/>
          <w:u w:val="none" w:color="auto"/>
        </w:rPr>
        <w:t>月</w:t>
      </w:r>
      <w:r>
        <w:rPr>
          <w:rFonts w:hint="eastAsia" w:ascii="仿宋" w:hAnsi="仿宋" w:eastAsia="仿宋" w:cs="仿宋"/>
          <w:sz w:val="32"/>
          <w:szCs w:val="32"/>
          <w:u w:val="none" w:color="auto"/>
          <w:lang w:val="en-US" w:eastAsia="zh-CN"/>
        </w:rPr>
        <w:t>17</w:t>
      </w:r>
      <w:r>
        <w:rPr>
          <w:rFonts w:hint="eastAsia" w:ascii="仿宋" w:hAnsi="仿宋" w:eastAsia="仿宋" w:cs="仿宋"/>
          <w:sz w:val="32"/>
          <w:szCs w:val="32"/>
          <w:u w:val="none" w:color="auto"/>
        </w:rPr>
        <w:t>日向当事人送达偃市监罚告〔202</w:t>
      </w:r>
      <w:r>
        <w:rPr>
          <w:rFonts w:hint="eastAsia" w:ascii="仿宋" w:hAnsi="仿宋" w:eastAsia="仿宋" w:cs="仿宋"/>
          <w:sz w:val="32"/>
          <w:szCs w:val="32"/>
          <w:u w:val="none" w:color="auto"/>
          <w:lang w:val="en-US" w:eastAsia="zh-CN"/>
        </w:rPr>
        <w:t>4</w:t>
      </w:r>
      <w:r>
        <w:rPr>
          <w:rFonts w:hint="eastAsia" w:ascii="仿宋" w:hAnsi="仿宋" w:eastAsia="仿宋" w:cs="仿宋"/>
          <w:sz w:val="32"/>
          <w:szCs w:val="32"/>
          <w:u w:val="none" w:color="auto"/>
        </w:rPr>
        <w:t>〕</w:t>
      </w:r>
      <w:r>
        <w:rPr>
          <w:rFonts w:hint="eastAsia" w:ascii="仿宋" w:hAnsi="仿宋" w:eastAsia="仿宋" w:cs="仿宋"/>
          <w:sz w:val="32"/>
          <w:szCs w:val="32"/>
          <w:u w:val="none" w:color="auto"/>
          <w:lang w:val="en-US" w:eastAsia="zh-CN"/>
        </w:rPr>
        <w:t>44</w:t>
      </w:r>
      <w:r>
        <w:rPr>
          <w:rFonts w:hint="eastAsia" w:ascii="仿宋" w:hAnsi="仿宋" w:eastAsia="仿宋" w:cs="仿宋"/>
          <w:sz w:val="32"/>
          <w:szCs w:val="32"/>
          <w:u w:val="none" w:color="auto"/>
        </w:rPr>
        <w:t>号</w:t>
      </w:r>
      <w:r>
        <w:rPr>
          <w:rFonts w:hint="eastAsia" w:ascii="仿宋" w:hAnsi="仿宋" w:eastAsia="仿宋" w:cs="仿宋"/>
          <w:bCs/>
          <w:sz w:val="32"/>
          <w:szCs w:val="32"/>
          <w:u w:val="none" w:color="auto"/>
        </w:rPr>
        <w:t>《洛阳市偃师区市场监督管理局行政处罚告知书》</w:t>
      </w:r>
      <w:r>
        <w:rPr>
          <w:rFonts w:hint="eastAsia" w:ascii="仿宋" w:hAnsi="仿宋" w:eastAsia="仿宋" w:cs="仿宋"/>
          <w:sz w:val="32"/>
          <w:szCs w:val="32"/>
          <w:u w:val="none" w:color="auto"/>
        </w:rPr>
        <w:t>，</w:t>
      </w:r>
      <w:r>
        <w:rPr>
          <w:rFonts w:hint="eastAsia" w:ascii="仿宋" w:hAnsi="仿宋" w:eastAsia="仿宋" w:cs="仿宋"/>
          <w:sz w:val="32"/>
          <w:szCs w:val="32"/>
          <w:lang w:eastAsia="zh-CN"/>
        </w:rPr>
        <w:t>告知当事人我局拟作出行政处罚决定的事实、理由、依据、内容以及当事人依法享有的</w:t>
      </w:r>
      <w:r>
        <w:rPr>
          <w:rFonts w:hint="eastAsia" w:ascii="仿宋" w:hAnsi="仿宋" w:eastAsia="仿宋" w:cs="仿宋"/>
          <w:sz w:val="32"/>
          <w:szCs w:val="32"/>
          <w:u w:val="none" w:color="auto"/>
          <w:lang w:eastAsia="zh-CN"/>
        </w:rPr>
        <w:t>陈述</w:t>
      </w:r>
      <w:r>
        <w:rPr>
          <w:rFonts w:hint="eastAsia" w:ascii="仿宋" w:hAnsi="仿宋" w:eastAsia="仿宋" w:cs="仿宋"/>
          <w:sz w:val="32"/>
          <w:szCs w:val="32"/>
          <w:lang w:eastAsia="zh-CN"/>
        </w:rPr>
        <w:t>权、申辩权。当事人在法定期限内未向我局提出陈述、申辩意见。</w:t>
      </w:r>
    </w:p>
    <w:p w14:paraId="0EBE8747">
      <w:pPr>
        <w:pStyle w:val="2"/>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50" w:rightChars="-24" w:firstLine="640" w:firstLineChars="200"/>
        <w:jc w:val="both"/>
        <w:textAlignment w:val="auto"/>
        <w:rPr>
          <w:rFonts w:hint="eastAsia" w:ascii="仿宋" w:hAnsi="仿宋" w:eastAsia="仿宋" w:cs="仿宋"/>
          <w:color w:val="231F20"/>
          <w:sz w:val="32"/>
          <w:szCs w:val="32"/>
          <w:lang w:eastAsia="zh-CN"/>
        </w:rPr>
      </w:pPr>
      <w:r>
        <w:rPr>
          <w:rFonts w:hint="eastAsia" w:ascii="仿宋" w:hAnsi="仿宋" w:eastAsia="仿宋" w:cs="仿宋"/>
          <w:color w:val="000000"/>
          <w:kern w:val="0"/>
          <w:sz w:val="32"/>
          <w:szCs w:val="32"/>
          <w:u w:val="none" w:color="auto"/>
          <w:lang w:val="en-US" w:eastAsia="zh-CN" w:bidi="ar"/>
        </w:rPr>
        <w:t>依据《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五）生产经营标注虚假生产日期、保质期或者超过保质期的食品、食品添加剂；”之规定和《中华人民共和国行政处罚法》第二十八条第一款“行政机关实施行政处罚时，应当责令当事人改正或者限期改正违法行为。”</w:t>
      </w:r>
      <w:r>
        <w:rPr>
          <w:rFonts w:hint="eastAsia" w:ascii="仿宋" w:hAnsi="仿宋" w:eastAsia="仿宋" w:cs="仿宋"/>
          <w:color w:val="231F20"/>
          <w:sz w:val="32"/>
          <w:szCs w:val="32"/>
          <w:u w:val="none" w:color="auto"/>
          <w:lang w:eastAsia="zh-CN"/>
        </w:rPr>
        <w:t>的规定，</w:t>
      </w:r>
      <w:r>
        <w:rPr>
          <w:rFonts w:hint="eastAsia" w:ascii="仿宋" w:hAnsi="仿宋" w:eastAsia="仿宋" w:cs="仿宋"/>
          <w:color w:val="000000" w:themeColor="text1"/>
          <w:sz w:val="32"/>
          <w:szCs w:val="32"/>
          <w:u w:val="none" w:color="auto"/>
          <w:lang w:eastAsia="zh-CN"/>
          <w14:textFill>
            <w14:solidFill>
              <w14:schemeClr w14:val="tx1"/>
            </w14:solidFill>
          </w14:textFill>
        </w:rPr>
        <w:t>参照《河南省市场监督管理行政处罚自由裁量基准》</w:t>
      </w:r>
      <w:r>
        <w:rPr>
          <w:rFonts w:hint="eastAsia" w:ascii="仿宋" w:hAnsi="仿宋" w:eastAsia="仿宋" w:cs="仿宋"/>
          <w:color w:val="000000" w:themeColor="text1"/>
          <w:sz w:val="32"/>
          <w:szCs w:val="32"/>
          <w:u w:val="none" w:color="auto"/>
          <w:lang w:val="en-US" w:eastAsia="zh-CN"/>
          <w14:textFill>
            <w14:solidFill>
              <w14:schemeClr w14:val="tx1"/>
            </w14:solidFill>
          </w14:textFill>
        </w:rPr>
        <w:t>8.1.5“依据</w:t>
      </w:r>
      <w:r>
        <w:rPr>
          <w:rFonts w:hint="eastAsia" w:ascii="仿宋" w:hAnsi="仿宋" w:eastAsia="仿宋" w:cs="仿宋"/>
          <w:color w:val="000000"/>
          <w:kern w:val="0"/>
          <w:sz w:val="32"/>
          <w:szCs w:val="32"/>
          <w:u w:val="none" w:color="auto"/>
          <w:lang w:val="en-US" w:eastAsia="zh-CN" w:bidi="ar"/>
        </w:rPr>
        <w:t xml:space="preserve">《食品安全法》第一百二十四条实施的行政处罚 </w:t>
      </w:r>
      <w:r>
        <w:rPr>
          <w:rFonts w:hint="eastAsia" w:ascii="仿宋" w:hAnsi="仿宋" w:eastAsia="仿宋" w:cs="仿宋"/>
          <w:color w:val="000000"/>
          <w:spacing w:val="0"/>
          <w:w w:val="100"/>
          <w:sz w:val="32"/>
          <w:szCs w:val="32"/>
          <w:lang w:eastAsia="zh-CN" w:bidi="en-US"/>
        </w:rPr>
        <w:t>备注：</w:t>
      </w:r>
      <w:r>
        <w:rPr>
          <w:rFonts w:hint="eastAsia" w:ascii="仿宋" w:hAnsi="仿宋" w:eastAsia="仿宋" w:cs="仿宋"/>
          <w:color w:val="000000"/>
          <w:spacing w:val="0"/>
          <w:w w:val="100"/>
          <w:sz w:val="32"/>
          <w:szCs w:val="32"/>
          <w:lang w:bidi="en-US"/>
        </w:rPr>
        <w:t>1.</w:t>
      </w:r>
      <w:r>
        <w:rPr>
          <w:rFonts w:hint="eastAsia" w:ascii="仿宋" w:hAnsi="仿宋" w:eastAsia="仿宋" w:cs="仿宋"/>
          <w:color w:val="000000"/>
          <w:spacing w:val="0"/>
          <w:w w:val="100"/>
          <w:sz w:val="32"/>
          <w:szCs w:val="32"/>
          <w:lang w:val="en" w:eastAsia="zh-CN" w:bidi="en-US"/>
        </w:rPr>
        <w:t>货值金额不足一万元，且</w:t>
      </w:r>
      <w:r>
        <w:rPr>
          <w:rFonts w:hint="eastAsia" w:ascii="仿宋" w:hAnsi="仿宋" w:eastAsia="仿宋" w:cs="仿宋"/>
          <w:color w:val="000000"/>
          <w:spacing w:val="0"/>
          <w:w w:val="100"/>
          <w:sz w:val="32"/>
          <w:szCs w:val="32"/>
          <w:lang w:val="en-US" w:eastAsia="zh-CN" w:bidi="en-US"/>
        </w:rPr>
        <w:t>具有《通则》规定的减轻处罚情节的，可以处以货值金额10倍以下且不超过5万元的罚款；</w:t>
      </w:r>
      <w:r>
        <w:rPr>
          <w:rFonts w:hint="eastAsia" w:ascii="仿宋" w:hAnsi="仿宋" w:eastAsia="仿宋" w:cs="仿宋"/>
          <w:color w:val="000000"/>
          <w:kern w:val="0"/>
          <w:sz w:val="32"/>
          <w:szCs w:val="32"/>
          <w:u w:val="none" w:color="auto"/>
          <w:lang w:val="en-US" w:eastAsia="zh-CN" w:bidi="ar"/>
        </w:rPr>
        <w:t>”之规定，</w:t>
      </w:r>
      <w:r>
        <w:rPr>
          <w:rFonts w:hint="eastAsia" w:ascii="仿宋" w:hAnsi="仿宋" w:eastAsia="仿宋" w:cs="仿宋"/>
          <w:color w:val="000000" w:themeColor="text1"/>
          <w:sz w:val="32"/>
          <w:szCs w:val="32"/>
          <w:u w:val="none" w:color="auto"/>
          <w:lang w:eastAsia="zh-CN"/>
          <w14:textFill>
            <w14:solidFill>
              <w14:schemeClr w14:val="tx1"/>
            </w14:solidFill>
          </w14:textFill>
        </w:rPr>
        <w:t>责令当事人改正违法行为，</w:t>
      </w:r>
      <w:r>
        <w:rPr>
          <w:rFonts w:hint="eastAsia" w:ascii="仿宋" w:hAnsi="仿宋" w:eastAsia="仿宋" w:cs="仿宋"/>
          <w:kern w:val="1"/>
          <w:sz w:val="32"/>
          <w:szCs w:val="32"/>
          <w:u w:val="none" w:color="auto"/>
        </w:rPr>
        <w:t>处罚如下：</w:t>
      </w:r>
      <w:r>
        <w:rPr>
          <w:rFonts w:hint="eastAsia" w:ascii="仿宋" w:hAnsi="仿宋" w:eastAsia="仿宋" w:cs="仿宋"/>
          <w:color w:val="231F20"/>
          <w:sz w:val="32"/>
          <w:szCs w:val="32"/>
          <w:lang w:val="en-US" w:eastAsia="zh-CN"/>
        </w:rPr>
        <w:t>1.没收14瓶涉案芝麻酱；2.没收违法所得40元；3.</w:t>
      </w:r>
      <w:r>
        <w:rPr>
          <w:rFonts w:hint="eastAsia" w:ascii="仿宋" w:hAnsi="仿宋" w:eastAsia="仿宋" w:cs="仿宋"/>
          <w:color w:val="231F20"/>
          <w:sz w:val="32"/>
          <w:szCs w:val="32"/>
          <w:lang w:eastAsia="zh-CN"/>
        </w:rPr>
        <w:t>罚款</w:t>
      </w:r>
      <w:r>
        <w:rPr>
          <w:rFonts w:hint="eastAsia" w:ascii="仿宋" w:hAnsi="仿宋" w:eastAsia="仿宋" w:cs="仿宋"/>
          <w:color w:val="231F20"/>
          <w:sz w:val="32"/>
          <w:szCs w:val="32"/>
          <w:lang w:val="en-US" w:eastAsia="zh-CN"/>
        </w:rPr>
        <w:t>36</w:t>
      </w:r>
      <w:r>
        <w:rPr>
          <w:rFonts w:hint="eastAsia" w:ascii="仿宋" w:hAnsi="仿宋" w:eastAsia="仿宋" w:cs="仿宋"/>
          <w:color w:val="231F20"/>
          <w:sz w:val="32"/>
          <w:szCs w:val="32"/>
          <w:lang w:eastAsia="zh-CN"/>
        </w:rPr>
        <w:t>00元。</w:t>
      </w:r>
    </w:p>
    <w:p w14:paraId="7BC8D9DD">
      <w:pPr>
        <w:keepNext w:val="0"/>
        <w:keepLines w:val="0"/>
        <w:pageBreakBefore w:val="0"/>
        <w:widowControl w:val="0"/>
        <w:kinsoku/>
        <w:wordWrap/>
        <w:overflowPunct/>
        <w:topLinePunct w:val="0"/>
        <w:bidi w:val="0"/>
        <w:snapToGrid/>
        <w:spacing w:line="600" w:lineRule="exact"/>
        <w:ind w:right="-19" w:rightChars="-9" w:firstLine="640" w:firstLineChars="200"/>
        <w:jc w:val="both"/>
        <w:rPr>
          <w:rFonts w:hint="eastAsia" w:ascii="仿宋" w:hAnsi="仿宋" w:eastAsia="仿宋" w:cs="仿宋"/>
          <w:color w:val="000000"/>
          <w:sz w:val="32"/>
          <w:szCs w:val="32"/>
        </w:rPr>
      </w:pPr>
      <w:r>
        <w:rPr>
          <w:rFonts w:hint="eastAsia" w:ascii="仿宋" w:hAnsi="仿宋" w:eastAsia="仿宋" w:cs="仿宋"/>
          <w:color w:val="231F20"/>
          <w:sz w:val="32"/>
          <w:szCs w:val="32"/>
          <w:u w:val="none" w:color="auto"/>
        </w:rPr>
        <w:t xml:space="preserve"> </w:t>
      </w:r>
      <w:r>
        <w:rPr>
          <w:rFonts w:hint="eastAsia" w:ascii="仿宋" w:hAnsi="仿宋" w:eastAsia="仿宋" w:cs="仿宋"/>
          <w:color w:val="000000"/>
          <w:sz w:val="32"/>
          <w:szCs w:val="32"/>
          <w:u w:val="none" w:color="auto"/>
        </w:rPr>
        <w:t>当事人收到本处罚决定之日起15日内，缴清上述罚款。（当事人可选择以下银行缴纳罚款：1.农业银行偃师市支行，</w:t>
      </w:r>
      <w:r>
        <w:rPr>
          <w:rFonts w:hint="eastAsia" w:ascii="仿宋" w:hAnsi="仿宋" w:eastAsia="仿宋" w:cs="仿宋"/>
          <w:color w:val="000000"/>
          <w:sz w:val="32"/>
          <w:szCs w:val="32"/>
        </w:rPr>
        <w:t>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300FD18B">
      <w:pPr>
        <w:keepNext w:val="0"/>
        <w:keepLines w:val="0"/>
        <w:pageBreakBefore w:val="0"/>
        <w:widowControl w:val="0"/>
        <w:kinsoku/>
        <w:wordWrap/>
        <w:overflowPunct/>
        <w:topLinePunct w:val="0"/>
        <w:bidi w:val="0"/>
        <w:snapToGrid/>
        <w:spacing w:line="600" w:lineRule="exact"/>
        <w:ind w:right="-19" w:rightChars="-9" w:firstLine="640" w:firstLineChars="200"/>
        <w:jc w:val="both"/>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6DCE5997">
      <w:pPr>
        <w:pStyle w:val="2"/>
        <w:keepNext w:val="0"/>
        <w:keepLines w:val="0"/>
        <w:pageBreakBefore w:val="0"/>
        <w:widowControl w:val="0"/>
        <w:tabs>
          <w:tab w:val="left" w:pos="6680"/>
          <w:tab w:val="left" w:pos="8920"/>
        </w:tabs>
        <w:kinsoku/>
        <w:wordWrap/>
        <w:overflowPunct/>
        <w:topLinePunct w:val="0"/>
        <w:bidi w:val="0"/>
        <w:snapToGrid/>
        <w:spacing w:line="600" w:lineRule="exact"/>
        <w:ind w:left="120" w:right="-19" w:rightChars="-9" w:firstLine="640" w:firstLineChars="200"/>
        <w:jc w:val="both"/>
        <w:textAlignment w:val="baseline"/>
        <w:rPr>
          <w:rFonts w:hint="eastAsia" w:ascii="仿宋" w:hAnsi="仿宋" w:eastAsia="仿宋" w:cs="仿宋"/>
          <w:color w:val="231F20"/>
          <w:sz w:val="32"/>
          <w:szCs w:val="32"/>
        </w:rPr>
      </w:pPr>
      <w:r>
        <w:rPr>
          <w:rFonts w:hint="eastAsia" w:ascii="仿宋" w:hAnsi="仿宋" w:eastAsia="仿宋" w:cs="仿宋"/>
          <w:bCs/>
          <w:kern w:val="2"/>
          <w:sz w:val="32"/>
          <w:szCs w:val="32"/>
          <w:u w:val="none" w:color="auto"/>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42B73D57">
      <w:pPr>
        <w:keepNext w:val="0"/>
        <w:keepLines w:val="0"/>
        <w:pageBreakBefore w:val="0"/>
        <w:widowControl w:val="0"/>
        <w:kinsoku/>
        <w:wordWrap/>
        <w:overflowPunct/>
        <w:topLinePunct w:val="0"/>
        <w:bidi w:val="0"/>
        <w:snapToGrid/>
        <w:spacing w:line="600" w:lineRule="exact"/>
        <w:ind w:right="-19" w:rightChars="-9" w:firstLine="3200" w:firstLineChars="1000"/>
        <w:jc w:val="both"/>
        <w:textAlignment w:val="baseline"/>
        <w:rPr>
          <w:rFonts w:hint="eastAsia" w:ascii="仿宋" w:hAnsi="仿宋" w:eastAsia="仿宋" w:cs="仿宋"/>
          <w:sz w:val="32"/>
          <w:szCs w:val="32"/>
        </w:rPr>
      </w:pPr>
    </w:p>
    <w:p w14:paraId="57A919FF">
      <w:pPr>
        <w:keepNext w:val="0"/>
        <w:keepLines w:val="0"/>
        <w:pageBreakBefore w:val="0"/>
        <w:widowControl w:val="0"/>
        <w:kinsoku/>
        <w:wordWrap/>
        <w:overflowPunct/>
        <w:topLinePunct w:val="0"/>
        <w:bidi w:val="0"/>
        <w:snapToGrid/>
        <w:spacing w:line="600" w:lineRule="exact"/>
        <w:ind w:right="-19" w:rightChars="-9" w:firstLine="3200" w:firstLineChars="1000"/>
        <w:jc w:val="both"/>
        <w:textAlignment w:val="baseline"/>
        <w:rPr>
          <w:rFonts w:hint="eastAsia" w:ascii="仿宋" w:hAnsi="仿宋" w:eastAsia="仿宋" w:cs="仿宋"/>
          <w:sz w:val="32"/>
          <w:szCs w:val="32"/>
        </w:rPr>
      </w:pPr>
    </w:p>
    <w:p w14:paraId="1517C147">
      <w:pPr>
        <w:keepNext w:val="0"/>
        <w:keepLines w:val="0"/>
        <w:pageBreakBefore w:val="0"/>
        <w:widowControl w:val="0"/>
        <w:kinsoku/>
        <w:wordWrap/>
        <w:overflowPunct/>
        <w:topLinePunct w:val="0"/>
        <w:bidi w:val="0"/>
        <w:snapToGrid/>
        <w:spacing w:line="600" w:lineRule="exact"/>
        <w:ind w:right="-19" w:rightChars="-9" w:firstLine="3200" w:firstLineChars="1000"/>
        <w:jc w:val="both"/>
        <w:textAlignment w:val="baseline"/>
        <w:rPr>
          <w:rFonts w:hint="eastAsia" w:ascii="仿宋" w:hAnsi="仿宋" w:eastAsia="仿宋" w:cs="仿宋"/>
          <w:sz w:val="32"/>
          <w:szCs w:val="32"/>
        </w:rPr>
      </w:pPr>
    </w:p>
    <w:p w14:paraId="618903CA">
      <w:pPr>
        <w:keepNext w:val="0"/>
        <w:keepLines w:val="0"/>
        <w:pageBreakBefore w:val="0"/>
        <w:widowControl w:val="0"/>
        <w:kinsoku/>
        <w:wordWrap/>
        <w:overflowPunct/>
        <w:topLinePunct w:val="0"/>
        <w:bidi w:val="0"/>
        <w:snapToGrid/>
        <w:spacing w:line="600" w:lineRule="exact"/>
        <w:ind w:right="-19" w:rightChars="-9" w:firstLine="2880" w:firstLineChars="900"/>
        <w:jc w:val="both"/>
        <w:textAlignment w:val="baseline"/>
        <w:rPr>
          <w:rFonts w:hint="eastAsia" w:ascii="仿宋" w:hAnsi="仿宋" w:eastAsia="仿宋" w:cs="仿宋"/>
          <w:sz w:val="32"/>
          <w:szCs w:val="32"/>
        </w:rPr>
      </w:pPr>
      <w:r>
        <w:rPr>
          <w:rFonts w:hint="eastAsia" w:ascii="仿宋" w:hAnsi="仿宋" w:eastAsia="仿宋" w:cs="仿宋"/>
          <w:sz w:val="32"/>
          <w:szCs w:val="32"/>
        </w:rPr>
        <w:t>洛阳市偃师区市场监督管理局</w:t>
      </w:r>
    </w:p>
    <w:p w14:paraId="7BFC0B77">
      <w:pPr>
        <w:keepNext w:val="0"/>
        <w:keepLines w:val="0"/>
        <w:pageBreakBefore w:val="0"/>
        <w:widowControl w:val="0"/>
        <w:kinsoku/>
        <w:wordWrap/>
        <w:overflowPunct/>
        <w:topLinePunct w:val="0"/>
        <w:bidi w:val="0"/>
        <w:snapToGrid/>
        <w:spacing w:line="600" w:lineRule="exact"/>
        <w:ind w:right="-19" w:rightChars="-9" w:firstLine="4160" w:firstLineChars="1300"/>
        <w:jc w:val="both"/>
        <w:textAlignment w:val="baseline"/>
        <w:rPr>
          <w:rFonts w:hint="eastAsia" w:ascii="仿宋" w:hAnsi="仿宋" w:eastAsia="仿宋" w:cs="仿宋"/>
          <w:sz w:val="32"/>
          <w:szCs w:val="32"/>
        </w:rPr>
      </w:pPr>
    </w:p>
    <w:p w14:paraId="41346999">
      <w:pPr>
        <w:keepNext w:val="0"/>
        <w:keepLines w:val="0"/>
        <w:pageBreakBefore w:val="0"/>
        <w:widowControl w:val="0"/>
        <w:kinsoku/>
        <w:wordWrap/>
        <w:overflowPunct/>
        <w:topLinePunct w:val="0"/>
        <w:bidi w:val="0"/>
        <w:snapToGrid/>
        <w:spacing w:line="600" w:lineRule="exact"/>
        <w:ind w:right="-19" w:rightChars="-9" w:firstLine="3840" w:firstLineChars="1200"/>
        <w:jc w:val="both"/>
        <w:textAlignment w:val="baseline"/>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日</w:t>
      </w:r>
    </w:p>
    <w:p w14:paraId="5D262CEF">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5393EA39">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38310E7F">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4A3CABF2">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4B629712">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63616D47">
      <w:pPr>
        <w:pStyle w:val="2"/>
        <w:keepNext w:val="0"/>
        <w:keepLines w:val="0"/>
        <w:pageBreakBefore w:val="0"/>
        <w:widowControl w:val="0"/>
        <w:tabs>
          <w:tab w:val="left" w:pos="9072"/>
        </w:tabs>
        <w:kinsoku/>
        <w:wordWrap/>
        <w:overflowPunct/>
        <w:topLinePunct w:val="0"/>
        <w:bidi w:val="0"/>
        <w:snapToGrid/>
        <w:spacing w:line="600" w:lineRule="exact"/>
        <w:ind w:right="-197" w:rightChars="-94"/>
        <w:jc w:val="both"/>
        <w:rPr>
          <w:rFonts w:hint="eastAsia" w:ascii="仿宋" w:hAnsi="仿宋" w:eastAsia="仿宋" w:cs="仿宋"/>
          <w:color w:val="231F20"/>
          <w:spacing w:val="-16"/>
          <w:sz w:val="32"/>
          <w:szCs w:val="32"/>
        </w:rPr>
      </w:pPr>
    </w:p>
    <w:p w14:paraId="7470DF04">
      <w:pPr>
        <w:pStyle w:val="2"/>
        <w:keepNext w:val="0"/>
        <w:keepLines w:val="0"/>
        <w:pageBreakBefore w:val="0"/>
        <w:widowControl w:val="0"/>
        <w:tabs>
          <w:tab w:val="left" w:pos="9072"/>
        </w:tabs>
        <w:kinsoku/>
        <w:wordWrap/>
        <w:overflowPunct/>
        <w:topLinePunct w:val="0"/>
        <w:bidi w:val="0"/>
        <w:snapToGrid/>
        <w:spacing w:line="560" w:lineRule="exact"/>
        <w:ind w:right="-197" w:rightChars="-94"/>
        <w:jc w:val="both"/>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（市场监督管理部门将依法向社会公开行政处罚决定信息）</w:t>
      </w:r>
    </w:p>
    <w:p w14:paraId="68EEED2F">
      <w:pPr>
        <w:keepNext w:val="0"/>
        <w:keepLines w:val="0"/>
        <w:pageBreakBefore w:val="0"/>
        <w:widowControl w:val="0"/>
        <w:kinsoku/>
        <w:wordWrap/>
        <w:overflowPunct/>
        <w:topLinePunct w:val="0"/>
        <w:bidi w:val="0"/>
        <w:snapToGrid/>
        <w:spacing w:line="560" w:lineRule="exact"/>
        <w:ind w:left="105" w:leftChars="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53340</wp:posOffset>
                </wp:positionH>
                <wp:positionV relativeFrom="paragraph">
                  <wp:posOffset>21590</wp:posOffset>
                </wp:positionV>
                <wp:extent cx="5036820" cy="0"/>
                <wp:effectExtent l="0" t="7620" r="7620" b="15240"/>
                <wp:wrapNone/>
                <wp:docPr id="1" name="直接连接符 2"/>
                <wp:cNvGraphicFramePr/>
                <a:graphic xmlns:a="http://schemas.openxmlformats.org/drawingml/2006/main">
                  <a:graphicData uri="http://schemas.microsoft.com/office/word/2010/wordprocessingShape">
                    <wps:wsp>
                      <wps:cNvCnPr/>
                      <wps:spPr>
                        <a:xfrm>
                          <a:off x="0" y="0"/>
                          <a:ext cx="50368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4.2pt;margin-top:1.7pt;height:0pt;width:396.6pt;z-index:251661312;mso-width-relative:page;mso-height-relative:page;" filled="f" stroked="t" coordsize="21600,21600" o:gfxdata="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5TtArUAAAABQEAAA8AAAAAAAAAAQAgAAAAIgAAAGRycy9kb3ducmV2LnhtbFBLAQIUABQAAAAI&#10;AIdO4kAkiNna8QEAAOcDAAAOAAAAAAAAAAEAIAAAACMBAABkcnMvZTJvRG9jLnhtbFBLBQYAAAAA&#10;BgAGAFkBAACGBQAAAAA=&#10;">
                <v:fill on="f" focussize="0,0"/>
                <v:stroke weight="1.25pt" color="#000000" joinstyle="round"/>
                <v:imagedata o:title=""/>
                <o:lock v:ext="edit" aspectratio="f"/>
              </v:line>
            </w:pict>
          </mc:Fallback>
        </mc:AlternateContent>
      </w:r>
      <w:r>
        <w:rPr>
          <w:rFonts w:hint="eastAsia" w:ascii="仿宋_GB2312" w:hAnsi="仿宋_GB2312" w:eastAsia="仿宋_GB2312" w:cs="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0pt;margin-top:1638.35pt;height:0.1pt;width:453.75pt;z-index:251662336;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7/OR1wAAAAoBAAAPAAAAAAAAAAEAIAAAACIAAABkcnMvZG93bnJldi54bWxQSwEC&#10;FAAUAAAACACHTuJAvlIrcfUBAADnAwAADgAAAAAAAAABACAAAAAmAQAAZHJzL2Uyb0RvYy54bWxQ&#10;SwUGAAAAAAYABgBZAQAAjQUAAAAA&#10;">
                <v:fill on="f" focussize="0,0"/>
                <v:stroke weight="0.737007874015748pt" color="#000000" joinstyle="round" endcap="square"/>
                <v:imagedata o:title=""/>
                <o:lock v:ext="edit" aspectratio="f"/>
              </v:line>
            </w:pict>
          </mc:Fallback>
        </mc:AlternateContent>
      </w:r>
      <w:r>
        <w:rPr>
          <w:rFonts w:hint="eastAsia" w:ascii="仿宋_GB2312" w:hAnsi="仿宋_GB2312" w:eastAsia="仿宋_GB2312" w:cs="仿宋_GB2312"/>
          <w:color w:val="000000"/>
          <w:sz w:val="32"/>
          <w:szCs w:val="32"/>
        </w:rPr>
        <w:t>本文书一式</w:t>
      </w:r>
      <w:r>
        <w:rPr>
          <w:rFonts w:hint="eastAsia" w:ascii="仿宋_GB2312" w:hAnsi="仿宋_GB2312" w:eastAsia="仿宋_GB2312" w:cs="仿宋_GB2312"/>
          <w:color w:val="000000"/>
          <w:sz w:val="32"/>
          <w:szCs w:val="32"/>
          <w:u w:val="single"/>
        </w:rPr>
        <w:t>三</w:t>
      </w:r>
      <w:r>
        <w:rPr>
          <w:rFonts w:hint="eastAsia" w:ascii="仿宋_GB2312" w:hAnsi="仿宋_GB2312" w:eastAsia="仿宋_GB2312" w:cs="仿宋_GB2312"/>
          <w:color w:val="000000"/>
          <w:sz w:val="32"/>
          <w:szCs w:val="32"/>
        </w:rPr>
        <w:t>份，</w:t>
      </w:r>
      <w:r>
        <w:rPr>
          <w:rFonts w:hint="eastAsia" w:ascii="仿宋_GB2312" w:hAnsi="仿宋_GB2312" w:eastAsia="仿宋_GB2312" w:cs="仿宋_GB2312"/>
          <w:color w:val="000000"/>
          <w:sz w:val="32"/>
          <w:szCs w:val="32"/>
          <w:u w:val="single"/>
        </w:rPr>
        <w:t>一</w:t>
      </w:r>
      <w:r>
        <w:rPr>
          <w:rFonts w:hint="eastAsia" w:ascii="仿宋_GB2312" w:hAnsi="仿宋_GB2312" w:eastAsia="仿宋_GB2312" w:cs="仿宋_GB2312"/>
          <w:color w:val="000000"/>
          <w:sz w:val="32"/>
          <w:szCs w:val="32"/>
        </w:rPr>
        <w:t>份送达，</w:t>
      </w:r>
      <w:r>
        <w:rPr>
          <w:rFonts w:hint="eastAsia" w:ascii="仿宋_GB2312" w:hAnsi="仿宋_GB2312" w:eastAsia="仿宋_GB2312" w:cs="仿宋_GB2312"/>
          <w:color w:val="000000"/>
          <w:sz w:val="32"/>
          <w:szCs w:val="32"/>
          <w:u w:val="single"/>
        </w:rPr>
        <w:t>一</w:t>
      </w:r>
      <w:r>
        <w:rPr>
          <w:rFonts w:hint="eastAsia" w:ascii="仿宋_GB2312" w:hAnsi="仿宋_GB2312" w:eastAsia="仿宋_GB2312" w:cs="仿宋_GB2312"/>
          <w:color w:val="000000"/>
          <w:sz w:val="32"/>
          <w:szCs w:val="32"/>
        </w:rPr>
        <w:t>份归档，</w:t>
      </w:r>
      <w:r>
        <w:rPr>
          <w:rFonts w:hint="eastAsia" w:ascii="仿宋_GB2312" w:hAnsi="仿宋_GB2312" w:eastAsia="仿宋_GB2312" w:cs="仿宋_GB2312"/>
          <w:color w:val="000000"/>
          <w:sz w:val="32"/>
          <w:szCs w:val="32"/>
          <w:u w:val="single"/>
        </w:rPr>
        <w:t>一</w:t>
      </w:r>
      <w:r>
        <w:rPr>
          <w:rFonts w:hint="eastAsia" w:ascii="仿宋_GB2312" w:hAnsi="仿宋_GB2312" w:eastAsia="仿宋_GB2312" w:cs="仿宋_GB2312"/>
          <w:color w:val="000000"/>
          <w:sz w:val="32"/>
          <w:szCs w:val="32"/>
        </w:rPr>
        <w:t>份办案机构留存。</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3EBE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D5093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6D5093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4485B">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5NTQ3MzMyZTMzMmYyYzE5MGVmODI0MGVmYTZiODkifQ=="/>
  </w:docVars>
  <w:rsids>
    <w:rsidRoot w:val="17693771"/>
    <w:rsid w:val="03D60AAD"/>
    <w:rsid w:val="03D726B7"/>
    <w:rsid w:val="05295C21"/>
    <w:rsid w:val="05DB10C9"/>
    <w:rsid w:val="06385392"/>
    <w:rsid w:val="0A6631B9"/>
    <w:rsid w:val="10670543"/>
    <w:rsid w:val="15BE4C24"/>
    <w:rsid w:val="17693771"/>
    <w:rsid w:val="18383756"/>
    <w:rsid w:val="1DD13EA3"/>
    <w:rsid w:val="21AE2B1E"/>
    <w:rsid w:val="22155B3E"/>
    <w:rsid w:val="23737B15"/>
    <w:rsid w:val="260E4CB4"/>
    <w:rsid w:val="2BF612E4"/>
    <w:rsid w:val="2D605C5D"/>
    <w:rsid w:val="2DBC270A"/>
    <w:rsid w:val="2E4E5DC9"/>
    <w:rsid w:val="2F6B49A0"/>
    <w:rsid w:val="31D10749"/>
    <w:rsid w:val="340476AD"/>
    <w:rsid w:val="342E1B3D"/>
    <w:rsid w:val="349B76D7"/>
    <w:rsid w:val="36430001"/>
    <w:rsid w:val="36615D8E"/>
    <w:rsid w:val="37711A02"/>
    <w:rsid w:val="39777CA1"/>
    <w:rsid w:val="3C617063"/>
    <w:rsid w:val="3F610266"/>
    <w:rsid w:val="40281F2F"/>
    <w:rsid w:val="41D3243E"/>
    <w:rsid w:val="477D1B9D"/>
    <w:rsid w:val="49124F30"/>
    <w:rsid w:val="49F0326A"/>
    <w:rsid w:val="4E5D5945"/>
    <w:rsid w:val="55E67B86"/>
    <w:rsid w:val="577718CF"/>
    <w:rsid w:val="582D717A"/>
    <w:rsid w:val="59E7522E"/>
    <w:rsid w:val="5BAC49ED"/>
    <w:rsid w:val="5E0775A7"/>
    <w:rsid w:val="5E6B6243"/>
    <w:rsid w:val="5EF574A5"/>
    <w:rsid w:val="60102E91"/>
    <w:rsid w:val="60B534D6"/>
    <w:rsid w:val="649E512B"/>
    <w:rsid w:val="64B91DCE"/>
    <w:rsid w:val="66353DF9"/>
    <w:rsid w:val="67174C2D"/>
    <w:rsid w:val="6A710D40"/>
    <w:rsid w:val="6AA94FEA"/>
    <w:rsid w:val="6C33669A"/>
    <w:rsid w:val="6C494E84"/>
    <w:rsid w:val="6D491829"/>
    <w:rsid w:val="6D5A3C51"/>
    <w:rsid w:val="6E3B03E5"/>
    <w:rsid w:val="70B37CC1"/>
    <w:rsid w:val="711541D8"/>
    <w:rsid w:val="71790DBE"/>
    <w:rsid w:val="71CB3BCD"/>
    <w:rsid w:val="72774553"/>
    <w:rsid w:val="73192B3C"/>
    <w:rsid w:val="73587415"/>
    <w:rsid w:val="73762DBF"/>
    <w:rsid w:val="73974E44"/>
    <w:rsid w:val="75EE3DA0"/>
    <w:rsid w:val="782944A2"/>
    <w:rsid w:val="786A75D6"/>
    <w:rsid w:val="790E7435"/>
    <w:rsid w:val="7B717B8D"/>
    <w:rsid w:val="7B8013BA"/>
    <w:rsid w:val="7DC73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2206</Words>
  <Characters>2492</Characters>
  <Lines>0</Lines>
  <Paragraphs>0</Paragraphs>
  <TotalTime>11</TotalTime>
  <ScaleCrop>false</ScaleCrop>
  <LinksUpToDate>false</LinksUpToDate>
  <CharactersWithSpaces>4500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2023-12-18T02:29:00Z</dcterms:created>
  <dc:creator>Administrator</dc:creator>
  <cp:lastModifiedBy>王建清</cp:lastModifiedBy>
  <dcterms:modified xsi:type="dcterms:W3CDTF">2025-03-20T07:25:45Z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07E1BF0E69294A36B28F406DFB4EC774_13</vt:lpwstr>
  </property>
  <property fmtid="{D5CDD505-2E9C-101B-9397-08002B2CF9AE}" pid="4" name="KSOTemplateDocerSaveRecord">
    <vt:lpwstr>eyJoZGlkIjoiOTJkNzdiMWY1ZWU2ZWU3NmE4ZTUxNGRmYWVhMzdjNDQiLCJ1c2VySWQiOiI4ODA3MzMzNDYifQ==</vt:lpwstr>
  </property>
</Properties>
</file>