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4F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洛阳市偃师区文物局</w:t>
      </w:r>
    </w:p>
    <w:p w14:paraId="7AF77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关于印发《202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年触发式“双随机、一公开” 监管抽查事项清单》的通知</w:t>
      </w:r>
    </w:p>
    <w:p w14:paraId="3B95E379">
      <w:pPr>
        <w:keepNext w:val="0"/>
        <w:keepLines w:val="0"/>
        <w:widowControl/>
        <w:suppressLineNumbers w:val="0"/>
        <w:jc w:val="left"/>
      </w:pPr>
    </w:p>
    <w:p w14:paraId="07911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机关各科室、二级机构：</w:t>
      </w:r>
    </w:p>
    <w:p w14:paraId="1D51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为更好保护市场主体，进一步优化营商环境，</w:t>
      </w:r>
      <w:r>
        <w:rPr>
          <w:rFonts w:hint="eastAsia" w:ascii="仿宋_GB2312" w:hAnsi="黑体" w:eastAsia="仿宋_GB2312"/>
          <w:sz w:val="32"/>
          <w:szCs w:val="32"/>
        </w:rPr>
        <w:t>依据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关于转发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洛阳市人民政府推进政府职能转变和“放管服”改革协调小组关于印发洛阳市实施触发式“双随机、一公开”监管更好保护市场主体工作方案的通知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的通知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黑体" w:eastAsia="仿宋_GB2312"/>
          <w:sz w:val="32"/>
          <w:szCs w:val="32"/>
        </w:rPr>
        <w:t>的规定，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《国务院办公厅关于严格规范涉企行政检查的意见》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文件精神，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助力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经济社会高质量发展，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文物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局梳理制订了《202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 xml:space="preserve"> 年触发式 “双随机、一公开” 监管抽查事项清单》（见附件），现印发给你们。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</w:t>
      </w:r>
    </w:p>
    <w:p w14:paraId="3B57E859">
      <w:pPr>
        <w:jc w:val="lef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5ED8DBE7">
      <w:pPr>
        <w:jc w:val="left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附件：《202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 xml:space="preserve"> 年触发式 “双随机、一公开” 监管抽查事项清单》</w:t>
      </w:r>
    </w:p>
    <w:p w14:paraId="729163D9">
      <w:pPr>
        <w:rPr>
          <w:rFonts w:hint="eastAsia" w:ascii="仿宋_GB2312" w:eastAsia="仿宋_GB2312"/>
          <w:sz w:val="32"/>
          <w:szCs w:val="32"/>
        </w:rPr>
      </w:pPr>
    </w:p>
    <w:p w14:paraId="78A8C7B1">
      <w:pPr>
        <w:rPr>
          <w:rFonts w:ascii="Times New Roman" w:hAnsi="Times New Roman"/>
        </w:rPr>
        <w:sectPr>
          <w:pgSz w:w="11906" w:h="16838"/>
          <w:pgMar w:top="1701" w:right="1474" w:bottom="1701" w:left="1588" w:header="851" w:footer="992" w:gutter="0"/>
          <w:cols w:space="720" w:num="1"/>
          <w:docGrid w:type="lines" w:linePitch="312" w:charSpace="0"/>
        </w:sectPr>
      </w:pPr>
      <w:bookmarkStart w:id="1" w:name="_GoBack"/>
      <w:bookmarkEnd w:id="1"/>
      <w:bookmarkStart w:id="0" w:name="_Toc122976144"/>
    </w:p>
    <w:p w14:paraId="3B8471AD">
      <w:pPr>
        <w:pStyle w:val="4"/>
        <w:rPr>
          <w:rFonts w:hint="default" w:ascii="Times New Roman" w:hAnsi="Times New Roman" w:eastAsia="方正小标宋简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2025年</w:t>
      </w:r>
      <w:r>
        <w:rPr>
          <w:rFonts w:hint="eastAsia" w:ascii="Times New Roman" w:hAnsi="Times New Roman"/>
        </w:rPr>
        <w:t>触发式“双随机、一公开”监管抽查</w:t>
      </w:r>
      <w:bookmarkEnd w:id="0"/>
      <w:r>
        <w:rPr>
          <w:rFonts w:hint="eastAsia" w:ascii="Times New Roman" w:hAnsi="Times New Roman"/>
          <w:lang w:val="en-US" w:eastAsia="zh-CN"/>
        </w:rPr>
        <w:t>事项清单</w:t>
      </w:r>
    </w:p>
    <w:tbl>
      <w:tblPr>
        <w:tblStyle w:val="5"/>
        <w:tblpPr w:leftFromText="180" w:rightFromText="180" w:vertAnchor="text" w:horzAnchor="page" w:tblpX="1051" w:tblpY="321"/>
        <w:tblOverlap w:val="never"/>
        <w:tblW w:w="144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592"/>
        <w:gridCol w:w="1736"/>
        <w:gridCol w:w="1385"/>
        <w:gridCol w:w="1396"/>
        <w:gridCol w:w="1363"/>
        <w:gridCol w:w="3806"/>
        <w:gridCol w:w="1557"/>
      </w:tblGrid>
      <w:tr w14:paraId="1DAB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10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B6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监管科室</w:t>
            </w:r>
          </w:p>
        </w:tc>
      </w:tr>
      <w:tr w14:paraId="741C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全区博物馆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文物局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博物馆条例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》第七条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0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普教科</w:t>
            </w:r>
          </w:p>
        </w:tc>
      </w:tr>
    </w:tbl>
    <w:p w14:paraId="1883F40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  <w:lang w:val="en-US" w:eastAsia="zh-CN" w:bidi="ar-SA"/>
        </w:rPr>
        <w:t>备注：触发式“双随机、一公开”抽查，是指监管科室根据投诉举报、转办交办、网络监测、风险防控等触发条件，结合本单位《触发式“双随机、一公开”监管抽查事项清单》，随机抽取一定比例的检查对象，随机抽取或直接选派执法检查人员，依法对其（抽取的检查对象）进行检查并将检查结果及查处情况依法公开的监督管理活动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C0DF0"/>
    <w:rsid w:val="057A28B3"/>
    <w:rsid w:val="1F48264B"/>
    <w:rsid w:val="24FFEEBC"/>
    <w:rsid w:val="321F6E77"/>
    <w:rsid w:val="36B60BB6"/>
    <w:rsid w:val="4D5C0DF0"/>
    <w:rsid w:val="4F9223C1"/>
    <w:rsid w:val="54E533F1"/>
    <w:rsid w:val="56D340A2"/>
    <w:rsid w:val="58D55F3A"/>
    <w:rsid w:val="5C665F82"/>
    <w:rsid w:val="5EE475B9"/>
    <w:rsid w:val="5FA7CE72"/>
    <w:rsid w:val="6D57748E"/>
    <w:rsid w:val="6D9C46B7"/>
    <w:rsid w:val="7C9FD524"/>
    <w:rsid w:val="9FE7681D"/>
    <w:rsid w:val="FDDFC553"/>
    <w:rsid w:val="FF991AA1"/>
    <w:rsid w:val="FFDEC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56" w:beforeLines="50" w:after="156" w:afterLines="50" w:line="600" w:lineRule="exact"/>
      <w:jc w:val="center"/>
      <w:outlineLvl w:val="0"/>
    </w:pPr>
    <w:rPr>
      <w:rFonts w:ascii="方正小标宋简体" w:hAnsi="方正小标宋简体" w:eastAsia="方正小标宋简体" w:cs="宋体"/>
      <w:kern w:val="0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2253</Words>
  <Characters>2269</Characters>
  <Lines>0</Lines>
  <Paragraphs>0</Paragraphs>
  <TotalTime>13</TotalTime>
  <ScaleCrop>false</ScaleCrop>
  <LinksUpToDate>false</LinksUpToDate>
  <CharactersWithSpaces>2294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2024-05-31T09:41:00Z</dcterms:created>
  <dc:creator>greatwall</dc:creator>
  <cp:lastModifiedBy>admin</cp:lastModifiedBy>
  <cp:lastPrinted>2024-06-27T01:22:00Z</cp:lastPrinted>
  <dcterms:modified xsi:type="dcterms:W3CDTF">2025-05-16T11:11:15Z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eyJoZGlkIjoiMjA0MTgwN2U3NjI1ZjY0MjM1NmIxNzMzZWZmMDAzNDIifQ==</vt:lpwstr>
  </property>
  <property fmtid="{D5CDD505-2E9C-101B-9397-08002B2CF9AE}" pid="4" name="ICV">
    <vt:lpwstr>D89A79D7BF964861AE59CB0985CE40CE_13</vt:lpwstr>
  </property>
</Properties>
</file>