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404" w:rsidRDefault="009D2404" w:rsidP="009D2404">
      <w:pPr>
        <w:pStyle w:val="1"/>
        <w:spacing w:before="156" w:after="156"/>
        <w:rPr>
          <w:rFonts w:ascii="Times New Roman" w:hAnsi="Times New Roman"/>
          <w:sz w:val="40"/>
          <w:szCs w:val="40"/>
        </w:rPr>
      </w:pPr>
      <w:bookmarkStart w:id="0" w:name="_Toc122976144"/>
      <w:r>
        <w:rPr>
          <w:rFonts w:ascii="Times New Roman" w:hAnsi="Times New Roman" w:hint="eastAsia"/>
          <w:sz w:val="40"/>
          <w:szCs w:val="40"/>
        </w:rPr>
        <w:t>2025</w:t>
      </w:r>
      <w:r>
        <w:rPr>
          <w:rFonts w:ascii="Times New Roman" w:hAnsi="Times New Roman" w:hint="eastAsia"/>
          <w:sz w:val="40"/>
          <w:szCs w:val="40"/>
        </w:rPr>
        <w:t>年触发式“双随机、一公开”监管抽查</w:t>
      </w:r>
      <w:bookmarkEnd w:id="0"/>
      <w:r>
        <w:rPr>
          <w:rFonts w:ascii="Times New Roman" w:hAnsi="Times New Roman" w:hint="eastAsia"/>
          <w:sz w:val="40"/>
          <w:szCs w:val="40"/>
        </w:rPr>
        <w:t>计划</w:t>
      </w:r>
    </w:p>
    <w:tbl>
      <w:tblPr>
        <w:tblpPr w:leftFromText="180" w:rightFromText="180" w:vertAnchor="text" w:horzAnchor="page" w:tblpX="1051" w:tblpY="321"/>
        <w:tblOverlap w:val="never"/>
        <w:tblW w:w="15258" w:type="dxa"/>
        <w:tblLayout w:type="fixed"/>
        <w:tblLook w:val="04A0"/>
      </w:tblPr>
      <w:tblGrid>
        <w:gridCol w:w="598"/>
        <w:gridCol w:w="2592"/>
        <w:gridCol w:w="1736"/>
        <w:gridCol w:w="1385"/>
        <w:gridCol w:w="1396"/>
        <w:gridCol w:w="1363"/>
        <w:gridCol w:w="3440"/>
        <w:gridCol w:w="1229"/>
        <w:gridCol w:w="1519"/>
      </w:tblGrid>
      <w:tr w:rsidR="009D2404" w:rsidTr="00564248">
        <w:trPr>
          <w:trHeight w:val="66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黑体" w:eastAsia="黑体" w:hAnsi="宋体" w:cs="黑体"/>
                <w:b/>
                <w:bCs/>
                <w:color w:val="000000"/>
                <w:sz w:val="24"/>
                <w:szCs w:val="24"/>
              </w:rPr>
            </w:pPr>
            <w:r>
              <w:rPr>
                <w:rFonts w:ascii="黑体" w:eastAsia="黑体" w:hAnsi="宋体" w:cs="黑体" w:hint="eastAsia"/>
                <w:b/>
                <w:bCs/>
                <w:color w:val="000000"/>
                <w:sz w:val="24"/>
                <w:szCs w:val="24"/>
              </w:rPr>
              <w:t>序号</w:t>
            </w:r>
          </w:p>
        </w:tc>
        <w:tc>
          <w:tcPr>
            <w:tcW w:w="2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2404" w:rsidRDefault="009D2404" w:rsidP="00564248">
            <w:pPr>
              <w:jc w:val="center"/>
              <w:textAlignment w:val="center"/>
              <w:rPr>
                <w:rFonts w:ascii="黑体" w:eastAsia="黑体" w:hAnsi="宋体" w:cs="黑体"/>
                <w:b/>
                <w:bCs/>
                <w:color w:val="000000"/>
                <w:sz w:val="24"/>
                <w:szCs w:val="24"/>
              </w:rPr>
            </w:pPr>
            <w:r>
              <w:rPr>
                <w:rFonts w:ascii="黑体" w:eastAsia="黑体" w:hAnsi="宋体" w:cs="黑体" w:hint="eastAsia"/>
                <w:b/>
                <w:bCs/>
                <w:color w:val="000000"/>
                <w:sz w:val="24"/>
                <w:szCs w:val="24"/>
              </w:rPr>
              <w:t>抽查事项</w:t>
            </w:r>
          </w:p>
        </w:tc>
        <w:tc>
          <w:tcPr>
            <w:tcW w:w="1736" w:type="dxa"/>
            <w:tcBorders>
              <w:top w:val="single" w:sz="4" w:space="0" w:color="000000"/>
              <w:left w:val="single" w:sz="4" w:space="0" w:color="000000"/>
              <w:bottom w:val="nil"/>
              <w:right w:val="single" w:sz="4" w:space="0" w:color="000000"/>
            </w:tcBorders>
            <w:shd w:val="clear" w:color="auto" w:fill="auto"/>
            <w:vAlign w:val="center"/>
          </w:tcPr>
          <w:p w:rsidR="009D2404" w:rsidRDefault="009D2404" w:rsidP="00564248">
            <w:pPr>
              <w:jc w:val="center"/>
              <w:textAlignment w:val="center"/>
              <w:rPr>
                <w:rFonts w:ascii="黑体" w:eastAsia="黑体" w:hAnsi="宋体" w:cs="黑体"/>
                <w:b/>
                <w:bCs/>
                <w:color w:val="000000"/>
                <w:sz w:val="24"/>
                <w:szCs w:val="24"/>
              </w:rPr>
            </w:pPr>
            <w:r>
              <w:rPr>
                <w:rFonts w:ascii="黑体" w:eastAsia="黑体" w:hAnsi="宋体" w:cs="黑体" w:hint="eastAsia"/>
                <w:b/>
                <w:bCs/>
                <w:color w:val="000000"/>
                <w:sz w:val="24"/>
                <w:szCs w:val="24"/>
              </w:rPr>
              <w:t>检查对象</w:t>
            </w:r>
          </w:p>
        </w:tc>
        <w:tc>
          <w:tcPr>
            <w:tcW w:w="1385" w:type="dxa"/>
            <w:tcBorders>
              <w:top w:val="single" w:sz="4" w:space="0" w:color="000000"/>
              <w:left w:val="single" w:sz="4" w:space="0" w:color="000000"/>
              <w:bottom w:val="nil"/>
              <w:right w:val="single" w:sz="4" w:space="0" w:color="000000"/>
            </w:tcBorders>
            <w:shd w:val="clear" w:color="auto" w:fill="auto"/>
            <w:noWrap/>
            <w:vAlign w:val="center"/>
          </w:tcPr>
          <w:p w:rsidR="009D2404" w:rsidRDefault="009D2404" w:rsidP="00564248">
            <w:pPr>
              <w:jc w:val="center"/>
              <w:textAlignment w:val="center"/>
              <w:rPr>
                <w:rFonts w:ascii="黑体" w:eastAsia="黑体" w:hAnsi="宋体" w:cs="黑体"/>
                <w:b/>
                <w:bCs/>
                <w:color w:val="000000"/>
                <w:sz w:val="24"/>
                <w:szCs w:val="24"/>
              </w:rPr>
            </w:pPr>
            <w:r>
              <w:rPr>
                <w:rFonts w:ascii="黑体" w:eastAsia="黑体" w:hAnsi="宋体" w:cs="黑体" w:hint="eastAsia"/>
                <w:b/>
                <w:bCs/>
                <w:color w:val="000000"/>
                <w:sz w:val="24"/>
                <w:szCs w:val="24"/>
              </w:rPr>
              <w:t>事项类别</w:t>
            </w:r>
          </w:p>
        </w:tc>
        <w:tc>
          <w:tcPr>
            <w:tcW w:w="1396" w:type="dxa"/>
            <w:tcBorders>
              <w:top w:val="single" w:sz="4" w:space="0" w:color="000000"/>
              <w:left w:val="single" w:sz="4" w:space="0" w:color="000000"/>
              <w:bottom w:val="nil"/>
              <w:right w:val="single" w:sz="4" w:space="0" w:color="000000"/>
            </w:tcBorders>
            <w:shd w:val="clear" w:color="auto" w:fill="auto"/>
            <w:noWrap/>
            <w:vAlign w:val="center"/>
          </w:tcPr>
          <w:p w:rsidR="009D2404" w:rsidRDefault="009D2404" w:rsidP="00564248">
            <w:pPr>
              <w:jc w:val="center"/>
              <w:textAlignment w:val="center"/>
              <w:rPr>
                <w:rFonts w:ascii="黑体" w:eastAsia="黑体" w:hAnsi="宋体" w:cs="黑体"/>
                <w:b/>
                <w:bCs/>
                <w:color w:val="000000"/>
                <w:sz w:val="24"/>
                <w:szCs w:val="24"/>
              </w:rPr>
            </w:pPr>
            <w:r>
              <w:rPr>
                <w:rFonts w:ascii="黑体" w:eastAsia="黑体" w:hAnsi="宋体" w:cs="黑体" w:hint="eastAsia"/>
                <w:b/>
                <w:bCs/>
                <w:color w:val="000000"/>
                <w:sz w:val="24"/>
                <w:szCs w:val="24"/>
              </w:rPr>
              <w:t>检查方式</w:t>
            </w:r>
          </w:p>
        </w:tc>
        <w:tc>
          <w:tcPr>
            <w:tcW w:w="1363" w:type="dxa"/>
            <w:tcBorders>
              <w:top w:val="single" w:sz="4" w:space="0" w:color="000000"/>
              <w:left w:val="single" w:sz="4" w:space="0" w:color="000000"/>
              <w:bottom w:val="nil"/>
              <w:right w:val="single" w:sz="4" w:space="0" w:color="000000"/>
            </w:tcBorders>
            <w:shd w:val="clear" w:color="auto" w:fill="auto"/>
            <w:vAlign w:val="center"/>
          </w:tcPr>
          <w:p w:rsidR="009D2404" w:rsidRDefault="009D2404" w:rsidP="00564248">
            <w:pPr>
              <w:jc w:val="center"/>
              <w:textAlignment w:val="center"/>
              <w:rPr>
                <w:rFonts w:ascii="黑体" w:eastAsia="黑体" w:hAnsi="宋体" w:cs="黑体"/>
                <w:b/>
                <w:bCs/>
                <w:color w:val="000000"/>
                <w:sz w:val="24"/>
                <w:szCs w:val="24"/>
              </w:rPr>
            </w:pPr>
            <w:r>
              <w:rPr>
                <w:rFonts w:ascii="黑体" w:eastAsia="黑体" w:hAnsi="宋体" w:cs="黑体" w:hint="eastAsia"/>
                <w:b/>
                <w:bCs/>
                <w:color w:val="000000"/>
                <w:sz w:val="24"/>
                <w:szCs w:val="24"/>
              </w:rPr>
              <w:t>检查主体</w:t>
            </w:r>
          </w:p>
        </w:tc>
        <w:tc>
          <w:tcPr>
            <w:tcW w:w="3440" w:type="dxa"/>
            <w:tcBorders>
              <w:top w:val="single" w:sz="4" w:space="0" w:color="000000"/>
              <w:left w:val="single" w:sz="4" w:space="0" w:color="000000"/>
              <w:bottom w:val="nil"/>
              <w:right w:val="single" w:sz="4" w:space="0" w:color="000000"/>
            </w:tcBorders>
            <w:shd w:val="clear" w:color="auto" w:fill="auto"/>
            <w:noWrap/>
            <w:vAlign w:val="center"/>
          </w:tcPr>
          <w:p w:rsidR="009D2404" w:rsidRDefault="009D2404" w:rsidP="00564248">
            <w:pPr>
              <w:jc w:val="center"/>
              <w:textAlignment w:val="center"/>
              <w:rPr>
                <w:rFonts w:ascii="黑体" w:eastAsia="黑体" w:hAnsi="宋体" w:cs="黑体"/>
                <w:b/>
                <w:bCs/>
                <w:color w:val="000000"/>
                <w:sz w:val="24"/>
                <w:szCs w:val="24"/>
              </w:rPr>
            </w:pPr>
            <w:r>
              <w:rPr>
                <w:rFonts w:ascii="黑体" w:eastAsia="黑体" w:hAnsi="宋体" w:cs="黑体" w:hint="eastAsia"/>
                <w:b/>
                <w:bCs/>
                <w:color w:val="000000"/>
                <w:sz w:val="24"/>
                <w:szCs w:val="24"/>
              </w:rPr>
              <w:t>检查依据</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b/>
                <w:bCs/>
                <w:color w:val="000000"/>
                <w:sz w:val="24"/>
                <w:szCs w:val="24"/>
              </w:rPr>
            </w:pPr>
            <w:r>
              <w:rPr>
                <w:rFonts w:ascii="宋体" w:eastAsia="宋体" w:hAnsi="宋体" w:cs="宋体" w:hint="eastAsia"/>
                <w:b/>
                <w:bCs/>
                <w:color w:val="000000"/>
                <w:sz w:val="24"/>
                <w:szCs w:val="24"/>
              </w:rPr>
              <w:t>监管科室</w:t>
            </w:r>
          </w:p>
        </w:tc>
        <w:tc>
          <w:tcPr>
            <w:tcW w:w="1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2404" w:rsidRDefault="009D2404" w:rsidP="00564248">
            <w:pPr>
              <w:jc w:val="center"/>
              <w:textAlignment w:val="center"/>
              <w:rPr>
                <w:rFonts w:ascii="宋体" w:hAnsi="宋体" w:cs="宋体"/>
                <w:b/>
                <w:bCs/>
                <w:color w:val="000000"/>
                <w:sz w:val="24"/>
                <w:szCs w:val="24"/>
              </w:rPr>
            </w:pPr>
            <w:r>
              <w:rPr>
                <w:rFonts w:ascii="宋体" w:eastAsia="宋体" w:hAnsi="宋体" w:cs="宋体" w:hint="eastAsia"/>
                <w:b/>
                <w:bCs/>
                <w:color w:val="000000"/>
                <w:sz w:val="24"/>
                <w:szCs w:val="24"/>
              </w:rPr>
              <w:t>检查时间</w:t>
            </w:r>
          </w:p>
        </w:tc>
      </w:tr>
      <w:tr w:rsidR="009D2404" w:rsidTr="00564248">
        <w:trPr>
          <w:trHeight w:val="855"/>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1</w:t>
            </w: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对学校或者其他教育机构违反国家有关规定招收学生行为的检查</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学校或者其他教育机构</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现场检查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《教育法》第七十六条</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普教科</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根据触发条件开展检查</w:t>
            </w:r>
          </w:p>
        </w:tc>
      </w:tr>
      <w:tr w:rsidR="009D2404" w:rsidTr="00564248">
        <w:trPr>
          <w:trHeight w:val="855"/>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rPr>
                <w:rFonts w:ascii="宋体" w:hAnsi="宋体" w:cs="宋体"/>
                <w:color w:val="000000"/>
                <w:sz w:val="24"/>
                <w:szCs w:val="24"/>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对学校及其他教育机构违反国家有关规定向受教育者收取费用行为的检查</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学校或者其他教育机构</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现场检查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《教育法》第七十八条</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计财科</w:t>
            </w:r>
            <w:r>
              <w:rPr>
                <w:rFonts w:ascii="宋体" w:hAnsi="宋体" w:cs="宋体" w:hint="eastAsia"/>
                <w:color w:val="000000"/>
                <w:sz w:val="24"/>
                <w:szCs w:val="24"/>
              </w:rPr>
              <w:t>、民办中心</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根据触发条件开展检查</w:t>
            </w:r>
          </w:p>
        </w:tc>
      </w:tr>
      <w:tr w:rsidR="009D2404" w:rsidTr="00564248">
        <w:trPr>
          <w:trHeight w:val="1140"/>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rPr>
                <w:rFonts w:ascii="宋体" w:hAnsi="宋体" w:cs="宋体"/>
                <w:color w:val="000000"/>
                <w:sz w:val="24"/>
                <w:szCs w:val="24"/>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对学校或者其他教育机构违反教育法规定，颁发学位证书、学历证书或者其他学业证书行为的检查</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学校或者其他教育机构</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现场检查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《教育法》第二十二条、第八十二条</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普教科</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根据触发条件开展检查</w:t>
            </w:r>
          </w:p>
        </w:tc>
      </w:tr>
      <w:tr w:rsidR="009D2404" w:rsidTr="00564248">
        <w:trPr>
          <w:trHeight w:val="1425"/>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rPr>
                <w:rFonts w:ascii="宋体" w:hAnsi="宋体" w:cs="宋体"/>
                <w:color w:val="000000"/>
                <w:sz w:val="24"/>
                <w:szCs w:val="24"/>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对学校体育工作监督检查</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各级各类学校（幼儿园体育工作不属于检查对象）</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现场检查、书面检查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《学校体育工作条例》第二条、第六条、二十七条、二十八条</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民办中心</w:t>
            </w:r>
            <w:r>
              <w:rPr>
                <w:rFonts w:ascii="宋体" w:hAnsi="宋体" w:cs="宋体" w:hint="eastAsia"/>
                <w:color w:val="000000"/>
                <w:sz w:val="24"/>
                <w:szCs w:val="24"/>
              </w:rPr>
              <w:t>、</w:t>
            </w:r>
            <w:r>
              <w:rPr>
                <w:rFonts w:ascii="宋体" w:eastAsia="宋体" w:hAnsi="宋体" w:cs="宋体" w:hint="eastAsia"/>
                <w:color w:val="000000"/>
                <w:sz w:val="24"/>
                <w:szCs w:val="24"/>
              </w:rPr>
              <w:t>体艺卫站</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根据触发条件开展检查</w:t>
            </w:r>
          </w:p>
        </w:tc>
      </w:tr>
      <w:tr w:rsidR="009D2404" w:rsidTr="00564248">
        <w:trPr>
          <w:trHeight w:val="855"/>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rPr>
                <w:rFonts w:ascii="宋体" w:hAnsi="宋体" w:cs="宋体"/>
                <w:color w:val="000000"/>
                <w:sz w:val="24"/>
                <w:szCs w:val="24"/>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校园食品安全检查</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实施学历教育的各级各类学校、幼儿园</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专项检查、现场检查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《学校食品安全与营养健康管理规定》第七条、第十一条、第五十七条、第六十一条</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体艺卫站</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根据触发条件开展检查</w:t>
            </w:r>
          </w:p>
        </w:tc>
      </w:tr>
      <w:tr w:rsidR="009D2404" w:rsidTr="00564248">
        <w:trPr>
          <w:trHeight w:val="570"/>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rPr>
                <w:rFonts w:ascii="宋体" w:hAnsi="宋体" w:cs="宋体"/>
                <w:color w:val="000000"/>
                <w:sz w:val="24"/>
                <w:szCs w:val="24"/>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国家通用语言文字使用的监督检查</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学校或者其他教育机构</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现场检查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《国家通用语言文字法》第二十二条、第二十六条、第二十七条</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教研室</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根据触发条件开展检查</w:t>
            </w:r>
          </w:p>
        </w:tc>
      </w:tr>
      <w:tr w:rsidR="009D2404" w:rsidTr="00564248">
        <w:trPr>
          <w:trHeight w:val="570"/>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rPr>
                <w:rFonts w:ascii="宋体" w:hAnsi="宋体" w:cs="宋体"/>
                <w:color w:val="000000"/>
                <w:sz w:val="24"/>
                <w:szCs w:val="24"/>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对学校校车安全进行检查</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全区有校车的义务教育学校</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现场检查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《校车安全管理条例》第五条、第十三条、第二十条</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民办中心</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根据触发条件开展检查</w:t>
            </w:r>
          </w:p>
        </w:tc>
      </w:tr>
      <w:tr w:rsidR="009D2404" w:rsidTr="00564248">
        <w:trPr>
          <w:trHeight w:val="855"/>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rPr>
                <w:rFonts w:ascii="宋体" w:hAnsi="宋体" w:cs="宋体"/>
                <w:color w:val="000000"/>
                <w:sz w:val="24"/>
                <w:szCs w:val="24"/>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对以向学生推销或者变相推销商品、服务等方谋取利益的行为进行检查</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义务教育阶段学校、幼儿园</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现场检查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《义务教育法》第五十六条</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幼教中心、普教科、民办中心</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根据触发条件开展检查</w:t>
            </w:r>
          </w:p>
        </w:tc>
      </w:tr>
      <w:tr w:rsidR="009D2404" w:rsidTr="00564248">
        <w:trPr>
          <w:trHeight w:val="855"/>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rPr>
                <w:rFonts w:ascii="宋体" w:hAnsi="宋体" w:cs="宋体"/>
                <w:color w:val="000000"/>
                <w:sz w:val="24"/>
                <w:szCs w:val="24"/>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对幼儿园违规办学行为的处罚</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各级各类幼儿园</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现场检查、书面检查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《幼儿园管理条例》第二十七条、第二十八条； 《教育行政处罚暂行实施办法》第十条</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幼教中心</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根据触发条件开展检查</w:t>
            </w:r>
          </w:p>
        </w:tc>
      </w:tr>
      <w:tr w:rsidR="009D2404" w:rsidTr="00564248">
        <w:trPr>
          <w:trHeight w:val="855"/>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2</w:t>
            </w: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对违反国家有关规定擅自举办学校行为的检查</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名称中含有“教育”字样的市场主体</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现场检查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《教育法》第二十八条、第七十五条；《幼儿园管理条例》 第二十七条；《民办教育促进法》第六十四条</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幼教中心、普教科、民办中心</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根据触发条件开展检查</w:t>
            </w:r>
          </w:p>
        </w:tc>
      </w:tr>
      <w:tr w:rsidR="009D2404" w:rsidTr="00564248">
        <w:trPr>
          <w:trHeight w:val="2565"/>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lastRenderedPageBreak/>
              <w:t>3</w:t>
            </w: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对民办学校违法办学行为进行检查</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民办学校或者其他教育机构</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现场检查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民办教育促进法》第十八条、第四十二条、第五十条、第五十四、五十五条、第六十二条、第六十四条、《民办教育促进法实施条例》第四十九条、第五十一条；《民办高等学校办学管理若干规定》第三十条；《独立学院设置与管理办法》第五十六条；《教育行政处罚暂行实施办法》第十五条。</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民办中心</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根据触发条件开展检查</w:t>
            </w:r>
          </w:p>
        </w:tc>
      </w:tr>
      <w:tr w:rsidR="009D2404" w:rsidTr="00564248">
        <w:trPr>
          <w:trHeight w:val="855"/>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4</w:t>
            </w: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对学校资产不按期过户、办学条件不达标、擅自招收学生行为的检查</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民办高校、独立学院</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现场检查、专业机构核查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《民办高等学校办学管理若干规定》第三十条；《独立学院设置与管理办法》第五十六条</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民办中心</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根据触发条件开展检查</w:t>
            </w:r>
          </w:p>
        </w:tc>
      </w:tr>
      <w:tr w:rsidR="009D2404" w:rsidTr="00564248">
        <w:trPr>
          <w:trHeight w:val="855"/>
        </w:trPr>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rPr>
                <w:rFonts w:ascii="宋体" w:hAnsi="宋体" w:cs="宋体"/>
                <w:color w:val="000000"/>
                <w:sz w:val="24"/>
                <w:szCs w:val="24"/>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年度检查</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民办高校、独立学院</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重点检查事项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现场检查、专业机构核查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《民办高等学校办学管理若干规定》第三十条；《独立学院设置与管理办法》第五十六条</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民办中心</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根据触发条件开展检查</w:t>
            </w:r>
          </w:p>
        </w:tc>
      </w:tr>
      <w:tr w:rsidR="009D2404" w:rsidTr="00564248">
        <w:trPr>
          <w:trHeight w:val="570"/>
        </w:trPr>
        <w:tc>
          <w:tcPr>
            <w:tcW w:w="598" w:type="dxa"/>
            <w:vMerge w:val="restart"/>
            <w:tcBorders>
              <w:top w:val="nil"/>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5</w:t>
            </w:r>
          </w:p>
        </w:tc>
        <w:tc>
          <w:tcPr>
            <w:tcW w:w="25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rPr>
            </w:pPr>
            <w:r>
              <w:rPr>
                <w:rFonts w:ascii="宋体" w:eastAsia="宋体" w:hAnsi="宋体" w:cs="宋体" w:hint="eastAsia"/>
                <w:color w:val="000000"/>
              </w:rPr>
              <w:t>对地方性中小学教学地图的监管</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民办中职学校</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现场检查、随机抽查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《中华人民共和国民办教育促进法》</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职成教科</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根据触发条件开展检查</w:t>
            </w:r>
          </w:p>
        </w:tc>
      </w:tr>
      <w:tr w:rsidR="009D2404" w:rsidTr="00564248">
        <w:trPr>
          <w:trHeight w:val="570"/>
        </w:trPr>
        <w:tc>
          <w:tcPr>
            <w:tcW w:w="598" w:type="dxa"/>
            <w:vMerge/>
            <w:tcBorders>
              <w:top w:val="nil"/>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rPr>
                <w:rFonts w:ascii="宋体" w:hAnsi="宋体" w:cs="宋体"/>
                <w:color w:val="000000"/>
                <w:sz w:val="24"/>
                <w:szCs w:val="24"/>
              </w:rPr>
            </w:pPr>
          </w:p>
        </w:tc>
        <w:tc>
          <w:tcPr>
            <w:tcW w:w="25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rPr>
                <w:rFonts w:ascii="宋体" w:hAnsi="宋体" w:cs="宋体"/>
                <w:color w:val="000000"/>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中职学校</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现场检查、随机</w:t>
            </w:r>
            <w:r>
              <w:rPr>
                <w:rFonts w:ascii="宋体" w:eastAsia="宋体" w:hAnsi="宋体" w:cs="宋体" w:hint="eastAsia"/>
                <w:color w:val="000000"/>
                <w:sz w:val="24"/>
                <w:szCs w:val="24"/>
              </w:rPr>
              <w:lastRenderedPageBreak/>
              <w:t>抽查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lastRenderedPageBreak/>
              <w:t>区教育体育局</w:t>
            </w:r>
          </w:p>
        </w:tc>
        <w:tc>
          <w:tcPr>
            <w:tcW w:w="3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《中华人民共和国职业教育法》</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职成教科</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根据触发条件开展检查</w:t>
            </w:r>
          </w:p>
        </w:tc>
      </w:tr>
      <w:tr w:rsidR="009D2404" w:rsidTr="00564248">
        <w:trPr>
          <w:trHeight w:val="1080"/>
        </w:trPr>
        <w:tc>
          <w:tcPr>
            <w:tcW w:w="5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2404" w:rsidRDefault="009D2404" w:rsidP="00564248">
            <w:pPr>
              <w:jc w:val="center"/>
              <w:textAlignment w:val="center"/>
              <w:rPr>
                <w:rFonts w:ascii="宋体" w:hAnsi="宋体" w:cs="宋体"/>
                <w:color w:val="000000"/>
              </w:rPr>
            </w:pPr>
            <w:r>
              <w:rPr>
                <w:rFonts w:ascii="宋体" w:eastAsia="宋体" w:hAnsi="宋体" w:cs="宋体" w:hint="eastAsia"/>
                <w:color w:val="000000"/>
              </w:rPr>
              <w:lastRenderedPageBreak/>
              <w:t>6</w:t>
            </w: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rPr>
            </w:pPr>
            <w:r>
              <w:rPr>
                <w:rFonts w:ascii="宋体" w:eastAsia="宋体" w:hAnsi="宋体" w:cs="宋体" w:hint="eastAsia"/>
                <w:color w:val="000000"/>
              </w:rPr>
              <w:t>学科类校外培训机构检查</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rPr>
            </w:pPr>
            <w:r>
              <w:rPr>
                <w:rFonts w:ascii="宋体" w:eastAsia="宋体" w:hAnsi="宋体" w:cs="宋体" w:hint="eastAsia"/>
                <w:color w:val="000000"/>
              </w:rPr>
              <w:t>学科类校外培训机构</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一般检查事项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现场检查、随机抽查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rPr>
            </w:pPr>
            <w:r>
              <w:rPr>
                <w:rFonts w:ascii="宋体" w:eastAsia="宋体" w:hAnsi="宋体" w:cs="宋体" w:hint="eastAsia"/>
                <w:color w:val="000000"/>
              </w:rPr>
              <w:t>《中华人民共和国民办教育促进法》</w:t>
            </w:r>
            <w:r>
              <w:rPr>
                <w:rFonts w:ascii="宋体" w:hAnsi="宋体" w:cs="宋体" w:hint="eastAsia"/>
                <w:color w:val="000000"/>
              </w:rPr>
              <w:t>，</w:t>
            </w:r>
            <w:r>
              <w:rPr>
                <w:rFonts w:ascii="宋体" w:eastAsia="宋体" w:hAnsi="宋体" w:cs="宋体" w:hint="eastAsia"/>
                <w:color w:val="000000"/>
              </w:rPr>
              <w:t>中共中央办公厅、国务院办公厅《关于进一步减轻义务教育阶段学生作业负担和校外培训负担的意见》</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民办中心</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根据触发条件开展检查</w:t>
            </w:r>
          </w:p>
        </w:tc>
      </w:tr>
      <w:tr w:rsidR="009D2404" w:rsidTr="00564248">
        <w:trPr>
          <w:trHeight w:val="135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rPr>
            </w:pPr>
            <w:r>
              <w:rPr>
                <w:rFonts w:ascii="宋体" w:eastAsia="宋体" w:hAnsi="宋体" w:cs="宋体" w:hint="eastAsia"/>
                <w:color w:val="000000"/>
              </w:rPr>
              <w:t>7</w:t>
            </w: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rPr>
            </w:pPr>
            <w:r>
              <w:rPr>
                <w:rFonts w:ascii="宋体" w:eastAsia="宋体" w:hAnsi="宋体" w:cs="宋体" w:hint="eastAsia"/>
                <w:color w:val="000000"/>
              </w:rPr>
              <w:t>体育类校外培训机构检查</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rPr>
            </w:pPr>
            <w:r>
              <w:rPr>
                <w:rFonts w:ascii="宋体" w:eastAsia="宋体" w:hAnsi="宋体" w:cs="宋体" w:hint="eastAsia"/>
                <w:color w:val="000000"/>
              </w:rPr>
              <w:t>体育类校外培训机构</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rPr>
            </w:pPr>
            <w:r>
              <w:rPr>
                <w:rFonts w:ascii="宋体" w:eastAsia="宋体" w:hAnsi="宋体" w:cs="宋体" w:hint="eastAsia"/>
                <w:color w:val="000000"/>
              </w:rPr>
              <w:t>一般检查事项</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rPr>
            </w:pPr>
            <w:r>
              <w:rPr>
                <w:rFonts w:ascii="宋体" w:eastAsia="宋体" w:hAnsi="宋体" w:cs="宋体" w:hint="eastAsia"/>
                <w:color w:val="000000"/>
              </w:rPr>
              <w:t>现场检查、网络检查</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sz w:val="24"/>
                <w:szCs w:val="24"/>
              </w:rPr>
            </w:pPr>
            <w:r>
              <w:rPr>
                <w:rFonts w:ascii="宋体" w:eastAsia="宋体" w:hAnsi="宋体" w:cs="宋体" w:hint="eastAsia"/>
                <w:color w:val="000000"/>
                <w:sz w:val="24"/>
                <w:szCs w:val="24"/>
              </w:rPr>
              <w:t>区教育体育局</w:t>
            </w:r>
          </w:p>
        </w:tc>
        <w:tc>
          <w:tcPr>
            <w:tcW w:w="3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center"/>
              <w:rPr>
                <w:rFonts w:ascii="宋体" w:hAnsi="宋体" w:cs="宋体"/>
                <w:color w:val="000000"/>
              </w:rPr>
            </w:pPr>
            <w:r>
              <w:rPr>
                <w:rFonts w:ascii="宋体" w:eastAsia="宋体" w:hAnsi="宋体" w:cs="宋体" w:hint="eastAsia"/>
                <w:color w:val="000000"/>
              </w:rPr>
              <w:t>中共中央办公厅、国务院办公厅《关于进一步减轻义务教育阶段学生作业负担和校外培训负担的意见》</w:t>
            </w:r>
            <w:r>
              <w:rPr>
                <w:rFonts w:ascii="宋体" w:hAnsi="宋体" w:cs="宋体" w:hint="eastAsia"/>
                <w:color w:val="000000"/>
              </w:rPr>
              <w:t>，</w:t>
            </w:r>
            <w:r>
              <w:rPr>
                <w:rFonts w:ascii="宋体" w:eastAsia="宋体" w:hAnsi="宋体" w:cs="宋体" w:hint="eastAsia"/>
                <w:color w:val="000000"/>
              </w:rPr>
              <w:t>《河南省体育类校外培训机构设置标准和管理指南（试行）》</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体艺卫站</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404" w:rsidRDefault="009D2404" w:rsidP="00564248">
            <w:pPr>
              <w:jc w:val="center"/>
              <w:textAlignment w:val="bottom"/>
              <w:rPr>
                <w:rFonts w:ascii="宋体" w:hAnsi="宋体" w:cs="宋体"/>
                <w:color w:val="000000"/>
                <w:sz w:val="24"/>
                <w:szCs w:val="24"/>
              </w:rPr>
            </w:pPr>
            <w:r>
              <w:rPr>
                <w:rFonts w:ascii="宋体" w:eastAsia="宋体" w:hAnsi="宋体" w:cs="宋体" w:hint="eastAsia"/>
                <w:color w:val="000000"/>
                <w:sz w:val="24"/>
                <w:szCs w:val="24"/>
              </w:rPr>
              <w:t>根据触发条件开展检查</w:t>
            </w:r>
          </w:p>
        </w:tc>
      </w:tr>
    </w:tbl>
    <w:p w:rsidR="009D2404" w:rsidRDefault="009D2404" w:rsidP="009D2404">
      <w:pPr>
        <w:pStyle w:val="1"/>
        <w:spacing w:before="156" w:after="156" w:line="480" w:lineRule="exact"/>
        <w:jc w:val="left"/>
        <w:rPr>
          <w:rFonts w:ascii="仿宋_GB2312" w:eastAsia="仿宋_GB2312" w:hAnsi="仿宋_GB2312" w:cs="仿宋_GB2312"/>
        </w:rPr>
      </w:pPr>
      <w:r>
        <w:rPr>
          <w:rFonts w:ascii="仿宋_GB2312" w:eastAsia="仿宋_GB2312" w:hAnsi="仿宋_GB2312" w:cs="仿宋_GB2312" w:hint="eastAsia"/>
          <w:color w:val="000000"/>
          <w:sz w:val="21"/>
          <w:szCs w:val="21"/>
        </w:rPr>
        <w:t>备注：触发式“双随机、一公开”抽查，是指监管科室根据投诉举报、转办交办、网络监测、风险防控等触发条件，结合本单位《触发式“双随机、一公开”监管抽查事项清单》，随机抽取一定比例的检查对象，随机抽取或直接选派执法检查人员，依法对其（抽取的检查对象）进行检查并将检查结果及查处情况依法公开的监督管理活动。</w:t>
      </w:r>
    </w:p>
    <w:p w:rsidR="004358AB" w:rsidRDefault="004358AB" w:rsidP="00D31D50">
      <w:pPr>
        <w:spacing w:line="220" w:lineRule="atLeast"/>
      </w:pPr>
      <w:bookmarkStart w:id="1" w:name="_GoBack"/>
      <w:bookmarkEnd w:id="1"/>
    </w:p>
    <w:sectPr w:rsidR="004358AB" w:rsidSect="008740B8">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FA2" w:rsidRDefault="00083FA2" w:rsidP="009D2404">
      <w:pPr>
        <w:spacing w:after="0"/>
      </w:pPr>
      <w:r>
        <w:separator/>
      </w:r>
    </w:p>
  </w:endnote>
  <w:endnote w:type="continuationSeparator" w:id="0">
    <w:p w:rsidR="00083FA2" w:rsidRDefault="00083FA2" w:rsidP="009D240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FA2" w:rsidRDefault="00083FA2" w:rsidP="009D2404">
      <w:pPr>
        <w:spacing w:after="0"/>
      </w:pPr>
      <w:r>
        <w:separator/>
      </w:r>
    </w:p>
  </w:footnote>
  <w:footnote w:type="continuationSeparator" w:id="0">
    <w:p w:rsidR="00083FA2" w:rsidRDefault="00083FA2" w:rsidP="009D240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83FA2"/>
    <w:rsid w:val="00206414"/>
    <w:rsid w:val="00323B43"/>
    <w:rsid w:val="00396F44"/>
    <w:rsid w:val="003A6AC5"/>
    <w:rsid w:val="003D37D8"/>
    <w:rsid w:val="003D6A8C"/>
    <w:rsid w:val="00426133"/>
    <w:rsid w:val="004358AB"/>
    <w:rsid w:val="00543AD1"/>
    <w:rsid w:val="0065708C"/>
    <w:rsid w:val="006849BF"/>
    <w:rsid w:val="008B7726"/>
    <w:rsid w:val="009D2404"/>
    <w:rsid w:val="00B833EC"/>
    <w:rsid w:val="00D31D50"/>
    <w:rsid w:val="00E835BD"/>
    <w:rsid w:val="00F640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9D2404"/>
    <w:pPr>
      <w:adjustRightInd/>
      <w:snapToGrid/>
      <w:spacing w:beforeLines="50" w:afterLines="50" w:line="600" w:lineRule="exact"/>
      <w:jc w:val="center"/>
      <w:outlineLvl w:val="0"/>
    </w:pPr>
    <w:rPr>
      <w:rFonts w:ascii="方正小标宋简体" w:eastAsia="方正小标宋简体" w:hAnsi="方正小标宋简体" w:cs="宋体"/>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240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D2404"/>
    <w:rPr>
      <w:rFonts w:ascii="Tahoma" w:hAnsi="Tahoma"/>
      <w:sz w:val="18"/>
      <w:szCs w:val="18"/>
    </w:rPr>
  </w:style>
  <w:style w:type="paragraph" w:styleId="a4">
    <w:name w:val="footer"/>
    <w:basedOn w:val="a"/>
    <w:link w:val="Char0"/>
    <w:uiPriority w:val="99"/>
    <w:semiHidden/>
    <w:unhideWhenUsed/>
    <w:rsid w:val="009D2404"/>
    <w:pPr>
      <w:tabs>
        <w:tab w:val="center" w:pos="4153"/>
        <w:tab w:val="right" w:pos="8306"/>
      </w:tabs>
    </w:pPr>
    <w:rPr>
      <w:sz w:val="18"/>
      <w:szCs w:val="18"/>
    </w:rPr>
  </w:style>
  <w:style w:type="character" w:customStyle="1" w:styleId="Char0">
    <w:name w:val="页脚 Char"/>
    <w:basedOn w:val="a0"/>
    <w:link w:val="a4"/>
    <w:uiPriority w:val="99"/>
    <w:semiHidden/>
    <w:rsid w:val="009D2404"/>
    <w:rPr>
      <w:rFonts w:ascii="Tahoma" w:hAnsi="Tahoma"/>
      <w:sz w:val="18"/>
      <w:szCs w:val="18"/>
    </w:rPr>
  </w:style>
  <w:style w:type="character" w:customStyle="1" w:styleId="1Char">
    <w:name w:val="标题 1 Char"/>
    <w:basedOn w:val="a0"/>
    <w:link w:val="1"/>
    <w:uiPriority w:val="9"/>
    <w:rsid w:val="009D2404"/>
    <w:rPr>
      <w:rFonts w:ascii="方正小标宋简体" w:eastAsia="方正小标宋简体" w:hAnsi="方正小标宋简体" w:cs="宋体"/>
      <w:sz w:val="44"/>
      <w:szCs w:val="44"/>
    </w:rPr>
  </w:style>
  <w:style w:type="paragraph" w:styleId="a5">
    <w:name w:val="Body Text Indent"/>
    <w:basedOn w:val="a"/>
    <w:link w:val="Char1"/>
    <w:uiPriority w:val="99"/>
    <w:semiHidden/>
    <w:unhideWhenUsed/>
    <w:rsid w:val="009D2404"/>
    <w:pPr>
      <w:spacing w:after="120"/>
      <w:ind w:leftChars="200" w:left="420"/>
    </w:pPr>
  </w:style>
  <w:style w:type="character" w:customStyle="1" w:styleId="Char1">
    <w:name w:val="正文文本缩进 Char"/>
    <w:basedOn w:val="a0"/>
    <w:link w:val="a5"/>
    <w:uiPriority w:val="99"/>
    <w:semiHidden/>
    <w:rsid w:val="009D2404"/>
    <w:rPr>
      <w:rFonts w:ascii="Tahoma" w:hAnsi="Tahoma"/>
    </w:rPr>
  </w:style>
  <w:style w:type="paragraph" w:styleId="2">
    <w:name w:val="Body Text First Indent 2"/>
    <w:basedOn w:val="a5"/>
    <w:link w:val="2Char"/>
    <w:qFormat/>
    <w:rsid w:val="009D2404"/>
    <w:pPr>
      <w:widowControl w:val="0"/>
      <w:adjustRightInd/>
      <w:snapToGrid/>
      <w:spacing w:before="100" w:beforeAutospacing="1"/>
      <w:ind w:firstLineChars="200" w:firstLine="420"/>
      <w:jc w:val="both"/>
    </w:pPr>
    <w:rPr>
      <w:rFonts w:ascii="Calibri" w:eastAsia="宋体" w:hAnsi="Calibri" w:cs="Times New Roman"/>
      <w:kern w:val="2"/>
      <w:sz w:val="21"/>
    </w:rPr>
  </w:style>
  <w:style w:type="character" w:customStyle="1" w:styleId="2Char">
    <w:name w:val="正文首行缩进 2 Char"/>
    <w:basedOn w:val="Char1"/>
    <w:link w:val="2"/>
    <w:rsid w:val="009D2404"/>
    <w:rPr>
      <w:rFonts w:ascii="Calibri" w:eastAsia="宋体" w:hAnsi="Calibri" w:cs="Times New Roman"/>
      <w:kern w:val="2"/>
      <w:sz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cp:revision>
  <dcterms:created xsi:type="dcterms:W3CDTF">2008-09-11T17:20:00Z</dcterms:created>
  <dcterms:modified xsi:type="dcterms:W3CDTF">2025-05-19T02:46:00Z</dcterms:modified>
</cp:coreProperties>
</file>