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00222">
      <w:pPr>
        <w:numPr>
          <w:ilvl w:val="0"/>
          <w:numId w:val="2"/>
        </w:numPr>
        <w:spacing w:line="64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DYNAMIC—DWXX—tAj_dwmc"/>
      <w:r>
        <w:rPr>
          <w:rFonts w:hint="default" w:ascii="方正小标宋简体" w:hAnsi="方正小标宋简体" w:eastAsia="方正小标宋简体" w:cs="方正小标宋简体"/>
          <w:color w:val="000000"/>
          <w:sz w:val="44"/>
          <w:u w:val="none"/>
        </w:rPr>
        <w:t>洛阳市偃师区市场监督管理局</w:t>
      </w:r>
      <w:bookmarkEnd w:id="0"/>
    </w:p>
    <w:p w14:paraId="6104B5CE">
      <w:pPr>
        <w:pStyle w:val="2"/>
        <w:keepNext w:val="0"/>
        <w:numPr>
          <w:ilvl w:val="0"/>
          <w:numId w:val="2"/>
        </w:numPr>
        <w:spacing w:before="0" w:after="0" w:line="640" w:lineRule="exact"/>
        <w:jc w:val="center"/>
        <w:rPr>
          <w:rFonts w:hint="eastAsia" w:eastAsia="方正小标宋简体" w:cs="方正小标宋简体"/>
          <w:color w:val="auto"/>
          <w:sz w:val="44"/>
          <w:szCs w:val="44"/>
        </w:rPr>
      </w:pPr>
      <w:bookmarkStart w:id="1" w:name="_Toc76683344"/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行政处罚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 w:eastAsia="zh-Hans"/>
        </w:rPr>
        <w:t>决定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书</w:t>
      </w:r>
      <w:bookmarkEnd w:id="1"/>
    </w:p>
    <w:p w14:paraId="2234A428">
      <w:pPr>
        <w:widowControl/>
        <w:snapToGrid w:val="0"/>
        <w:spacing w:line="560" w:lineRule="exact"/>
        <w:ind w:right="55"/>
        <w:jc w:val="center"/>
        <w:outlineLvl w:val="1"/>
        <w:rPr>
          <w:rFonts w:hint="eastAsia" w:ascii="Times New Roman" w:hAnsi="仿宋_GB2312" w:eastAsia="仿宋_GB2312" w:cs="仿宋_GB2312"/>
          <w:bCs/>
          <w:color w:val="auto"/>
          <w:sz w:val="32"/>
          <w:szCs w:val="32"/>
        </w:rPr>
      </w:pPr>
      <w:bookmarkStart w:id="2" w:name="tAj_wh"/>
      <w:r>
        <w:rPr>
          <w:rFonts w:hint="eastAsia" w:ascii="Times New Roman" w:hAnsi="Times New Roman" w:eastAsia="仿宋_GB2312" w:cs="Mongolian Baiti"/>
          <w:color w:val="000000"/>
          <w:sz w:val="32"/>
          <w:u w:val="none"/>
        </w:rPr>
        <w:t>偃市监处罚〔2025〕47号</w:t>
      </w:r>
      <w:bookmarkEnd w:id="2"/>
    </w:p>
    <w:p w14:paraId="34F18F97">
      <w:pPr>
        <w:spacing w:before="315" w:beforeLines="100" w:line="540" w:lineRule="exact"/>
        <w:ind w:left="142" w:hanging="142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  <w:t>当事人：</w:t>
      </w:r>
      <w:bookmarkStart w:id="3" w:name="CALCULATE—DSR—tAjDsrs_cMc"/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偃师市邙岭镇龙龙苗木种植场</w:t>
      </w:r>
      <w:bookmarkEnd w:id="3"/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  <w:t xml:space="preserve">                                            </w:t>
      </w:r>
    </w:p>
    <w:p w14:paraId="33212C0C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  <w:t>主体资格证照名称：</w:t>
      </w:r>
      <w:bookmarkStart w:id="4" w:name="CALCULATE—DSR—tAjDsrs_cZtzgzzmc"/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营业执照</w:t>
      </w:r>
      <w:bookmarkEnd w:id="4"/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  <w:t xml:space="preserve">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  <w:t xml:space="preserve">        </w:t>
      </w:r>
    </w:p>
    <w:p w14:paraId="2539DB77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  <w:t>统一社会信用代码：</w:t>
      </w:r>
      <w:bookmarkStart w:id="5" w:name="CALCULATE—DSR—tAjDsrs_cTzshxydm"/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92410381MA9K3E7A2R</w:t>
      </w:r>
      <w:bookmarkEnd w:id="5"/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  <w:t xml:space="preserve">                                  </w:t>
      </w:r>
    </w:p>
    <w:p w14:paraId="75B48C0F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  <w:t>住所（住址）：</w:t>
      </w:r>
      <w:bookmarkStart w:id="6" w:name="CALCULATE—DSR—tAjDsrs_cLxdzSheng"/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河南省洛阳市偃师市邙岭镇西蔡庄5组</w:t>
      </w:r>
      <w:bookmarkEnd w:id="6"/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  <w:t xml:space="preserve"> </w:t>
      </w:r>
    </w:p>
    <w:p w14:paraId="2757A95B">
      <w:pPr>
        <w:spacing w:line="540" w:lineRule="exact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eastAsia="zh-CN"/>
        </w:rPr>
        <w:t>经营者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  <w:t>：</w:t>
      </w:r>
      <w:bookmarkStart w:id="7" w:name="CALCULATE—DSR—tAjDsrs_cFddbr"/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李进平</w:t>
      </w:r>
      <w:bookmarkEnd w:id="7"/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  <w:t xml:space="preserve">                       </w:t>
      </w:r>
    </w:p>
    <w:p w14:paraId="2092CBB7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 w:color="auto"/>
        </w:rPr>
      </w:pPr>
      <w:bookmarkStart w:id="15" w:name="_GoBack"/>
      <w:bookmarkEnd w:id="15"/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</w:rPr>
        <w:t xml:space="preserve">                                     </w:t>
      </w:r>
    </w:p>
    <w:p w14:paraId="3381B221">
      <w:pPr>
        <w:pStyle w:val="3"/>
        <w:tabs>
          <w:tab w:val="left" w:pos="8240"/>
        </w:tabs>
        <w:spacing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</w:pPr>
      <w:bookmarkStart w:id="8" w:name="CALCULATE—AJCF—tAjCfes_cAjss"/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经查，偃师市邙岭镇龙龙苗木种植场于2021年8月13日核准登记注册，由于经营者李进平忙于经营、疏忽大意，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未按照规定报送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>2021年、2022年、2023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年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的年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度报告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被列入经营异常名录。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上述事实，主要有以下证据证明：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1、营业执照、经营者身份证复印件，证明当事人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经营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主体资格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和经营者的身份证明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；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2、现场笔录、国家企业信用信息公示系统截图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个体基本注册信息查询等，证明当事人未按规定时间通过国家企业信用信息公示系统报送2021、2022、2023年度报告，并向社会公示；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3、询问笔录，证明当事人未按规定时间通过国家企业信用信息公示系统报送2021、2022、2023年度报告并向社会公示的事实。</w:t>
      </w:r>
      <w:bookmarkEnd w:id="8"/>
      <w:r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none" w:color="auto"/>
          <w:lang w:val="en-US" w:eastAsia="zh-CN"/>
        </w:rPr>
        <w:t xml:space="preserve"> </w:t>
      </w:r>
    </w:p>
    <w:p w14:paraId="0A22DB80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  <w:u w:val="none" w:color="auto"/>
        </w:rPr>
        <w:t>当事人上述行为违反了</w:t>
      </w:r>
      <w:bookmarkStart w:id="9" w:name="CALCULATE—XZCFJDS—xzcfjdswfxx"/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《中华人民共和国市场主体登记管理条例实施细则》第六十三条第一款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市场主体应当于每年1月1日至6月30日，通过国家企业信用信息公示系统报送上一年度年度报告，并向社会公示。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的规定，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其行为属于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未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按照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规定报送年度报告的行为。</w:t>
      </w:r>
      <w:bookmarkStart w:id="10" w:name="CALCULATE—AJCF—tAjCfes_cZyclsshly"/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参照《河南省市场监督管理行政处罚裁量权适用通则》第十条“有下列情形之一的，可以依法从轻或者减轻行政处罚：（二）积极配合市场监管部门调查，并主动提供证据材料的；”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之规定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。可以依法给予当事人从轻行政处罚。</w:t>
      </w:r>
      <w:bookmarkEnd w:id="10"/>
    </w:p>
    <w:p w14:paraId="4CABBA4A">
      <w:pPr>
        <w:keepNext w:val="0"/>
        <w:keepLines w:val="0"/>
        <w:pageBreakBefore w:val="0"/>
        <w:widowControl/>
        <w:tabs>
          <w:tab w:val="left" w:pos="2440"/>
          <w:tab w:val="left" w:pos="89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eastAsia="zh-CN"/>
        </w:rPr>
        <w:t>我局于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2025年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月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日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none" w:color="auto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none" w:color="auto"/>
        </w:rPr>
        <w:t>向当事人送达了《洛阳市偃师区市场监督管理局行政处罚告知书》(</w:t>
      </w:r>
      <w:bookmarkStart w:id="11" w:name="CALCULATE—XZCFJDS—cCfgzSdwswh"/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偃市监罚告〔202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  <w:t>53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号</w:t>
      </w:r>
      <w:bookmarkEnd w:id="11"/>
      <w:r>
        <w:rPr>
          <w:rFonts w:hint="eastAsia" w:ascii="仿宋_GB2312" w:hAnsi="仿宋_GB2312" w:eastAsia="仿宋_GB2312" w:cs="仿宋_GB2312"/>
          <w:bCs/>
          <w:sz w:val="32"/>
          <w:szCs w:val="32"/>
          <w:u w:val="none" w:color="auto"/>
        </w:rPr>
        <w:t>)，</w:t>
      </w:r>
      <w:bookmarkStart w:id="12" w:name="CALCULATE—XZCFJDS—nTccssb"/>
      <w:r>
        <w:rPr>
          <w:rFonts w:hint="eastAsia" w:ascii="仿宋_GB2312" w:hAnsi="仿宋_GB2312" w:eastAsia="仿宋_GB2312" w:cs="仿宋_GB2312"/>
          <w:bCs/>
          <w:sz w:val="32"/>
          <w:szCs w:val="32"/>
          <w:u w:val="none" w:color="auto"/>
        </w:rPr>
        <w:t>告知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当事人</w:t>
      </w:r>
      <w:bookmarkEnd w:id="12"/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我局拟作出行政处罚决定的事实、理由、依据、内容及当事人有权进行陈述、申辩，并可以要求听证。当事人在法定期限内未行使陈述、申辩权。</w:t>
      </w:r>
    </w:p>
    <w:bookmarkEnd w:id="9"/>
    <w:p w14:paraId="3791CE49">
      <w:pPr>
        <w:keepNext w:val="0"/>
        <w:keepLines w:val="0"/>
        <w:pageBreakBefore w:val="0"/>
        <w:widowControl/>
        <w:tabs>
          <w:tab w:val="left" w:pos="2440"/>
          <w:tab w:val="left" w:pos="89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依据《市场主体登记管理条例实施细则》第七十条：“市场主体未按照法律、行政法规规定的期限公示或者报送年度报告的，由登记机关列入经营异常名录，可以处1万元以下的罚款。”的规定。参照《河南省市场监督管理行政处罚裁量基准（2023 版）》1.6.1依据《市场主体登记管理条例实施细则》第七十条实施的行政处罚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裁量等级：从轻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违法情形：逾期60日以内；或者具有《通则》规定的其他从轻处罚情形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。裁量基准：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可以处3000元以下的罚款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之规定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对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偃师市邙岭镇龙龙苗木种植场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罚款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 xml:space="preserve">00元。    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  <w:t xml:space="preserve">                             </w:t>
      </w:r>
    </w:p>
    <w:p w14:paraId="104D6E2C"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）。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  <w:t xml:space="preserve">                    </w:t>
      </w:r>
    </w:p>
    <w:p w14:paraId="113E50D5">
      <w:pPr>
        <w:pStyle w:val="3"/>
        <w:keepNext w:val="0"/>
        <w:keepLines w:val="0"/>
        <w:pageBreakBefore w:val="0"/>
        <w:tabs>
          <w:tab w:val="left" w:pos="8395"/>
        </w:tabs>
        <w:kinsoku/>
        <w:wordWrap w:val="0"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</w:rPr>
        <w:t xml:space="preserve"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  <w:t xml:space="preserve"> </w:t>
      </w:r>
    </w:p>
    <w:p w14:paraId="3CCDFBDC">
      <w:pPr>
        <w:pStyle w:val="3"/>
        <w:keepNext w:val="0"/>
        <w:keepLines w:val="0"/>
        <w:pageBreakBefore w:val="0"/>
        <w:widowControl w:val="0"/>
        <w:tabs>
          <w:tab w:val="left" w:pos="8395"/>
        </w:tabs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  <w:t xml:space="preserve">            </w:t>
      </w:r>
    </w:p>
    <w:p w14:paraId="048E68E8">
      <w:pPr>
        <w:pStyle w:val="3"/>
        <w:keepNext w:val="0"/>
        <w:keepLines w:val="0"/>
        <w:pageBreakBefore w:val="0"/>
        <w:widowControl w:val="0"/>
        <w:tabs>
          <w:tab w:val="left" w:pos="8395"/>
        </w:tabs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textAlignment w:val="auto"/>
        <w:rPr>
          <w:rFonts w:hint="default" w:ascii="Times New Roman" w:eastAsia="仿宋_GB2312" w:cs="仿宋_GB2312"/>
          <w:b w:val="0"/>
          <w:bCs/>
          <w:color w:val="auto"/>
          <w:sz w:val="32"/>
          <w:szCs w:val="32"/>
          <w:u w:val="none" w:color="auto"/>
          <w:lang w:val="en-US" w:eastAsia="zh-CN"/>
        </w:rPr>
      </w:pPr>
    </w:p>
    <w:p w14:paraId="13A28ADC">
      <w:pPr>
        <w:widowControl/>
        <w:snapToGrid w:val="0"/>
        <w:spacing w:line="520" w:lineRule="exact"/>
        <w:jc w:val="left"/>
        <w:rPr>
          <w:rFonts w:ascii="Times New Roman" w:hAnsi="Times New Roman" w:eastAsia="仿宋_GB2312" w:cs="仿宋_GB2312"/>
          <w:color w:val="auto"/>
          <w:sz w:val="32"/>
          <w:szCs w:val="32"/>
          <w:u w:val="none" w:color="auto"/>
        </w:rPr>
      </w:pPr>
    </w:p>
    <w:p w14:paraId="4CD1BF1F">
      <w:pPr>
        <w:widowControl/>
        <w:snapToGrid w:val="0"/>
        <w:spacing w:line="520" w:lineRule="exact"/>
        <w:ind w:firstLine="6240" w:firstLineChars="1950"/>
        <w:jc w:val="left"/>
        <w:rPr>
          <w:rFonts w:hint="eastAsia" w:ascii="Times New Roman" w:hAnsi="Times New Roman" w:eastAsia="仿宋_GB2312" w:cs="仿宋_GB2312"/>
          <w:color w:val="auto"/>
          <w:sz w:val="32"/>
          <w:szCs w:val="32"/>
          <w:u w:val="none" w:color="auto"/>
          <w:lang w:val="en-US" w:eastAsia="zh-Hans"/>
        </w:rPr>
      </w:pPr>
    </w:p>
    <w:p w14:paraId="358342A0">
      <w:pPr>
        <w:spacing w:line="560" w:lineRule="exact"/>
        <w:ind w:right="640" w:firstLine="601"/>
        <w:jc w:val="right"/>
        <w:rPr>
          <w:rFonts w:ascii="Times New Roman" w:hAnsi="Times New Roman" w:eastAsia="仿宋_GB2312" w:cs="仿宋"/>
          <w:color w:val="auto"/>
          <w:sz w:val="32"/>
          <w:szCs w:val="32"/>
          <w:u w:val="none" w:color="auto"/>
        </w:rPr>
      </w:pPr>
      <w:bookmarkStart w:id="13" w:name="DYNAMIC—DWXX—tAj_dwmc—2"/>
      <w:r>
        <w:rPr>
          <w:rFonts w:hint="eastAsia" w:ascii="Times New Roman" w:hAnsi="Times New Roman" w:eastAsia="仿宋_GB2312" w:cs="仿宋"/>
          <w:color w:val="auto"/>
          <w:sz w:val="32"/>
          <w:szCs w:val="32"/>
          <w:u w:val="none" w:color="auto"/>
        </w:rPr>
        <w:t>洛阳市偃师区市场监督管理局</w:t>
      </w:r>
      <w:bookmarkEnd w:id="13"/>
      <w:r>
        <w:rPr>
          <w:rFonts w:hint="eastAsia" w:ascii="Times New Roman" w:hAnsi="Times New Roman" w:eastAsia="仿宋_GB2312" w:cs="仿宋"/>
          <w:color w:val="auto"/>
          <w:sz w:val="32"/>
          <w:szCs w:val="32"/>
          <w:u w:val="none" w:color="auto"/>
        </w:rPr>
        <w:t xml:space="preserve">    </w:t>
      </w:r>
    </w:p>
    <w:p w14:paraId="6CD46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30" w:rightChars="300" w:firstLine="600" w:firstLineChars="0"/>
        <w:jc w:val="right"/>
        <w:textAlignment w:val="auto"/>
        <w:outlineLvl w:val="9"/>
        <w:rPr>
          <w:rFonts w:hint="eastAsia" w:ascii="仿宋_GB2312" w:hAnsi="Times New Roman" w:eastAsia="仿宋_GB2312" w:cs="仿宋"/>
          <w:color w:val="auto"/>
          <w:sz w:val="32"/>
          <w:szCs w:val="32"/>
          <w:u w:val="none" w:color="auto"/>
        </w:rPr>
      </w:pPr>
      <w:bookmarkStart w:id="14" w:name="CALCULATE—TIME—NOW"/>
    </w:p>
    <w:p w14:paraId="038A9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30" w:rightChars="300" w:firstLine="600" w:firstLineChars="0"/>
        <w:jc w:val="right"/>
        <w:textAlignment w:val="auto"/>
        <w:outlineLvl w:val="9"/>
        <w:rPr>
          <w:rFonts w:ascii="Times New Roman" w:hAnsi="Times New Roman" w:eastAsia="仿宋_GB2312" w:cs="仿宋_GB2312"/>
          <w:color w:val="auto"/>
          <w:sz w:val="32"/>
          <w:szCs w:val="32"/>
          <w:u w:val="none" w:color="auto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  <w:u w:val="none" w:color="auto"/>
        </w:rPr>
        <w:t>2025年05月06日</w:t>
      </w:r>
      <w:bookmarkEnd w:id="14"/>
      <w:r>
        <w:rPr>
          <w:rFonts w:hint="eastAsia" w:ascii="Times New Roman" w:hAnsi="Times New Roman" w:eastAsia="仿宋_GB2312" w:cs="仿宋_GB2312"/>
          <w:color w:val="auto"/>
          <w:sz w:val="32"/>
          <w:szCs w:val="32"/>
          <w:u w:val="none" w:color="auto"/>
        </w:rPr>
        <w:t xml:space="preserve">  </w:t>
      </w:r>
    </w:p>
    <w:p w14:paraId="026F1E06">
      <w:pPr>
        <w:widowControl/>
        <w:snapToGrid w:val="0"/>
        <w:spacing w:line="520" w:lineRule="exact"/>
        <w:jc w:val="right"/>
        <w:rPr>
          <w:rFonts w:ascii="Times New Roman" w:hAnsi="Times New Roman" w:eastAsia="仿宋_GB2312" w:cs="Mongolian Baiti"/>
          <w:color w:val="auto"/>
          <w:sz w:val="32"/>
          <w:szCs w:val="32"/>
          <w:u w:val="none" w:color="auto"/>
        </w:rPr>
      </w:pPr>
    </w:p>
    <w:p w14:paraId="189656E6">
      <w:pPr>
        <w:pStyle w:val="3"/>
        <w:spacing w:before="1"/>
        <w:ind w:left="163"/>
        <w:jc w:val="both"/>
        <w:rPr>
          <w:rFonts w:hint="eastAsia" w:ascii="仿宋_GB2312" w:hAnsi="仿宋_GB2312" w:eastAsia="仿宋_GB2312" w:cs="仿宋_GB2312"/>
          <w:color w:val="000000"/>
          <w:spacing w:val="-16"/>
          <w:sz w:val="32"/>
          <w:szCs w:val="32"/>
          <w:u w:val="none" w:color="auto"/>
        </w:rPr>
      </w:pPr>
    </w:p>
    <w:p w14:paraId="4F1918C9">
      <w:pPr>
        <w:pStyle w:val="3"/>
        <w:spacing w:before="1"/>
        <w:ind w:left="163"/>
        <w:jc w:val="both"/>
        <w:rPr>
          <w:rFonts w:hint="eastAsia" w:ascii="仿宋_GB2312" w:hAnsi="仿宋_GB2312" w:eastAsia="仿宋_GB2312" w:cs="仿宋_GB2312"/>
          <w:color w:val="000000"/>
          <w:spacing w:val="-16"/>
          <w:sz w:val="32"/>
          <w:szCs w:val="32"/>
          <w:u w:val="none" w:color="auto"/>
        </w:rPr>
      </w:pPr>
    </w:p>
    <w:p w14:paraId="7DE2317F">
      <w:pPr>
        <w:pStyle w:val="3"/>
        <w:spacing w:before="1"/>
        <w:ind w:left="163"/>
        <w:jc w:val="both"/>
        <w:rPr>
          <w:rFonts w:hint="eastAsia" w:ascii="仿宋_GB2312" w:hAnsi="仿宋_GB2312" w:eastAsia="仿宋_GB2312" w:cs="仿宋_GB2312"/>
          <w:color w:val="000000"/>
          <w:spacing w:val="-16"/>
          <w:sz w:val="32"/>
          <w:szCs w:val="32"/>
          <w:u w:val="none" w:color="auto"/>
        </w:rPr>
      </w:pPr>
    </w:p>
    <w:p w14:paraId="6B339D7C">
      <w:pPr>
        <w:pStyle w:val="3"/>
        <w:spacing w:before="1"/>
        <w:ind w:left="163"/>
        <w:jc w:val="both"/>
        <w:rPr>
          <w:rFonts w:hint="eastAsia" w:ascii="仿宋_GB2312" w:hAnsi="仿宋_GB2312" w:eastAsia="仿宋_GB2312" w:cs="仿宋_GB2312"/>
          <w:color w:val="000000"/>
          <w:spacing w:val="-16"/>
          <w:sz w:val="32"/>
          <w:szCs w:val="32"/>
          <w:u w:val="none"/>
        </w:rPr>
      </w:pPr>
    </w:p>
    <w:p w14:paraId="675EE94D">
      <w:pPr>
        <w:pStyle w:val="3"/>
        <w:spacing w:before="1"/>
        <w:ind w:left="163"/>
        <w:jc w:val="both"/>
        <w:rPr>
          <w:rFonts w:hint="eastAsia" w:ascii="仿宋_GB2312" w:hAnsi="仿宋_GB2312" w:eastAsia="仿宋_GB2312" w:cs="仿宋_GB2312"/>
          <w:color w:val="000000"/>
          <w:spacing w:val="-16"/>
          <w:sz w:val="32"/>
          <w:szCs w:val="32"/>
          <w:u w:val="none"/>
        </w:rPr>
      </w:pPr>
    </w:p>
    <w:p w14:paraId="5E5A63B8">
      <w:pPr>
        <w:pStyle w:val="3"/>
        <w:spacing w:before="1"/>
        <w:ind w:left="163"/>
        <w:jc w:val="both"/>
        <w:rPr>
          <w:rFonts w:hint="eastAsia" w:ascii="仿宋_GB2312" w:hAnsi="仿宋_GB2312" w:eastAsia="仿宋_GB2312" w:cs="仿宋_GB2312"/>
          <w:color w:val="000000"/>
          <w:spacing w:val="-16"/>
          <w:sz w:val="32"/>
          <w:szCs w:val="32"/>
          <w:u w:val="none"/>
        </w:rPr>
      </w:pPr>
    </w:p>
    <w:p w14:paraId="6735D91B">
      <w:pPr>
        <w:pStyle w:val="3"/>
        <w:spacing w:before="1"/>
        <w:ind w:left="163"/>
        <w:jc w:val="both"/>
        <w:rPr>
          <w:rFonts w:hint="eastAsia" w:ascii="仿宋_GB2312" w:hAnsi="仿宋_GB2312" w:eastAsia="仿宋_GB2312" w:cs="仿宋_GB2312"/>
          <w:color w:val="000000"/>
          <w:spacing w:val="-16"/>
          <w:sz w:val="32"/>
          <w:szCs w:val="32"/>
          <w:u w:val="none"/>
        </w:rPr>
      </w:pPr>
    </w:p>
    <w:p w14:paraId="62AF5C4B">
      <w:pPr>
        <w:pStyle w:val="3"/>
        <w:spacing w:before="1"/>
        <w:ind w:left="163"/>
        <w:jc w:val="both"/>
        <w:rPr>
          <w:rFonts w:hint="eastAsia" w:ascii="仿宋_GB2312" w:hAnsi="仿宋_GB2312" w:eastAsia="仿宋_GB2312" w:cs="仿宋_GB2312"/>
          <w:color w:val="000000"/>
          <w:spacing w:val="-16"/>
          <w:sz w:val="32"/>
          <w:szCs w:val="32"/>
          <w:u w:val="none"/>
        </w:rPr>
      </w:pPr>
    </w:p>
    <w:p w14:paraId="4BE6756D">
      <w:pPr>
        <w:pStyle w:val="3"/>
        <w:spacing w:before="1"/>
        <w:ind w:left="163"/>
        <w:jc w:val="both"/>
        <w:rPr>
          <w:rFonts w:hint="eastAsia" w:ascii="仿宋_GB2312" w:hAnsi="仿宋_GB2312" w:eastAsia="仿宋_GB2312" w:cs="仿宋_GB2312"/>
          <w:color w:val="000000"/>
          <w:spacing w:val="-16"/>
          <w:sz w:val="32"/>
          <w:szCs w:val="32"/>
          <w:u w:val="none"/>
        </w:rPr>
      </w:pPr>
    </w:p>
    <w:p w14:paraId="1FC528D1">
      <w:pPr>
        <w:pStyle w:val="3"/>
        <w:spacing w:before="1"/>
        <w:ind w:left="163"/>
        <w:jc w:val="both"/>
        <w:rPr>
          <w:rFonts w:hint="eastAsia" w:ascii="仿宋_GB2312" w:hAnsi="仿宋_GB2312" w:eastAsia="仿宋_GB2312" w:cs="仿宋_GB2312"/>
          <w:color w:val="000000"/>
          <w:spacing w:val="-16"/>
          <w:sz w:val="32"/>
          <w:szCs w:val="32"/>
          <w:u w:val="none"/>
        </w:rPr>
      </w:pPr>
    </w:p>
    <w:p w14:paraId="6D35317A">
      <w:pPr>
        <w:pStyle w:val="3"/>
        <w:spacing w:before="1"/>
        <w:ind w:left="163"/>
        <w:jc w:val="both"/>
        <w:rPr>
          <w:rFonts w:hint="eastAsia" w:ascii="仿宋_GB2312" w:hAnsi="仿宋_GB2312" w:eastAsia="仿宋_GB2312" w:cs="仿宋_GB2312"/>
          <w:color w:val="000000"/>
          <w:spacing w:val="-16"/>
          <w:sz w:val="32"/>
          <w:szCs w:val="32"/>
          <w:u w:val="none"/>
        </w:rPr>
      </w:pPr>
    </w:p>
    <w:p w14:paraId="35A276B5">
      <w:pPr>
        <w:pStyle w:val="3"/>
        <w:spacing w:before="1"/>
        <w:ind w:left="163"/>
        <w:jc w:val="both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396875</wp:posOffset>
                </wp:positionV>
                <wp:extent cx="5550535" cy="635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15pt;margin-top:31.25pt;height:0.05pt;width:437.05pt;z-index:251661312;mso-width-relative:page;mso-height-relative:page;" filled="f" stroked="t" coordsize="21600,21600" o:gfxdata="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1F2Z1gAAAAcBAAAPAAAAAAAAAAEAIAAAACIAAABkcnMvZG93bnJldi54bWxQSwECFAAUAAAACACH&#10;TuJAlk3HAe0BAADdAwAADgAAAAAAAAABACAAAAAlAQAAZHJzL2Uyb0RvYy54bWxQSwUGAAAAAAYA&#10;BgBZAQAAhAUAAAAA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000000"/>
          <w:spacing w:val="-16"/>
          <w:sz w:val="32"/>
          <w:szCs w:val="32"/>
          <w:u w:val="none"/>
        </w:rPr>
        <w:t>（市场监督管理部门将依法向社会公开行政处罚决定信息）</w:t>
      </w:r>
    </w:p>
    <w:p w14:paraId="05D3DDEC">
      <w:pPr>
        <w:spacing w:line="500" w:lineRule="exact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本文书一式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份送达，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份归档，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份办案机构留存。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u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vv85HXAAAACgEAAA8AAAAAAAAAAQAgAAAAIgAAAGRycy9kb3ducmV2LnhtbFBLAQIUABQA&#10;AAAIAIdO4kAJ1svO8QEAANsDAAAOAAAAAAAAAAEAIAAAACYBAABkcnMvZTJvRG9jLnhtbFBLBQYA&#10;AAAABgAGAFkBAACJBQAAAAA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</w:p>
    <w:p w14:paraId="6E8CEA17">
      <w:pPr>
        <w:spacing w:line="500" w:lineRule="exact"/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FE9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F94D2F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F94D2F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3a570657-d4b9-4633-8bde-b1be1a221b99"/>
  </w:docVars>
  <w:rsids>
    <w:rsidRoot w:val="5BA419F7"/>
    <w:rsid w:val="00193C35"/>
    <w:rsid w:val="0032134F"/>
    <w:rsid w:val="010A478A"/>
    <w:rsid w:val="01C16D6E"/>
    <w:rsid w:val="02B83402"/>
    <w:rsid w:val="042774DD"/>
    <w:rsid w:val="048D2705"/>
    <w:rsid w:val="04CD463F"/>
    <w:rsid w:val="04FA4431"/>
    <w:rsid w:val="05C51508"/>
    <w:rsid w:val="06476E0A"/>
    <w:rsid w:val="06BAE61F"/>
    <w:rsid w:val="071C7669"/>
    <w:rsid w:val="07580619"/>
    <w:rsid w:val="0776795A"/>
    <w:rsid w:val="07DA78EE"/>
    <w:rsid w:val="08365B64"/>
    <w:rsid w:val="087864F3"/>
    <w:rsid w:val="090B4D3A"/>
    <w:rsid w:val="09290BEC"/>
    <w:rsid w:val="09AA7B69"/>
    <w:rsid w:val="0A2F38BD"/>
    <w:rsid w:val="0A3665F0"/>
    <w:rsid w:val="0B22091D"/>
    <w:rsid w:val="0CF71776"/>
    <w:rsid w:val="0D242541"/>
    <w:rsid w:val="0FB748D6"/>
    <w:rsid w:val="103E22C5"/>
    <w:rsid w:val="11524677"/>
    <w:rsid w:val="115320F9"/>
    <w:rsid w:val="119E3BCA"/>
    <w:rsid w:val="1350279A"/>
    <w:rsid w:val="14203063"/>
    <w:rsid w:val="143E1E38"/>
    <w:rsid w:val="1490670C"/>
    <w:rsid w:val="152E563E"/>
    <w:rsid w:val="15B93156"/>
    <w:rsid w:val="16D23D7F"/>
    <w:rsid w:val="18325353"/>
    <w:rsid w:val="188449CB"/>
    <w:rsid w:val="18B229B2"/>
    <w:rsid w:val="19FE4517"/>
    <w:rsid w:val="1AE345F4"/>
    <w:rsid w:val="1B37398D"/>
    <w:rsid w:val="1C7339BB"/>
    <w:rsid w:val="1C7A5BA8"/>
    <w:rsid w:val="1E664711"/>
    <w:rsid w:val="1EC222D9"/>
    <w:rsid w:val="1F2B5D07"/>
    <w:rsid w:val="1FC004DE"/>
    <w:rsid w:val="1FD31F15"/>
    <w:rsid w:val="212E3259"/>
    <w:rsid w:val="22287087"/>
    <w:rsid w:val="237778B4"/>
    <w:rsid w:val="23F5677C"/>
    <w:rsid w:val="24626694"/>
    <w:rsid w:val="258D6CE0"/>
    <w:rsid w:val="27A45517"/>
    <w:rsid w:val="2B1B3EFC"/>
    <w:rsid w:val="2CEA3815"/>
    <w:rsid w:val="2DE10173"/>
    <w:rsid w:val="2F327E79"/>
    <w:rsid w:val="2F7CE1EF"/>
    <w:rsid w:val="2F8A6913"/>
    <w:rsid w:val="30DB5683"/>
    <w:rsid w:val="30FA2F6D"/>
    <w:rsid w:val="31562B39"/>
    <w:rsid w:val="31BE0AF5"/>
    <w:rsid w:val="32CE76E8"/>
    <w:rsid w:val="3334290F"/>
    <w:rsid w:val="33740640"/>
    <w:rsid w:val="3585615B"/>
    <w:rsid w:val="363C12E3"/>
    <w:rsid w:val="368E5656"/>
    <w:rsid w:val="377FBB27"/>
    <w:rsid w:val="37F16547"/>
    <w:rsid w:val="38B63DA7"/>
    <w:rsid w:val="3930619F"/>
    <w:rsid w:val="3A4E178D"/>
    <w:rsid w:val="3BF97ECA"/>
    <w:rsid w:val="3C2965F0"/>
    <w:rsid w:val="3D6B1177"/>
    <w:rsid w:val="3E5F4AE1"/>
    <w:rsid w:val="3E853745"/>
    <w:rsid w:val="3F2604DF"/>
    <w:rsid w:val="3F6783E4"/>
    <w:rsid w:val="3F842066"/>
    <w:rsid w:val="3FFF82D4"/>
    <w:rsid w:val="402E7C06"/>
    <w:rsid w:val="40FE5F8F"/>
    <w:rsid w:val="425049CE"/>
    <w:rsid w:val="442B16EC"/>
    <w:rsid w:val="458F64B9"/>
    <w:rsid w:val="45C51FFB"/>
    <w:rsid w:val="46157ACD"/>
    <w:rsid w:val="47243FC5"/>
    <w:rsid w:val="48C10000"/>
    <w:rsid w:val="4A555101"/>
    <w:rsid w:val="4ADF49AE"/>
    <w:rsid w:val="4B8F0B22"/>
    <w:rsid w:val="4C02380F"/>
    <w:rsid w:val="4C7C04B3"/>
    <w:rsid w:val="4CC8271B"/>
    <w:rsid w:val="4D9306AE"/>
    <w:rsid w:val="4E8950D9"/>
    <w:rsid w:val="4F722566"/>
    <w:rsid w:val="4F93378A"/>
    <w:rsid w:val="503F09B5"/>
    <w:rsid w:val="516D5500"/>
    <w:rsid w:val="52802336"/>
    <w:rsid w:val="53A0483E"/>
    <w:rsid w:val="547C0750"/>
    <w:rsid w:val="55FE5622"/>
    <w:rsid w:val="57503162"/>
    <w:rsid w:val="58A4140A"/>
    <w:rsid w:val="591F0542"/>
    <w:rsid w:val="59A10938"/>
    <w:rsid w:val="5BA419F7"/>
    <w:rsid w:val="5BEF1DBF"/>
    <w:rsid w:val="5BF91583"/>
    <w:rsid w:val="5BFB2E57"/>
    <w:rsid w:val="5C5D2BD9"/>
    <w:rsid w:val="5DD7483B"/>
    <w:rsid w:val="5E5FAB03"/>
    <w:rsid w:val="5E605C94"/>
    <w:rsid w:val="5EA00CBE"/>
    <w:rsid w:val="5F9FEDD5"/>
    <w:rsid w:val="5FBEF003"/>
    <w:rsid w:val="5FE33914"/>
    <w:rsid w:val="5FFA4D85"/>
    <w:rsid w:val="602422E6"/>
    <w:rsid w:val="60B635F2"/>
    <w:rsid w:val="60C16F3B"/>
    <w:rsid w:val="612E7E8C"/>
    <w:rsid w:val="617678F3"/>
    <w:rsid w:val="61DC2B1A"/>
    <w:rsid w:val="636955DE"/>
    <w:rsid w:val="646E5E05"/>
    <w:rsid w:val="64E43803"/>
    <w:rsid w:val="657F58CB"/>
    <w:rsid w:val="66934D57"/>
    <w:rsid w:val="6AD7030F"/>
    <w:rsid w:val="6BA277B7"/>
    <w:rsid w:val="6BCC1BB9"/>
    <w:rsid w:val="6BF121C3"/>
    <w:rsid w:val="6C6723F1"/>
    <w:rsid w:val="6CA517CF"/>
    <w:rsid w:val="6D064CEC"/>
    <w:rsid w:val="6D1B78E4"/>
    <w:rsid w:val="6D6C7F13"/>
    <w:rsid w:val="6D923254"/>
    <w:rsid w:val="6DD2313B"/>
    <w:rsid w:val="6E04767D"/>
    <w:rsid w:val="6E355D52"/>
    <w:rsid w:val="6E6950E9"/>
    <w:rsid w:val="6ED952C0"/>
    <w:rsid w:val="6F013B3F"/>
    <w:rsid w:val="6F732ABB"/>
    <w:rsid w:val="6FF58B64"/>
    <w:rsid w:val="6FF8F863"/>
    <w:rsid w:val="70CF02CA"/>
    <w:rsid w:val="70F532B7"/>
    <w:rsid w:val="71013020"/>
    <w:rsid w:val="710D7C3E"/>
    <w:rsid w:val="71FC56E7"/>
    <w:rsid w:val="7376089F"/>
    <w:rsid w:val="74E06ABE"/>
    <w:rsid w:val="75B2DA43"/>
    <w:rsid w:val="75BD90DB"/>
    <w:rsid w:val="75CC41D0"/>
    <w:rsid w:val="75F8119D"/>
    <w:rsid w:val="76222141"/>
    <w:rsid w:val="76704CDE"/>
    <w:rsid w:val="76D869B3"/>
    <w:rsid w:val="76FD0A98"/>
    <w:rsid w:val="77DF8BD4"/>
    <w:rsid w:val="77EFD5CC"/>
    <w:rsid w:val="77FFADAC"/>
    <w:rsid w:val="7835649C"/>
    <w:rsid w:val="789620E4"/>
    <w:rsid w:val="78FD530C"/>
    <w:rsid w:val="7AFB4DD2"/>
    <w:rsid w:val="7B0F6E9A"/>
    <w:rsid w:val="7BA46A39"/>
    <w:rsid w:val="7BFD6076"/>
    <w:rsid w:val="7C8E43D6"/>
    <w:rsid w:val="7DA813EB"/>
    <w:rsid w:val="7DFF108F"/>
    <w:rsid w:val="7EED8AE6"/>
    <w:rsid w:val="7F5A6980"/>
    <w:rsid w:val="7FEADF5C"/>
    <w:rsid w:val="91BF8AB9"/>
    <w:rsid w:val="9FF1B21D"/>
    <w:rsid w:val="B7BFD803"/>
    <w:rsid w:val="BD5EB179"/>
    <w:rsid w:val="BD7F788E"/>
    <w:rsid w:val="DEFF1EB3"/>
    <w:rsid w:val="DF3F4C88"/>
    <w:rsid w:val="DF7A9960"/>
    <w:rsid w:val="DFBF15D5"/>
    <w:rsid w:val="DFD70EC8"/>
    <w:rsid w:val="DFFE6C63"/>
    <w:rsid w:val="E53DE605"/>
    <w:rsid w:val="E775D448"/>
    <w:rsid w:val="ECC7B000"/>
    <w:rsid w:val="F0ED2927"/>
    <w:rsid w:val="F3EF5848"/>
    <w:rsid w:val="F5A28C7E"/>
    <w:rsid w:val="F9BF6AE4"/>
    <w:rsid w:val="FB57F652"/>
    <w:rsid w:val="FBBF88F6"/>
    <w:rsid w:val="FBFEBC90"/>
    <w:rsid w:val="FCF69F69"/>
    <w:rsid w:val="FD7BEF22"/>
    <w:rsid w:val="FD8BB826"/>
    <w:rsid w:val="FD9199D6"/>
    <w:rsid w:val="FDAC17BA"/>
    <w:rsid w:val="FDDF4064"/>
    <w:rsid w:val="FDF46C9E"/>
    <w:rsid w:val="FEAFF630"/>
    <w:rsid w:val="FEDEBCAC"/>
    <w:rsid w:val="FF7F62AA"/>
    <w:rsid w:val="FFDBA3A8"/>
    <w:rsid w:val="FFDF073B"/>
    <w:rsid w:val="FFFE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1500</Words>
  <Characters>1744</Characters>
  <Lines>0</Lines>
  <Paragraphs>0</Paragraphs>
  <TotalTime>0</TotalTime>
  <ScaleCrop>false</ScaleCrop>
  <LinksUpToDate>false</LinksUpToDate>
  <CharactersWithSpaces>2059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2021-08-02T10:04:00Z</dcterms:created>
  <dc:creator>胖林宝宝噜啦噜～</dc:creator>
  <cp:lastModifiedBy>王建清</cp:lastModifiedBy>
  <dcterms:modified xsi:type="dcterms:W3CDTF">2025-08-15T08:35:12Z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C7F04525E3244FA2B5E9117540CB1511_13</vt:lpwstr>
  </property>
  <property fmtid="{D5CDD505-2E9C-101B-9397-08002B2CF9AE}" pid="4" name="KSOTemplateDocerSaveRecord">
    <vt:lpwstr>eyJoZGlkIjoiOTJkNzdiMWY1ZWU2ZWU3NmE4ZTUxNGRmYWVhMzdjNDQiLCJ1c2VySWQiOiI4ODA3MzMzNDYifQ==</vt:lpwstr>
  </property>
</Properties>
</file>