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E4E8B">
      <w:pPr>
        <w:spacing w:line="560" w:lineRule="exact"/>
        <w:ind w:firstLine="960" w:firstLineChars="200"/>
        <w:jc w:val="left"/>
        <w:rPr>
          <w:rFonts w:hint="eastAsia" w:ascii="黑体" w:hAnsi="黑体" w:eastAsia="黑体"/>
          <w:sz w:val="48"/>
          <w:szCs w:val="48"/>
        </w:rPr>
      </w:pPr>
      <w:bookmarkStart w:id="0" w:name="tAj_wh"/>
      <w:r>
        <w:rPr>
          <w:rFonts w:hint="eastAsia" w:ascii="黑体" w:hAnsi="黑体" w:eastAsia="黑体"/>
          <w:color w:val="000000"/>
          <w:sz w:val="48"/>
          <w:szCs w:val="48"/>
          <w:u w:val="none"/>
        </w:rPr>
        <w:t>洛阳市偃师区市场监督管理局</w:t>
      </w:r>
    </w:p>
    <w:p w14:paraId="5B2D6E70">
      <w:pPr>
        <w:spacing w:line="560" w:lineRule="exact"/>
        <w:ind w:firstLine="2400" w:firstLineChars="500"/>
        <w:jc w:val="left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color w:val="000000"/>
          <w:sz w:val="48"/>
          <w:szCs w:val="48"/>
          <w:u w:val="none"/>
        </w:rPr>
        <w:t>行政处罚决定书</w:t>
      </w:r>
    </w:p>
    <w:p w14:paraId="36E54A0B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偃市监处罚〔2025〕48号</w:t>
      </w:r>
      <w:bookmarkEnd w:id="0"/>
    </w:p>
    <w:p w14:paraId="17B81BD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>当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当事人：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武宏涛</w:t>
      </w:r>
    </w:p>
    <w:p w14:paraId="30EEB71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姓别：男</w:t>
      </w:r>
    </w:p>
    <w:p w14:paraId="62A7D4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 xml:space="preserve">住址：河南省偃师市山化乡王窑村16组 </w:t>
      </w:r>
    </w:p>
    <w:p w14:paraId="1B0F4B9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bidi w:val="0"/>
        <w:adjustRightInd/>
        <w:snapToGrid/>
        <w:spacing w:line="600" w:lineRule="exact"/>
        <w:ind w:left="105" w:leftChars="50" w:right="105" w:rightChars="50" w:firstLine="61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eastAsia="zh-CN"/>
        </w:rPr>
        <w:t xml:space="preserve"> 202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eastAsia="zh-CN"/>
        </w:rPr>
        <w:t>日，我局执法人员对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洛阳市偃师区山化镇佳亿彩鞋材厂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eastAsia="zh-CN"/>
        </w:rPr>
        <w:t>进行现场检查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依法对查获的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“阿迪达斯”商标标识菲林印版8块，“耐克”商标标识菲林印版4块予以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扣押，查获的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耐克商标标识8个（当样品证据）。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为进一步查清事实，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日，我局对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洛阳市偃师区山化镇佳亿彩鞋材厂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立案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调查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同日执法人员登陆河南省市场监管综合业务系统，查询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洛阳市偃师区山化镇佳亿彩鞋材厂的基本信息，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发现其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经营者于2025年1月13日，由武宏涛变更为李露露，立案后，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执法人员采取询问当事人，调取相关证据等方式对本案进行了调查。</w:t>
      </w:r>
    </w:p>
    <w:p w14:paraId="3B1BC08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经查：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当事人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于202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年0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份开始经营，涉案“阿迪达斯”、“耐克”商标标识的菲林印版，当事人称一部分是2023年9月份在岳滩购买流水线时自带的，一部分是在北窑村王某的模具店购买的菲林片，自己制作的菲林印版，购买菲林片的单价为10元/个。至查获时，当事人称打样时共印制“阿迪达斯”、“耐克”商标标识12版，每版印制费用2元，制作阿迪达斯和耐克商标标识共计600个。从其高频车间发现的8个耐克商标标识，为黑白双色标识。当事人制作该标识时，用PVC片做底版，使用耐克菲林印版用黑白2色油墨印刷后制成。</w:t>
      </w:r>
    </w:p>
    <w:p w14:paraId="58EFB94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执法人员发现：查获的涉案菲林印版，其上面的耐克、阿迪达斯商标标识与权利人耐克创新有限合伙公司和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阿迪达斯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有限公司，经中华人民共和国国家工商行政管理总局商标局注册的第4581865号、第855786号、第4516216号、第3336263号和第3921767号注册商标相同。</w:t>
      </w:r>
    </w:p>
    <w:p w14:paraId="13855F3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阿迪达斯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注册商标权利人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阿迪达斯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有限公司的被授权人：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阿迪达斯体育（中国）有限公司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出具的证明主要内容为：阿迪达斯公司至今为止从未授权武宏涛生产、储存、销售阿迪达斯产品，特此证明。</w:t>
      </w:r>
    </w:p>
    <w:p w14:paraId="4AB50A0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耐克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注册商标权利人耐克创新有限合伙公司的被授权人：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耐克体育（中国）有限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公司出具的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主要内容为：兹证明我公司并未授权河南省洛阳市偃师区山化镇鞋业产业园1号楼5层的洛阳市偃师区山化佳亿彩鞋材厂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经营者：武宏涛）处生产、储存、销售涉案的标有耐克创新有限合伙公司注册商标的产品。</w:t>
      </w:r>
    </w:p>
    <w:p w14:paraId="564177B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当事人未经商标权利人授权许可，打样时使用“阿迪达斯”和“耐克”商标标识的菲林印板，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zh-CN"/>
        </w:rPr>
        <w:t>伪造、擅自制造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“阿迪达斯”和“耐克”12版（费用2元/版），印制“阿迪达斯”和“耐克”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zh-CN"/>
        </w:rPr>
        <w:t>注册商标标识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600个，费用24元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 xml:space="preserve">。                                                      </w:t>
      </w:r>
    </w:p>
    <w:p w14:paraId="747F8E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05" w:leftChars="50" w:right="105" w:rightChars="50" w:firstLine="596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</w:rPr>
        <w:t>上述事实</w:t>
      </w:r>
      <w:r>
        <w:rPr>
          <w:rFonts w:hint="eastAsia" w:ascii="仿宋_GB2312" w:hAnsi="仿宋_GB2312" w:eastAsia="仿宋_GB2312" w:cs="仿宋_GB2312"/>
          <w:color w:val="000000"/>
          <w:spacing w:val="-10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</w:rPr>
        <w:t>主要有以下证据证明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  <w:lang w:eastAsia="zh-CN"/>
        </w:rPr>
        <w:t>；</w:t>
      </w:r>
    </w:p>
    <w:p w14:paraId="52EF65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05" w:leftChars="50" w:right="105" w:rightChars="50" w:firstLine="596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pacing w:val="-1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  <w:lang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  <w:lang w:val="en-US" w:eastAsia="zh-CN"/>
        </w:rPr>
        <w:t>当事人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  <w:lang w:eastAsia="zh-CN"/>
        </w:rPr>
        <w:t>身份证复印件，证明当事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  <w:lang w:val="en-US" w:eastAsia="zh-CN"/>
        </w:rPr>
        <w:t>人的</w:t>
      </w: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u w:val="none"/>
          <w:lang w:eastAsia="zh-CN"/>
        </w:rPr>
        <w:t xml:space="preserve">身份；                                                </w:t>
      </w:r>
    </w:p>
    <w:p w14:paraId="0AFE8E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2.现场笔录，证明我局执法人员现场检查的情况；</w:t>
      </w:r>
    </w:p>
    <w:p w14:paraId="2240873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3.询问笔录，证明当事人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违法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 xml:space="preserve">    </w:t>
      </w:r>
    </w:p>
    <w:p w14:paraId="2327F67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 xml:space="preserve">4.实施行政强制措施决定书及财物清单，证明涉嫌侵权商品扣押情况和数量； </w:t>
      </w:r>
    </w:p>
    <w:p w14:paraId="76D05CF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5.涉案侵权产品图片，证明侵权产品的情况；</w:t>
      </w:r>
    </w:p>
    <w:p w14:paraId="19D624D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 xml:space="preserve">6.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被授权人：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耐克体育（中国）有限公司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阿迪达斯体育（中国）有限公司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出具的证明及其他材料，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当事人未经权利人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授权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；</w:t>
      </w:r>
    </w:p>
    <w:p w14:paraId="128B5A4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pacing w:val="-7"/>
          <w:sz w:val="32"/>
          <w:szCs w:val="32"/>
          <w:u w:val="none"/>
          <w:lang w:val="en-US" w:eastAsia="zh-CN"/>
        </w:rPr>
        <w:t>洛阳市偃师区山化镇佳亿彩鞋材厂基本信息查询，证明经营者变更情况。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u w:val="none" w:color="auto"/>
          <w:lang w:val="en-US" w:eastAsia="zh-CN"/>
        </w:rPr>
        <w:t xml:space="preserve">             </w:t>
      </w:r>
      <w:r>
        <w:rPr>
          <w:rFonts w:hint="eastAsia" w:ascii="仿宋" w:hAnsi="仿宋" w:eastAsia="仿宋" w:cs="仿宋_GB2312"/>
          <w:color w:val="000000"/>
          <w:sz w:val="32"/>
          <w:szCs w:val="32"/>
          <w:u w:val="none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                  </w:t>
      </w:r>
    </w:p>
    <w:p w14:paraId="40EB5E2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当事人的上述行为，当事人的上述行为，违反了《中华人民共和国商标法》第五十七条：“有下列行为之一的，均属侵犯注册商标专用权：（四）伪造、擅自制造他人注册商标标识或者销售伪造、擅自制造的注册商标标识的；”之规定，其行为属于侵犯注册商标专用权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 xml:space="preserve"> </w:t>
      </w:r>
    </w:p>
    <w:p w14:paraId="2AF9113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21E1F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u w:val="none"/>
        </w:rPr>
        <w:t>根据当事人违法的事实、情节、及社会危害性，参照《河南省市场监督管理行政处罚裁量权适用通则》第十八条第一款“当事人不具备不予行政处罚、减轻、从轻或者从重行政处罚情形的，应当给予一般行政处罚。”之规定，应当给予一般行政处罚。</w:t>
      </w:r>
    </w:p>
    <w:p w14:paraId="2647B2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2025年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日，我局向当事人送达偃市监罚告〔2025〕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号《行政处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罚告知书》，告知当事人我局拟做出行政处罚决定的事实、理由、依据、内容以及当事人依法享有的陈述权、申辩权，并可以要求听证。在规定的时间内，当事人提出陈述、申辩权意见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我局经研究，于2025年4月25日，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向当事人送达偃市监罚告〔2025〕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9-1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号《行政处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罚告知书》，告知当事人我局拟做出行政处罚决定的事实、理由、依据、内容以及当事人依法享有的陈述权、申辩权，并可以要求听证。在规定的时间内，当事人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未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提出陈述、申辩权意见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也未要求听证。</w:t>
      </w:r>
    </w:p>
    <w:p w14:paraId="080124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 w:color="auto"/>
        </w:rPr>
      </w:pP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依据《中华人民共和国商标法》第六十条第二款 “工商行政管理部门处理时，认定侵权行为成立的，责令立即停止侵权行为，没收、销毁侵权商品和主要用于制造侵权商品、伪造注册商标标识的工具，违法经营额五万元以上的，可以处违法经营额五倍以下的罚款，没有违法经营额或者违法经营额不足五万元的，可以处二十五万元以下的罚款。对五年内实施两次以上商标侵权行为或者有其他严重情节的，应当从重处罚。销售不知道是侵犯注册商标专用权的商品，能证明该商品是自己合法取得并说明提供者的，由工商行政管理部门责令停止销售。”之规定，参照《河南省市场监督管理行政处罚裁量基准（2023版）》9.1.3“依据《商标法》第六十条第二款实施的行政处罚裁量等级 一般 违法情形 不具有从轻、从重处罚情形。裁量基准 没收、销毁侵权商品和主要用于制造侵权商品、伪造注册商标标识的工具，违法经营额5万元以上的，处违法经营额3.5倍以下的罚款，没有违法经营额或者违法经营额不足5万元的，处17.5万元以下的罚款。”之规定，</w:t>
      </w:r>
      <w:r>
        <w:rPr>
          <w:rFonts w:hint="eastAsia" w:ascii="仿宋" w:hAnsi="仿宋" w:eastAsia="仿宋"/>
          <w:color w:val="000000"/>
          <w:sz w:val="32"/>
          <w:szCs w:val="32"/>
          <w:u w:val="none"/>
          <w:lang w:val="en-US" w:eastAsia="zh-CN"/>
        </w:rPr>
        <w:t>经我局研究，决定</w:t>
      </w:r>
      <w:r>
        <w:rPr>
          <w:rFonts w:hint="eastAsia" w:ascii="仿宋" w:hAnsi="仿宋" w:eastAsia="仿宋" w:cs="仿宋"/>
          <w:color w:val="000000"/>
          <w:sz w:val="32"/>
          <w:szCs w:val="32"/>
          <w:u w:val="none" w:color="auto"/>
        </w:rPr>
        <w:t>责令武宏涛立即停止侵权行为，没收涉案“阿迪达斯”标识菲林印版8块，“耐克”标识菲林印版4块，处</w:t>
      </w:r>
      <w:r>
        <w:rPr>
          <w:rFonts w:hint="eastAsia" w:ascii="仿宋" w:hAnsi="仿宋" w:eastAsia="仿宋" w:cs="仿宋"/>
          <w:color w:val="000000"/>
          <w:sz w:val="32"/>
          <w:szCs w:val="32"/>
          <w:u w:val="none" w:color="auto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u w:val="none" w:color="auto"/>
        </w:rPr>
        <w:t xml:space="preserve">0000元罚款。 </w:t>
      </w:r>
    </w:p>
    <w:p w14:paraId="74D511E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u w:val="none"/>
        </w:rPr>
        <w:t>当事人收到本处罚决定之日起15日内，缴清上述罚款。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 xml:space="preserve">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  </w:t>
      </w:r>
    </w:p>
    <w:p w14:paraId="52DBC1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</w:t>
      </w:r>
    </w:p>
    <w:p w14:paraId="0965A46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     </w:t>
      </w:r>
    </w:p>
    <w:p w14:paraId="37861A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 w14:paraId="2559C02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05" w:leftChars="50" w:right="105" w:rightChars="5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 w14:paraId="4EA7D3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eastAsia" w:ascii="仿宋" w:hAnsi="仿宋" w:eastAsia="仿宋"/>
          <w:sz w:val="32"/>
          <w:szCs w:val="32"/>
        </w:rPr>
      </w:pPr>
    </w:p>
    <w:p w14:paraId="726B57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2880" w:firstLineChars="9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洛阳市偃师区市场监督管理局</w:t>
      </w:r>
    </w:p>
    <w:p w14:paraId="058D1CF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 w14:paraId="09AA6C3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2025年</w:t>
      </w:r>
      <w:r>
        <w:rPr>
          <w:rFonts w:hint="eastAsia" w:ascii="仿宋" w:hAnsi="仿宋" w:eastAsia="仿宋"/>
          <w:color w:val="00000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日</w:t>
      </w:r>
    </w:p>
    <w:p w14:paraId="24EEE9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eastAsia" w:ascii="仿宋" w:hAnsi="仿宋" w:eastAsia="仿宋"/>
          <w:sz w:val="32"/>
          <w:szCs w:val="32"/>
        </w:rPr>
      </w:pPr>
    </w:p>
    <w:p w14:paraId="4BBB6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ascii="Times New Roman" w:hAnsi="Times New Roman" w:eastAsia="仿宋_GB2312" w:cs="仿宋_GB2312"/>
          <w:color w:val="auto"/>
          <w:sz w:val="32"/>
          <w:szCs w:val="32"/>
        </w:rPr>
      </w:pPr>
    </w:p>
    <w:p w14:paraId="77341A90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244727BA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5FF82422">
      <w:pPr>
        <w:spacing w:line="500" w:lineRule="exact"/>
        <w:rPr>
          <w:color w:val="auto"/>
        </w:rPr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本文书一式    份，    份送达，一份归档，           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D71E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EC546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EC546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384B81"/>
    <w:rsid w:val="02B83402"/>
    <w:rsid w:val="042774DD"/>
    <w:rsid w:val="048D2705"/>
    <w:rsid w:val="04CD463F"/>
    <w:rsid w:val="04FA4431"/>
    <w:rsid w:val="05B86227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0FCB3577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B1B3EFC"/>
    <w:rsid w:val="2CEA3815"/>
    <w:rsid w:val="2DE10173"/>
    <w:rsid w:val="2F327E79"/>
    <w:rsid w:val="2F7CE1EF"/>
    <w:rsid w:val="2F8A6913"/>
    <w:rsid w:val="30DB5683"/>
    <w:rsid w:val="30FA2F6D"/>
    <w:rsid w:val="31562B39"/>
    <w:rsid w:val="31AE180F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722566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2684</Words>
  <Characters>2955</Characters>
  <Lines>0</Lines>
  <Paragraphs>0</Paragraphs>
  <TotalTime>2</TotalTime>
  <ScaleCrop>false</ScaleCrop>
  <LinksUpToDate>false</LinksUpToDate>
  <CharactersWithSpaces>3136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2025-08-15T08:35:05Z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2966C66B85B04B03A3E325ABE86F94C0_13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