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2ED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default" w:ascii="仿宋_GB2312" w:hAnsi="Helvetica" w:eastAsia="仿宋_GB2312" w:cs="仿宋_GB2312"/>
          <w:i w:val="0"/>
          <w:iCs w:val="0"/>
          <w:caps w:val="0"/>
          <w:color w:val="444444"/>
          <w:spacing w:val="0"/>
          <w:sz w:val="31"/>
          <w:szCs w:val="31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lang w:val="en-US" w:eastAsia="zh-CN"/>
        </w:rPr>
        <w:t>检查主体：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444444"/>
          <w:spacing w:val="0"/>
          <w:sz w:val="31"/>
          <w:szCs w:val="31"/>
        </w:rPr>
        <w:t>偃师区工业信息化和商务局 </w:t>
      </w:r>
    </w:p>
    <w:p w14:paraId="1371B6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ascii="仿宋_GB2312" w:hAnsi="Helvetica" w:eastAsia="仿宋_GB2312" w:cs="仿宋_GB2312"/>
          <w:i w:val="0"/>
          <w:iCs w:val="0"/>
          <w:caps w:val="0"/>
          <w:color w:val="444444"/>
          <w:spacing w:val="0"/>
          <w:sz w:val="31"/>
          <w:szCs w:val="31"/>
        </w:rPr>
        <w:t>（一）贯彻执行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444444"/>
          <w:spacing w:val="0"/>
          <w:sz w:val="31"/>
          <w:szCs w:val="31"/>
        </w:rPr>
        <w:t>国家、省、市有关工业信息化和国内外贸易、国际国内经济合作方面的法律、法规、规章和方针政策。</w:t>
      </w:r>
    </w:p>
    <w:p w14:paraId="01286E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444444"/>
          <w:spacing w:val="0"/>
          <w:sz w:val="31"/>
          <w:szCs w:val="31"/>
        </w:rPr>
        <w:t>（二）监测分析全区工业运行态势，统计并发布相关信息，进行预测预警和信息引导，协调解决行业运行发展中的有关问题并提出政策建议。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444444"/>
          <w:spacing w:val="0"/>
          <w:sz w:val="31"/>
          <w:szCs w:val="31"/>
        </w:rPr>
        <w:t> </w:t>
      </w:r>
    </w:p>
    <w:p w14:paraId="0FBFEE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444444"/>
          <w:spacing w:val="0"/>
          <w:sz w:val="31"/>
          <w:szCs w:val="31"/>
        </w:rPr>
        <w:t>（三）拟订并组织实施全区工业、信息化的能源节约和资源综合利用、清洁生产促进政策，参与拟订能源节约和资源综合利用、清洁生产促进规划，组织协调相关重大示范工程和新产品、新技术、新设备、新材料的推广应用。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444444"/>
          <w:spacing w:val="0"/>
          <w:sz w:val="31"/>
          <w:szCs w:val="31"/>
        </w:rPr>
        <w:t> </w:t>
      </w:r>
    </w:p>
    <w:p w14:paraId="478F7A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444444"/>
          <w:spacing w:val="0"/>
          <w:sz w:val="31"/>
          <w:szCs w:val="31"/>
        </w:rPr>
        <w:t>（四）统筹推进全区信息化工作；促进电信、广播电视和计算机网络融合，指导协调电子政务、电子商务发展。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444444"/>
          <w:spacing w:val="0"/>
          <w:sz w:val="31"/>
          <w:szCs w:val="31"/>
        </w:rPr>
        <w:t>   </w:t>
      </w:r>
    </w:p>
    <w:p w14:paraId="640DA4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444444"/>
          <w:spacing w:val="0"/>
          <w:sz w:val="31"/>
          <w:szCs w:val="31"/>
        </w:rPr>
        <w:t>（五）负责全区市场体系建设工作，促进城乡市场体系建设和发展；负责统筹拟订全区流通产业发展促进政策及行业标准，协调推进全区流通领域法规体系建设，推进全区流通产业发展；牵头协调推进全区物流业转型发展工作。</w:t>
      </w:r>
    </w:p>
    <w:p w14:paraId="28107D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15"/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444444"/>
          <w:spacing w:val="0"/>
          <w:sz w:val="31"/>
          <w:szCs w:val="31"/>
        </w:rPr>
        <w:t>（六）组织实施全区重要消费品市场调控、重要生产资料流通管理工作，负责建立健全生活必需品市场供应应急管理机制；按照分工负责重要消费品（不含食糖）储备管理和市场调控工作，依法对</w:t>
      </w:r>
      <w:bookmarkStart w:id="0" w:name="_GoBack"/>
      <w:bookmarkEnd w:id="0"/>
      <w:r>
        <w:rPr>
          <w:rFonts w:hint="default" w:ascii="仿宋_GB2312" w:hAnsi="Helvetica" w:eastAsia="仿宋_GB2312" w:cs="仿宋_GB2312"/>
          <w:i w:val="0"/>
          <w:iCs w:val="0"/>
          <w:caps w:val="0"/>
          <w:color w:val="444444"/>
          <w:spacing w:val="0"/>
          <w:sz w:val="31"/>
          <w:szCs w:val="31"/>
        </w:rPr>
        <w:t>汽车流通和旧货流通业等特殊流通行业进行监督管理；按有关规定对成品油流通进行管理。</w:t>
      </w:r>
    </w:p>
    <w:p w14:paraId="2794CE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15"/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444444"/>
          <w:spacing w:val="0"/>
          <w:sz w:val="31"/>
          <w:szCs w:val="31"/>
        </w:rPr>
        <w:t>（七）落实全区商务领域市场秩序的政策；负责全区商务领域诚信体系建设；负责督导全区商务领域举报投诉服务体系建设及管理工作。</w:t>
      </w:r>
    </w:p>
    <w:p w14:paraId="58F73E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15"/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444444"/>
          <w:spacing w:val="0"/>
          <w:sz w:val="31"/>
          <w:szCs w:val="31"/>
        </w:rPr>
        <w:t>（八）负责全区进出口贸易协调工作，执行国家、省对外贸易、进出口管制以及鼓励技术和成套设备进出口政策；依法监督全区技术引进、国家限制出口技术工作；牵头负责全区外贸转型升级基地建设工作，指导贸易促进活动和外贸促进体系建设。</w:t>
      </w:r>
    </w:p>
    <w:p w14:paraId="1D05DA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15"/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444444"/>
          <w:spacing w:val="0"/>
          <w:sz w:val="31"/>
          <w:szCs w:val="31"/>
        </w:rPr>
        <w:t>（九）拟订全区商贸服务业、服务贸易发展政策并组织实施；会同有关部门拟订全区促进服务进出口和服务外包发展的规划、政策并组织实施，指导服务外包平台建设；负责商贸服务业发展、促进工作。</w:t>
      </w:r>
    </w:p>
    <w:p w14:paraId="0980E1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15"/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444444"/>
          <w:spacing w:val="0"/>
          <w:sz w:val="31"/>
          <w:szCs w:val="31"/>
        </w:rPr>
        <w:t>（十）拟订并组织实施全区电子商务发展规划和政策措施，大力拓展和深化电子商务应用；研究拟订我区电子商务行业规范和标准，推动电子商务服务体系建设，建立电子商务统计和评价体系；规范电子商务经营行为和流通秩序。</w:t>
      </w:r>
    </w:p>
    <w:p w14:paraId="60C858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55"/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  <w:t> 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444444"/>
          <w:spacing w:val="0"/>
          <w:sz w:val="31"/>
          <w:szCs w:val="31"/>
        </w:rPr>
        <w:t>（十一）负责全区民爆行业监督管理工作，确保民爆行业安全。加强行业日常安全生产监管，制定落实行业突发公共事件应急预案，预防和处置本部门、本系统的突发公共事件。</w:t>
      </w:r>
    </w:p>
    <w:p w14:paraId="779163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67178"/>
    <w:rsid w:val="1A692947"/>
    <w:rsid w:val="20EB1A8B"/>
    <w:rsid w:val="21C66054"/>
    <w:rsid w:val="2B9351F9"/>
    <w:rsid w:val="58DA0D94"/>
    <w:rsid w:val="5F6366B5"/>
    <w:rsid w:val="68F1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951</Words>
  <Characters>951</Characters>
  <Lines>0</Lines>
  <Paragraphs>0</Paragraphs>
  <TotalTime>3</TotalTime>
  <ScaleCrop>false</ScaleCrop>
  <LinksUpToDate>false</LinksUpToDate>
  <CharactersWithSpaces>958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2025-09-18T07:43:00Z</dcterms:created>
  <dc:creator>Administrator</dc:creator>
  <cp:lastModifiedBy>WPS_1757901315</cp:lastModifiedBy>
  <dcterms:modified xsi:type="dcterms:W3CDTF">2025-09-19T09:19:47Z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eyJoZGlkIjoiYTU3YjYwOTQ1MThjNmMzZDFlY2FhOWNkNjI5M2I4MmMiLCJ1c2VySWQiOiIxNzQ0NDgzNzYyIn0=</vt:lpwstr>
  </property>
  <property fmtid="{D5CDD505-2E9C-101B-9397-08002B2CF9AE}" pid="4" name="ICV">
    <vt:lpwstr>5AB21B7F4B774B43AD9795A42CDF1BD2_12</vt:lpwstr>
  </property>
</Properties>
</file>